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2239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08475" cy="2624455"/>
            <wp:effectExtent l="0" t="0" r="15875" b="444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8475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976D3">
      <w:pPr>
        <w:pStyle w:val="4"/>
        <w:spacing w:before="240"/>
        <w:rPr>
          <w:lang w:val="en-US" w:eastAsia="zh-CN"/>
        </w:rPr>
      </w:pPr>
      <w:r>
        <w:rPr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ure</w:t>
      </w:r>
      <w:r>
        <w:rPr>
          <w:b/>
          <w:bCs/>
          <w:lang w:val="en-US" w:eastAsia="zh-CN"/>
        </w:rPr>
        <w:t xml:space="preserve"> S1</w:t>
      </w:r>
      <w:r>
        <w:rPr>
          <w:rFonts w:hint="eastAsia"/>
          <w:lang w:val="en-US" w:eastAsia="zh-CN"/>
        </w:rPr>
        <w:t>.</w:t>
      </w:r>
      <w:r>
        <w:rPr>
          <w:lang w:val="en-US" w:eastAsia="zh-CN"/>
        </w:rPr>
        <w:t xml:space="preserve"> Quality control of the peptide ions. </w:t>
      </w:r>
      <w:r>
        <w:rPr>
          <w:rFonts w:hint="eastAsia"/>
          <w:lang w:val="en-US" w:eastAsia="zh-CN"/>
        </w:rPr>
        <w:t>(</w:t>
      </w:r>
      <w:r>
        <w:rPr>
          <w:b/>
          <w:bCs/>
          <w:lang w:val="en-US" w:eastAsia="zh-CN"/>
        </w:rPr>
        <w:t>a</w:t>
      </w:r>
      <w:r>
        <w:rPr>
          <w:rFonts w:hint="eastAsia"/>
          <w:lang w:val="en-US" w:eastAsia="zh-CN"/>
        </w:rPr>
        <w:t>)</w:t>
      </w:r>
      <w:r>
        <w:rPr>
          <w:lang w:val="en-US" w:eastAsia="zh-CN"/>
        </w:rPr>
        <w:t xml:space="preserve"> Mass error distribution of the peptide ions in the proteomic data. </w:t>
      </w:r>
      <w:r>
        <w:rPr>
          <w:rFonts w:hint="eastAsia"/>
          <w:lang w:val="en-US" w:eastAsia="zh-CN"/>
        </w:rPr>
        <w:t>(</w:t>
      </w:r>
      <w:r>
        <w:rPr>
          <w:b/>
          <w:bCs/>
          <w:lang w:val="en-US" w:eastAsia="zh-CN"/>
        </w:rPr>
        <w:t>b</w:t>
      </w:r>
      <w:r>
        <w:rPr>
          <w:rFonts w:hint="eastAsia"/>
          <w:lang w:val="en-US" w:eastAsia="zh-CN"/>
        </w:rPr>
        <w:t>)</w:t>
      </w:r>
      <w:r>
        <w:rPr>
          <w:lang w:val="en-US" w:eastAsia="zh-CN"/>
        </w:rPr>
        <w:t xml:space="preserve"> Andromeda score distribution of the peptide ions in the proteomic data. </w:t>
      </w:r>
      <w:r>
        <w:rPr>
          <w:rFonts w:hint="eastAsia"/>
          <w:lang w:val="en-US" w:eastAsia="zh-CN"/>
        </w:rPr>
        <w:t>(</w:t>
      </w:r>
      <w:r>
        <w:rPr>
          <w:rFonts w:hint="eastAsia"/>
          <w:b/>
          <w:bCs/>
          <w:lang w:val="en-US" w:eastAsia="zh-CN"/>
        </w:rPr>
        <w:t>c</w:t>
      </w:r>
      <w:r>
        <w:rPr>
          <w:rFonts w:hint="eastAsia"/>
          <w:lang w:val="en-US" w:eastAsia="zh-CN"/>
        </w:rPr>
        <w:t>)</w:t>
      </w:r>
      <w:r>
        <w:rPr>
          <w:lang w:val="en-US" w:eastAsia="zh-CN"/>
        </w:rPr>
        <w:t xml:space="preserve"> Mass error distribution of the peptide ions in the phosphoproteomic data. </w:t>
      </w:r>
      <w:r>
        <w:rPr>
          <w:rFonts w:hint="eastAsia"/>
          <w:lang w:val="en-US" w:eastAsia="zh-CN"/>
        </w:rPr>
        <w:t>(</w:t>
      </w:r>
      <w:r>
        <w:rPr>
          <w:b/>
          <w:bCs/>
          <w:lang w:val="en-US" w:eastAsia="zh-CN"/>
        </w:rPr>
        <w:t>d</w:t>
      </w:r>
      <w:r>
        <w:rPr>
          <w:rFonts w:hint="eastAsia"/>
          <w:lang w:val="en-US" w:eastAsia="zh-CN"/>
        </w:rPr>
        <w:t>)</w:t>
      </w:r>
      <w:r>
        <w:rPr>
          <w:lang w:val="en-US" w:eastAsia="zh-CN"/>
        </w:rPr>
        <w:t xml:space="preserve"> Andromeda score distribution of the peptide ions in the phosphoproteomic data.</w:t>
      </w:r>
    </w:p>
    <w:p w14:paraId="419E382E">
      <w:pPr>
        <w:pStyle w:val="4"/>
        <w:spacing w:before="240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0360" cy="1459865"/>
            <wp:effectExtent l="0" t="0" r="15240" b="698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9E56">
      <w:pPr>
        <w:pStyle w:val="4"/>
        <w:spacing w:before="240"/>
        <w:rPr>
          <w:lang w:val="en-US" w:eastAsia="zh-CN"/>
        </w:rPr>
      </w:pPr>
      <w:r>
        <w:rPr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ure</w:t>
      </w:r>
      <w:r>
        <w:rPr>
          <w:b/>
          <w:bCs/>
          <w:lang w:val="en-US" w:eastAsia="zh-CN"/>
        </w:rPr>
        <w:t xml:space="preserve"> S2</w:t>
      </w:r>
      <w:r>
        <w:rPr>
          <w:rFonts w:hint="eastAsia"/>
          <w:lang w:val="en-US" w:eastAsia="zh-CN"/>
        </w:rPr>
        <w:t>.</w:t>
      </w:r>
      <w:r>
        <w:rPr>
          <w:lang w:val="en-US" w:eastAsia="zh-CN"/>
        </w:rPr>
        <w:t xml:space="preserve"> Number of phosphosites, phosphopeptides and phosphoproteins in the phosphoproteomic data.</w:t>
      </w:r>
    </w:p>
    <w:p w14:paraId="0CD05D01">
      <w:pPr>
        <w:rPr>
          <w:rFonts w:hint="eastAsia" w:eastAsiaTheme="minorEastAsia"/>
          <w:lang w:eastAsia="zh-CN"/>
        </w:rPr>
      </w:pPr>
    </w:p>
    <w:p w14:paraId="2B2F566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0360" cy="1883410"/>
            <wp:effectExtent l="0" t="0" r="15240" b="2540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D46A4">
      <w:pPr>
        <w:pStyle w:val="4"/>
        <w:spacing w:before="240"/>
      </w:pPr>
      <w:r>
        <w:rPr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ure</w:t>
      </w:r>
      <w:r>
        <w:rPr>
          <w:b/>
          <w:bCs/>
          <w:lang w:val="en-US" w:eastAsia="zh-CN"/>
        </w:rPr>
        <w:t xml:space="preserve"> S</w:t>
      </w:r>
      <w:r>
        <w:rPr>
          <w:b/>
          <w:bCs/>
        </w:rPr>
        <w:t>3</w:t>
      </w:r>
      <w:r>
        <w:rPr>
          <w:rFonts w:hint="eastAsia" w:eastAsia="宋体"/>
          <w:lang w:val="en-US" w:eastAsia="zh-CN"/>
        </w:rPr>
        <w:t>.</w:t>
      </w:r>
      <w:r>
        <w:t xml:space="preserve"> Top 20 enriched KEGG pathways in one-way ANOVA DEPs.</w:t>
      </w:r>
    </w:p>
    <w:p w14:paraId="40C282B0">
      <w:pPr>
        <w:rPr>
          <w:rFonts w:hint="eastAsia" w:eastAsiaTheme="minorEastAsia"/>
          <w:lang w:eastAsia="zh-CN"/>
        </w:rPr>
      </w:pPr>
    </w:p>
    <w:p w14:paraId="10691A6A">
      <w:pPr>
        <w:rPr>
          <w:rFonts w:hint="eastAsia" w:eastAsiaTheme="minorEastAsia"/>
          <w:lang w:eastAsia="zh-CN"/>
        </w:rPr>
      </w:pPr>
    </w:p>
    <w:p w14:paraId="21FDD5C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28035" cy="3111500"/>
            <wp:effectExtent l="0" t="0" r="5715" b="12700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1B8D">
      <w:pPr>
        <w:pStyle w:val="4"/>
        <w:spacing w:before="240"/>
        <w:rPr>
          <w:lang w:val="en-US" w:eastAsia="zh-CN"/>
        </w:rPr>
      </w:pPr>
      <w:r>
        <w:rPr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ure</w:t>
      </w:r>
      <w:r>
        <w:rPr>
          <w:b/>
          <w:bCs/>
          <w:lang w:val="en-US" w:eastAsia="zh-CN"/>
        </w:rPr>
        <w:t xml:space="preserve"> S4</w:t>
      </w:r>
      <w:r>
        <w:rPr>
          <w:rFonts w:hint="eastAsia"/>
          <w:lang w:val="en-US" w:eastAsia="zh-CN"/>
        </w:rPr>
        <w:t>.</w:t>
      </w:r>
      <w:r>
        <w:rPr>
          <w:lang w:val="en-US" w:eastAsia="zh-CN"/>
        </w:rPr>
        <w:t xml:space="preserve"> Analysis of the phosphorylation motifs of the one-way ANOVA differentially expressed phosphoproteins. </w:t>
      </w:r>
    </w:p>
    <w:p w14:paraId="7171549D">
      <w:pPr>
        <w:rPr>
          <w:rFonts w:hint="eastAsia" w:eastAsiaTheme="minorEastAsia"/>
          <w:lang w:eastAsia="zh-CN"/>
        </w:rPr>
      </w:pPr>
      <w:bookmarkStart w:id="1" w:name="_GoBack"/>
      <w:bookmarkEnd w:id="1"/>
    </w:p>
    <w:p w14:paraId="49DF1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5884841"/>
      <w:r>
        <w:rPr>
          <w:rFonts w:ascii="Times New Roman" w:hAnsi="Times New Roman" w:cs="Times New Roman"/>
          <w:sz w:val="24"/>
          <w:szCs w:val="24"/>
        </w:rPr>
        <w:t>Phosphoproteins related to plant-pathogen interaction.</w:t>
      </w:r>
      <w:bookmarkEnd w:id="0"/>
    </w:p>
    <w:tbl>
      <w:tblPr>
        <w:tblStyle w:val="2"/>
        <w:tblW w:w="181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</w:tblGrid>
      <w:tr w14:paraId="2010B4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</w:tcPr>
          <w:p w14:paraId="7F5FFA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Phosphoproteins</w:t>
            </w:r>
          </w:p>
        </w:tc>
      </w:tr>
      <w:tr w14:paraId="6AD4FA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tcBorders>
              <w:top w:val="single" w:color="auto" w:sz="12" w:space="0"/>
            </w:tcBorders>
            <w:shd w:val="clear" w:color="auto" w:fill="auto"/>
            <w:noWrap/>
            <w:vAlign w:val="bottom"/>
          </w:tcPr>
          <w:p w14:paraId="3BF616C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TEA008308.1</w:t>
            </w:r>
          </w:p>
        </w:tc>
      </w:tr>
      <w:tr w14:paraId="4002B7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07A780B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TEA030808.1</w:t>
            </w:r>
          </w:p>
        </w:tc>
      </w:tr>
      <w:tr w14:paraId="3E975C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4355688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TEA006407.1</w:t>
            </w:r>
          </w:p>
        </w:tc>
      </w:tr>
      <w:tr w14:paraId="356A83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4FCE38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TEA011880.1</w:t>
            </w:r>
          </w:p>
        </w:tc>
      </w:tr>
      <w:tr w14:paraId="4B0FF8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23B614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TEA013445.1</w:t>
            </w:r>
          </w:p>
        </w:tc>
      </w:tr>
      <w:tr w14:paraId="60EDB2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3EB2803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TEA024415.1</w:t>
            </w:r>
          </w:p>
        </w:tc>
      </w:tr>
      <w:tr w14:paraId="59F664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19D9F77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TEA023488.1</w:t>
            </w:r>
          </w:p>
        </w:tc>
      </w:tr>
      <w:tr w14:paraId="0ACAE1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C718A1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TEA007308.1</w:t>
            </w:r>
          </w:p>
        </w:tc>
      </w:tr>
      <w:tr w14:paraId="2303B2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2427B97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TEA018321.1</w:t>
            </w:r>
          </w:p>
        </w:tc>
      </w:tr>
      <w:tr w14:paraId="114E68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FD5349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TEA023547.1</w:t>
            </w:r>
          </w:p>
        </w:tc>
      </w:tr>
      <w:tr w14:paraId="4E7D48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08054D9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TEA030161.1</w:t>
            </w:r>
          </w:p>
        </w:tc>
      </w:tr>
      <w:tr w14:paraId="6EAC16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37450A6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TEA021188.1</w:t>
            </w:r>
          </w:p>
        </w:tc>
      </w:tr>
      <w:tr w14:paraId="1179E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AF2036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TEA003091.1</w:t>
            </w:r>
          </w:p>
        </w:tc>
      </w:tr>
      <w:tr w14:paraId="3622DE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0D5CA49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TEA011744.1</w:t>
            </w:r>
          </w:p>
        </w:tc>
      </w:tr>
      <w:tr w14:paraId="56869A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72CDA6D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TEA008785.1</w:t>
            </w:r>
          </w:p>
        </w:tc>
      </w:tr>
      <w:tr w14:paraId="48470E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04DDB3C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TEA027748.1</w:t>
            </w:r>
          </w:p>
        </w:tc>
      </w:tr>
      <w:tr w14:paraId="313F85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6902F35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TEA026648.1</w:t>
            </w:r>
          </w:p>
        </w:tc>
      </w:tr>
      <w:tr w14:paraId="4940C2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6CE9326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TEA012063.1</w:t>
            </w:r>
          </w:p>
        </w:tc>
      </w:tr>
      <w:tr w14:paraId="68C4E2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4695A9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TEA027510.1</w:t>
            </w:r>
          </w:p>
        </w:tc>
      </w:tr>
      <w:tr w14:paraId="776AF8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64359A3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TEA015042.1</w:t>
            </w:r>
          </w:p>
        </w:tc>
      </w:tr>
      <w:tr w14:paraId="022962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7" w:type="dxa"/>
            <w:shd w:val="clear" w:color="auto" w:fill="auto"/>
            <w:noWrap/>
            <w:vAlign w:val="bottom"/>
          </w:tcPr>
          <w:p w14:paraId="5DD6528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TEA001470.1</w:t>
            </w:r>
          </w:p>
        </w:tc>
      </w:tr>
    </w:tbl>
    <w:p w14:paraId="08A77333">
      <w:pPr>
        <w:rPr>
          <w:rFonts w:ascii="Times New Roman" w:hAnsi="Times New Roman" w:cs="Times New Roman"/>
        </w:rPr>
      </w:pPr>
    </w:p>
    <w:p w14:paraId="13737479">
      <w:pPr>
        <w:rPr>
          <w:rFonts w:hint="eastAsia" w:eastAsiaTheme="minorEastAsia"/>
          <w:b/>
          <w:bCs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NDJlNDhlYWU3YzE4ZTQzZDFkNTdhOWFkMjA5NzQifQ=="/>
  </w:docVars>
  <w:rsids>
    <w:rsidRoot w:val="00000000"/>
    <w:rsid w:val="52DB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2024-09-21T06:36:07Z</dcterms:created>
  <dc:creator>47024</dc:creator>
  <cp:lastModifiedBy>47024</cp:lastModifiedBy>
  <dcterms:modified xsi:type="dcterms:W3CDTF">2024-09-21T06:39:07Z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00284EB89DE0475B9DEC623DA310D725_12</vt:lpwstr>
  </property>
</Properties>
</file>