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CDF90">
      <w:pPr>
        <w:rPr>
          <w:rFonts w:hint="default" w:ascii="Times New Roman Bold" w:hAnsi="Times New Roman Bold" w:cs="Times New Roman Bold"/>
          <w:b/>
          <w:bCs/>
        </w:rPr>
      </w:pPr>
    </w:p>
    <w:p w14:paraId="5FF3635F">
      <w:pPr>
        <w:keepNext/>
        <w:widowControl/>
        <w:jc w:val="both"/>
        <w:rPr>
          <w:rFonts w:hint="default" w:ascii="Times New Roman Bold" w:hAnsi="Times New Roman Bold" w:cs="Times New Roman Bold"/>
          <w:b/>
          <w:bCs/>
          <w:iCs/>
          <w:color w:val="000000"/>
          <w:kern w:val="0"/>
          <w:sz w:val="22"/>
          <w:szCs w:val="22"/>
          <w:lang w:val="en-US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Bold" w:hAnsi="Times New Roman Bold" w:eastAsia="Arial" w:cs="Times New Roman Bold"/>
          <w:b/>
          <w:bCs/>
          <w:iCs/>
          <w:color w:val="000000"/>
          <w:kern w:val="0"/>
          <w:sz w:val="22"/>
          <w:szCs w:val="22"/>
          <w:lang w:eastAsia="en-US"/>
        </w:rPr>
        <w:t xml:space="preserve">Table </w:t>
      </w:r>
      <w:r>
        <w:rPr>
          <w:rFonts w:hint="default" w:ascii="Times New Roman Bold" w:hAnsi="Times New Roman Bold" w:eastAsia="Arial" w:cs="Times New Roman Bold"/>
          <w:b/>
          <w:bCs/>
          <w:iCs/>
          <w:color w:val="000000"/>
          <w:kern w:val="0"/>
          <w:sz w:val="22"/>
          <w:szCs w:val="22"/>
          <w:lang w:val="en-US" w:eastAsia="en-US"/>
        </w:rPr>
        <w:t xml:space="preserve">S1 </w:t>
      </w:r>
      <w:r>
        <w:rPr>
          <w:rFonts w:hint="default" w:ascii="Times New Roman Bold" w:hAnsi="Times New Roman Bold" w:cs="Times New Roman Bold"/>
          <w:b/>
          <w:bCs/>
          <w:iCs/>
          <w:color w:val="000000"/>
          <w:kern w:val="0"/>
          <w:sz w:val="22"/>
          <w:szCs w:val="22"/>
        </w:rPr>
        <w:t xml:space="preserve">Summary of </w:t>
      </w:r>
      <w:r>
        <w:rPr>
          <w:rFonts w:hint="default" w:ascii="Times New Roman Bold" w:hAnsi="Times New Roman Bold" w:cs="Times New Roman Bold"/>
          <w:b/>
          <w:bCs/>
          <w:iCs/>
          <w:color w:val="000000"/>
          <w:kern w:val="0"/>
          <w:sz w:val="22"/>
          <w:szCs w:val="22"/>
          <w:lang w:val="en-US"/>
        </w:rPr>
        <w:t>m</w:t>
      </w:r>
      <w:r>
        <w:rPr>
          <w:rFonts w:hint="default" w:ascii="Times New Roman Bold" w:hAnsi="Times New Roman Bold" w:cs="Times New Roman Bold"/>
          <w:b/>
          <w:bCs/>
          <w:iCs/>
          <w:color w:val="000000"/>
          <w:kern w:val="0"/>
          <w:sz w:val="22"/>
          <w:szCs w:val="22"/>
        </w:rPr>
        <w:t xml:space="preserve">issing </w:t>
      </w:r>
      <w:r>
        <w:rPr>
          <w:rFonts w:hint="default" w:ascii="Times New Roman Bold" w:hAnsi="Times New Roman Bold" w:cs="Times New Roman Bold"/>
          <w:b/>
          <w:bCs/>
          <w:iCs/>
          <w:color w:val="000000"/>
          <w:kern w:val="0"/>
          <w:sz w:val="22"/>
          <w:szCs w:val="22"/>
          <w:lang w:val="en-US"/>
        </w:rPr>
        <w:t>predictor variables</w:t>
      </w:r>
    </w:p>
    <w:p w14:paraId="499748C1">
      <w:pPr>
        <w:keepNext/>
        <w:widowControl/>
        <w:rPr>
          <w:rFonts w:ascii="Times New Roman Bold" w:hAnsi="Times New Roman Bold" w:eastAsia="Arial" w:cs="Times New Roman Bold"/>
          <w:b/>
          <w:iCs/>
          <w:color w:val="000000"/>
          <w:kern w:val="0"/>
          <w:sz w:val="15"/>
          <w:szCs w:val="15"/>
          <w:lang w:eastAsia="en-US"/>
        </w:rPr>
      </w:pPr>
    </w:p>
    <w:tbl>
      <w:tblPr>
        <w:tblStyle w:val="4"/>
        <w:tblW w:w="2733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1560"/>
      </w:tblGrid>
      <w:tr w14:paraId="569CDF96">
        <w:trPr>
          <w:tblHeader/>
          <w:jc w:val="center"/>
        </w:trPr>
        <w:tc>
          <w:tcPr>
            <w:tcW w:w="2981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DF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cs="Times New Roman Bold"/>
                <w:b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cs="Times New Roman Bold"/>
                <w:b/>
                <w:bCs/>
                <w:kern w:val="0"/>
                <w:sz w:val="18"/>
                <w:szCs w:val="18"/>
                <w:lang w:eastAsia="en-US"/>
              </w:rPr>
              <w:t>Characteristics</w:t>
            </w:r>
          </w:p>
        </w:tc>
        <w:tc>
          <w:tcPr>
            <w:tcW w:w="1560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DF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Overall Cohort</w:t>
            </w:r>
          </w:p>
          <w:p w14:paraId="569CDF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n = 1898</w:t>
            </w:r>
            <w:r>
              <w:rPr>
                <w:rFonts w:ascii="Times New Roman Bold" w:hAnsi="Times New Roman Bold" w:cs="Times New Roman Bold"/>
                <w:b/>
                <w:bCs/>
                <w:color w:val="000000"/>
                <w:kern w:val="0"/>
                <w:sz w:val="18"/>
                <w:szCs w:val="18"/>
              </w:rPr>
              <w:t>, n (%)</w:t>
            </w:r>
          </w:p>
        </w:tc>
      </w:tr>
      <w:tr w14:paraId="569CDF99">
        <w:trPr>
          <w:jc w:val="center"/>
        </w:trPr>
        <w:tc>
          <w:tcPr>
            <w:tcW w:w="2981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Demographic characteristics</w:t>
            </w:r>
          </w:p>
        </w:tc>
        <w:tc>
          <w:tcPr>
            <w:tcW w:w="1560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DF9C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Age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9F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宋体" w:cs="Times New Roman Regular"/>
                <w:bCs/>
                <w:color w:val="000000"/>
                <w:kern w:val="0"/>
                <w:sz w:val="18"/>
                <w:szCs w:val="18"/>
              </w:rPr>
              <w:t>Gende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A2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BMI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A5">
        <w:trPr>
          <w:trHeight w:val="90" w:hRule="atLeast"/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ASA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A8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Smoking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status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kern w:val="0"/>
                <w:sz w:val="18"/>
                <w:szCs w:val="18"/>
              </w:rPr>
              <w:t>32(1.6%)</w:t>
            </w:r>
          </w:p>
        </w:tc>
      </w:tr>
      <w:tr w14:paraId="569CDFAB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FEV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vertAlign w:val="subscript"/>
                <w:lang w:eastAsia="en-US"/>
              </w:rPr>
              <w:t>1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FVC %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kern w:val="0"/>
                <w:sz w:val="18"/>
                <w:szCs w:val="18"/>
              </w:rPr>
              <w:t>5(0.2%)</w:t>
            </w:r>
          </w:p>
        </w:tc>
      </w:tr>
      <w:tr w14:paraId="569CDFAE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Preoperative SpO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&lt;95</w:t>
            </w:r>
            <w:r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  <w:t>% in air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1.3%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B1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Functional status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B4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Disseminated cancer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B7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Tumor pathology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168(8.8%)</w:t>
            </w:r>
          </w:p>
        </w:tc>
      </w:tr>
      <w:tr w14:paraId="569CDFBA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Cancer clinical stage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172 (9.0%)</w:t>
            </w:r>
          </w:p>
        </w:tc>
      </w:tr>
      <w:tr w14:paraId="569CDFBD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Preoperative hypoalbuminemia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0.5%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14:paraId="569CDFC0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Respiratory infection </w:t>
            </w:r>
            <w:r>
              <w:rPr>
                <w:rFonts w:hint="eastAsia"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  <w:t>in the last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30 days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 xml:space="preserve">45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2.3%)</w:t>
            </w:r>
          </w:p>
        </w:tc>
      </w:tr>
      <w:tr w14:paraId="569CDFC3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Preoperative anemia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2.2%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C6">
        <w:trPr>
          <w:trHeight w:val="90" w:hRule="atLeast"/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Neoadjuvant chemotherapy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2.6%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C9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Comorbidity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DFCC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Diabetes mellitus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 xml:space="preserve">4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0.2%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CF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Hypertension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0.2%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D2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Asthma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66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3.5%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D5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CVA/TIA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0.9%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D8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CAD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DB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COPD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0.6%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DE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CHF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.5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E1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OSAHS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1.4%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E4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CKD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E7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Liver disease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6%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EA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Intraoperative characteristics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DFED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Surgical approach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F0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Type of anesthesia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DFF3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kern w:val="0"/>
                <w:sz w:val="18"/>
                <w:szCs w:val="18"/>
              </w:rPr>
              <w:t>12 (0.6%)</w:t>
            </w:r>
          </w:p>
        </w:tc>
      </w:tr>
      <w:tr w14:paraId="569CDFF6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  <w:t>Hypoxemia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F9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Hypotension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1.7%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FC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Arrhythmia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45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2.4%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DFFF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Reversal of NMBAs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DF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69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3.6%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02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Duration of surgery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E005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Duration of anesthesia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E008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Duration of OLV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66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3.5%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0B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kern w:val="0"/>
                <w:sz w:val="18"/>
                <w:szCs w:val="18"/>
                <w:lang w:eastAsia="en-US"/>
              </w:rPr>
              <w:t>Ventilation parameters of OLV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00E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Ventilation mode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kern w:val="0"/>
                <w:sz w:val="18"/>
                <w:szCs w:val="18"/>
              </w:rPr>
              <w:t>2 (0.1%)</w:t>
            </w:r>
          </w:p>
        </w:tc>
      </w:tr>
      <w:tr w14:paraId="569CE011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PEEP 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kern w:val="0"/>
                <w:sz w:val="18"/>
                <w:szCs w:val="18"/>
              </w:rPr>
              <w:t>35 (1.8%)</w:t>
            </w:r>
          </w:p>
        </w:tc>
      </w:tr>
      <w:tr w14:paraId="569CE014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Pplat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 xml:space="preserve">22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1.3%)</w:t>
            </w:r>
          </w:p>
        </w:tc>
      </w:tr>
      <w:tr w14:paraId="569CE017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Tidal volume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1.7%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1A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Respiratory rate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1D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Cdyn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21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1.3%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20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Driving pressure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 xml:space="preserve">20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23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RMs pressure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66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3.5%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26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FiO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vertAlign w:val="subscript"/>
                <w:lang w:eastAsia="en-US"/>
              </w:rPr>
              <w:t xml:space="preserve">2,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13 (0.7%)</w:t>
            </w:r>
          </w:p>
        </w:tc>
      </w:tr>
      <w:tr w14:paraId="569CE029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Fluid loading,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 xml:space="preserve">15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0.8%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2C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  <w:t>Transfusion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0 (0%)</w:t>
            </w:r>
          </w:p>
        </w:tc>
      </w:tr>
      <w:tr w14:paraId="569CE02F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  <w:t>Estimated blood loss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188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9.9%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14:paraId="569CE032">
        <w:trPr>
          <w:jc w:val="center"/>
        </w:trPr>
        <w:tc>
          <w:tcPr>
            <w:tcW w:w="298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8"/>
                <w:szCs w:val="18"/>
                <w:lang w:eastAsia="en-US"/>
              </w:rPr>
              <w:t>Urine output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136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hint="eastAsia"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  <w:t>7.2%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</w:tbl>
    <w:p w14:paraId="569CE034">
      <w:pPr>
        <w:spacing w:line="480" w:lineRule="auto"/>
        <w:rPr>
          <w:szCs w:val="21"/>
        </w:rPr>
      </w:pPr>
      <w:r>
        <w:rPr>
          <w:rFonts w:ascii="Times New Roman" w:hAnsi="Times New Roman" w:eastAsia="DejaVu Sans" w:cs="Times New Roman"/>
          <w:color w:val="000000"/>
          <w:szCs w:val="21"/>
        </w:rPr>
        <w:t>ASA, American Society of Anesthesiolog</w:t>
      </w:r>
      <w:r>
        <w:rPr>
          <w:rFonts w:hint="eastAsia" w:ascii="Times New Roman" w:hAnsi="Times New Roman" w:eastAsia="DejaVu Sans" w:cs="Times New Roman"/>
          <w:color w:val="000000"/>
          <w:szCs w:val="21"/>
        </w:rPr>
        <w:t>ists</w:t>
      </w:r>
      <w:r>
        <w:rPr>
          <w:rFonts w:ascii="Times New Roman" w:hAnsi="Times New Roman" w:eastAsia="DejaVu Sans" w:cs="Times New Roman"/>
          <w:color w:val="000000"/>
          <w:szCs w:val="21"/>
        </w:rPr>
        <w:t>;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eastAsia="DejaVu Sans" w:cs="Times New Roman"/>
          <w:color w:val="000000"/>
          <w:szCs w:val="21"/>
        </w:rPr>
        <w:t>FEV</w:t>
      </w:r>
      <w:r>
        <w:rPr>
          <w:rFonts w:ascii="Times New Roman" w:hAnsi="Times New Roman" w:eastAsia="DejaVu Sans" w:cs="Times New Roman"/>
          <w:color w:val="000000"/>
          <w:szCs w:val="21"/>
          <w:vertAlign w:val="subscript"/>
        </w:rPr>
        <w:t>1</w:t>
      </w:r>
      <w:r>
        <w:rPr>
          <w:rFonts w:ascii="Times New Roman" w:hAnsi="Times New Roman" w:eastAsia="DejaVu Sans" w:cs="Times New Roman"/>
          <w:color w:val="000000"/>
          <w:szCs w:val="21"/>
        </w:rPr>
        <w:t>, forced expiratory volume in 1 s; FVC, forced vital capacity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SpO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</w:t>
      </w:r>
      <w:r>
        <w:rPr>
          <w:rFonts w:hint="default" w:ascii="Times New Roman Regular" w:hAnsi="Times New Roman Regular" w:cs="Times New Roman Regular"/>
          <w:iCs/>
          <w:sz w:val="22"/>
          <w:szCs w:val="22"/>
        </w:rPr>
        <w:t>peripheral oxyhemoglobin saturation</w:t>
      </w:r>
      <w:r>
        <w:rPr>
          <w:rFonts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CVA, cerebrovascular accident 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TIA, transient ischemic attack;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eastAsia="DejaVu Sans" w:cs="Times New Roman"/>
          <w:color w:val="000000"/>
          <w:szCs w:val="21"/>
        </w:rPr>
        <w:t>CAD, coronary artery disease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COPD, chronic obstructive pulmonary disease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CHF, c</w:t>
      </w:r>
      <w:r>
        <w:rPr>
          <w:rFonts w:hint="eastAsia" w:ascii="Times New Roman" w:hAnsi="Times New Roman" w:eastAsia="DejaVu Sans" w:cs="Times New Roman"/>
          <w:color w:val="000000"/>
          <w:szCs w:val="21"/>
        </w:rPr>
        <w:t>hronic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 heart failure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OSAHS, obstructive sleep apnea hypopnea syndrome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CKD, chronic kidney disease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VATS, video-assisted thoracic surgery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RATS, robotic-assisted thoracic surgery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 xml:space="preserve">TIVA, total intravenous </w:t>
      </w:r>
      <w:r>
        <w:rPr>
          <w:rFonts w:ascii="Times New Roman" w:hAnsi="Times New Roman" w:cs="Times New Roman"/>
          <w:color w:val="000000"/>
          <w:szCs w:val="21"/>
          <w:lang w:val="en-US"/>
        </w:rPr>
        <w:t>anesthesia</w:t>
      </w:r>
      <w:r>
        <w:rPr>
          <w:rFonts w:ascii="Times New Roman" w:hAnsi="Times New Roman" w:cs="Times New Roman"/>
          <w:color w:val="000000"/>
          <w:szCs w:val="21"/>
        </w:rPr>
        <w:t xml:space="preserve">; NMBAs, neuromuscular block agents; OLV, </w:t>
      </w:r>
      <w:r>
        <w:rPr>
          <w:rFonts w:hint="eastAsia" w:ascii="Times New Roman" w:hAnsi="Times New Roman" w:cs="Times New Roman"/>
          <w:color w:val="000000"/>
          <w:szCs w:val="21"/>
        </w:rPr>
        <w:t>one</w:t>
      </w:r>
      <w:r>
        <w:rPr>
          <w:rFonts w:ascii="Times New Roman" w:hAnsi="Times New Roman" w:cs="Times New Roman"/>
          <w:color w:val="000000"/>
          <w:szCs w:val="21"/>
        </w:rPr>
        <w:t xml:space="preserve"> lung ventilation; </w:t>
      </w:r>
      <w:r>
        <w:rPr>
          <w:rFonts w:ascii="Times New Roman" w:hAnsi="Times New Roman" w:eastAsia="DejaVu Sans" w:cs="Times New Roman"/>
          <w:color w:val="000000"/>
          <w:szCs w:val="21"/>
        </w:rPr>
        <w:t>PRVC, pressure-regulated volume control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VC/PC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Cs w:val="21"/>
        </w:rPr>
        <w:t>v</w:t>
      </w:r>
      <w:r>
        <w:rPr>
          <w:rFonts w:ascii="Times New Roman" w:hAnsi="Times New Roman" w:eastAsia="DejaVu Sans" w:cs="Times New Roman"/>
          <w:color w:val="000000"/>
          <w:szCs w:val="21"/>
        </w:rPr>
        <w:t>olume control/pressure control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PEEP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 positive end-expiratory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Pplat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eastAsia="DejaVu Sans" w:cs="Times New Roman"/>
          <w:color w:val="000000"/>
          <w:szCs w:val="21"/>
        </w:rPr>
        <w:t>plateau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b</w:t>
      </w:r>
      <w:r>
        <w:rPr>
          <w:rFonts w:ascii="Times New Roman" w:hAnsi="Times New Roman" w:eastAsia="DejaVu Sans" w:cs="Times New Roman"/>
          <w:color w:val="000000"/>
          <w:szCs w:val="21"/>
        </w:rPr>
        <w:t>pm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eastAsia="DejaVu Sans" w:cs="Times New Roman"/>
          <w:color w:val="000000"/>
          <w:szCs w:val="21"/>
        </w:rPr>
        <w:t>breaths per minute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PBW, predicted body weight; Cdyn, dynamic compliance; RMs, recruitment maneuvers; FiO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fraction of </w:t>
      </w:r>
      <w:r>
        <w:rPr>
          <w:rFonts w:hint="eastAsia" w:ascii="Times New Roman" w:hAnsi="Times New Roman" w:cs="Times New Roman"/>
          <w:color w:val="000000"/>
          <w:szCs w:val="21"/>
        </w:rPr>
        <w:t>i</w:t>
      </w:r>
      <w:r>
        <w:rPr>
          <w:rFonts w:ascii="Times New Roman" w:hAnsi="Times New Roman" w:cs="Times New Roman"/>
          <w:color w:val="000000"/>
          <w:szCs w:val="21"/>
        </w:rPr>
        <w:t>nspiratory oxygen</w:t>
      </w:r>
      <w:r>
        <w:rPr>
          <w:rFonts w:hint="eastAsia" w:ascii="Times New Roman" w:hAnsi="Times New Roman" w:cs="Times New Roman"/>
          <w:color w:val="000000"/>
          <w:szCs w:val="21"/>
        </w:rPr>
        <w:t>.</w:t>
      </w:r>
    </w:p>
    <w:p w14:paraId="569CE035">
      <w:pPr>
        <w:spacing w:line="480" w:lineRule="auto"/>
        <w:rPr>
          <w:rFonts w:ascii="Times New Roman" w:hAnsi="Times New Roman" w:cs="Times New Roman"/>
          <w:iCs/>
          <w:szCs w:val="21"/>
        </w:rPr>
      </w:pPr>
    </w:p>
    <w:p w14:paraId="569CE036">
      <w:pPr>
        <w:spacing w:line="480" w:lineRule="auto"/>
        <w:rPr>
          <w:rFonts w:ascii="Times New Roman" w:hAnsi="Times New Roman" w:cs="Times New Roman"/>
          <w:iCs/>
          <w:szCs w:val="21"/>
        </w:rPr>
      </w:pPr>
    </w:p>
    <w:p w14:paraId="569CE037">
      <w:pPr>
        <w:spacing w:line="480" w:lineRule="auto"/>
        <w:rPr>
          <w:rFonts w:ascii="Times New Roman" w:hAnsi="Times New Roman" w:cs="Times New Roman"/>
          <w:iCs/>
          <w:szCs w:val="21"/>
        </w:rPr>
      </w:pPr>
    </w:p>
    <w:p w14:paraId="2CEA3E4F">
      <w:pPr>
        <w:spacing w:line="480" w:lineRule="auto"/>
        <w:rPr>
          <w:rFonts w:ascii="Times New Roman" w:hAnsi="Times New Roman" w:cs="Times New Roman"/>
          <w:b/>
          <w:iCs/>
          <w:sz w:val="24"/>
        </w:rPr>
      </w:pPr>
    </w:p>
    <w:p w14:paraId="46C39928">
      <w:pPr>
        <w:spacing w:line="480" w:lineRule="auto"/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</w:rPr>
      </w:pPr>
    </w:p>
    <w:p w14:paraId="7C2F38DB">
      <w:pPr>
        <w:spacing w:line="480" w:lineRule="auto"/>
        <w:rPr>
          <w:rFonts w:ascii="Times New Roman" w:hAnsi="Times New Roman" w:cs="Times New Roman"/>
          <w:b/>
          <w:iCs/>
          <w:sz w:val="24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Regular" w:hAnsi="Times New Roman Regular" w:eastAsia="等线" w:cs="Times New Roman Regular"/>
          <w:b/>
          <w:bCs/>
          <w:iCs/>
          <w:kern w:val="2"/>
          <w:sz w:val="22"/>
          <w:szCs w:val="22"/>
          <w:lang w:val="en-US" w:eastAsia="zh-CN"/>
        </w:rPr>
        <w:t>Table</w:t>
      </w:r>
      <w:r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  <w:lang w:val="en-US"/>
        </w:rPr>
        <w:t>S2</w:t>
      </w:r>
      <w:r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</w:rPr>
        <w:t xml:space="preserve"> Description of the </w:t>
      </w:r>
      <w:r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  <w:lang w:val="en-US"/>
        </w:rPr>
        <w:t>development</w:t>
      </w:r>
      <w:r>
        <w:rPr>
          <w:rFonts w:hint="default" w:ascii="Times New Roman Bold" w:hAnsi="Times New Roman Bold" w:cs="Times New Roman Bold"/>
          <w:b/>
          <w:bCs w:val="0"/>
          <w:iCs/>
          <w:sz w:val="22"/>
          <w:szCs w:val="22"/>
        </w:rPr>
        <w:t xml:space="preserve"> and validation cohorts</w:t>
      </w:r>
    </w:p>
    <w:tbl>
      <w:tblPr>
        <w:tblStyle w:val="4"/>
        <w:tblW w:w="4823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5"/>
        <w:gridCol w:w="1451"/>
        <w:gridCol w:w="1249"/>
        <w:gridCol w:w="1346"/>
        <w:gridCol w:w="731"/>
      </w:tblGrid>
      <w:tr w14:paraId="569CE046">
        <w:trPr>
          <w:tblHeader/>
          <w:jc w:val="center"/>
        </w:trPr>
        <w:tc>
          <w:tcPr>
            <w:tcW w:w="3235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0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451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0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 xml:space="preserve">Overall </w:t>
            </w:r>
          </w:p>
          <w:p w14:paraId="569CE0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Cohort</w:t>
            </w:r>
          </w:p>
          <w:p w14:paraId="569CE0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n = 1898</w:t>
            </w:r>
          </w:p>
        </w:tc>
        <w:tc>
          <w:tcPr>
            <w:tcW w:w="1249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0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Development  Cohort</w:t>
            </w:r>
          </w:p>
          <w:p w14:paraId="569CE0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cs="Times New Roman Bold"/>
                <w:b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n = 1449</w:t>
            </w:r>
          </w:p>
        </w:tc>
        <w:tc>
          <w:tcPr>
            <w:tcW w:w="1346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0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 xml:space="preserve">Validation </w:t>
            </w:r>
          </w:p>
          <w:p w14:paraId="569CE04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Cohort</w:t>
            </w:r>
          </w:p>
          <w:p w14:paraId="569CE0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cs="Times New Roman Bold"/>
                <w:b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n= 449</w:t>
            </w:r>
          </w:p>
        </w:tc>
        <w:tc>
          <w:tcPr>
            <w:tcW w:w="731" w:type="dxa"/>
            <w:tcBorders>
              <w:bottom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0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hint="default" w:ascii="Times New Roman Bold" w:hAnsi="Times New Roman Bold" w:cs="Times New Roman Bold"/>
                <w:b/>
                <w:bCs/>
                <w:i w:val="0"/>
                <w:iCs w:val="0"/>
                <w:sz w:val="18"/>
                <w:szCs w:val="18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i w:val="0"/>
                <w:iCs w:val="0"/>
                <w:sz w:val="18"/>
                <w:szCs w:val="18"/>
                <w:lang w:val="en-US"/>
              </w:rPr>
              <w:t>P</w:t>
            </w:r>
            <w:r>
              <w:rPr>
                <w:rFonts w:hint="default" w:ascii="Times New Roman Bold" w:hAnsi="Times New Roman Bold" w:cs="Times New Roman Bold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</w:p>
          <w:p w14:paraId="569CE0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values</w:t>
            </w:r>
          </w:p>
        </w:tc>
      </w:tr>
      <w:tr w14:paraId="569CE04C">
        <w:trPr>
          <w:jc w:val="center"/>
        </w:trPr>
        <w:tc>
          <w:tcPr>
            <w:tcW w:w="3235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Demographic characteristics</w:t>
            </w:r>
          </w:p>
        </w:tc>
        <w:tc>
          <w:tcPr>
            <w:tcW w:w="1451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8" w:space="0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5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Age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, median (IQR), years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72 (68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72 (69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78)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71 (68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0.420</w:t>
            </w:r>
          </w:p>
        </w:tc>
      </w:tr>
      <w:tr w14:paraId="569CE05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Male,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1087 (57.3)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821 (56.7)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266 (59.2)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0.334</w:t>
            </w:r>
          </w:p>
        </w:tc>
      </w:tr>
      <w:tr w14:paraId="569CE05E">
        <w:trPr>
          <w:trHeight w:val="90" w:hRule="atLeast"/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BMI,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22.4 (20.7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24.4)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22.5 (20.5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22.2 (21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0.740</w:t>
            </w:r>
          </w:p>
        </w:tc>
      </w:tr>
      <w:tr w14:paraId="569CE064">
        <w:trPr>
          <w:trHeight w:val="90" w:hRule="atLeast"/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ASA,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0.091</w:t>
            </w:r>
          </w:p>
        </w:tc>
      </w:tr>
      <w:tr w14:paraId="569CE06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1504 (79.3)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1145 (79)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359 (80)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7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III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IV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394 (20.2)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304 (21)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90 (20)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6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7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Smoking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status,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472</w:t>
            </w:r>
          </w:p>
        </w:tc>
      </w:tr>
      <w:tr w14:paraId="569CE07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898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47.3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694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47.9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45.4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8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Former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754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39.7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574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(3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.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40.1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8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Current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13.0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12.5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14.5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8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FEV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/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FVC</w:t>
            </w:r>
            <w:r>
              <w:rPr>
                <w:rFonts w:hint="eastAsia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%, n (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0.323</w:t>
            </w:r>
          </w:p>
        </w:tc>
      </w:tr>
      <w:tr w14:paraId="569CE09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8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≥75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1489 (78.5)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1141 (78.7)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348 (77.5)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9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327 (17.2)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237 (16.4)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90 (20.0)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A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&lt; 50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82 (4.3)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71 (4.9)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 (2.4)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0A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bCs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 SpO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&lt;95% in air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204 (10.7)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156 (10.8)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48 (10.7)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0.964</w:t>
            </w:r>
          </w:p>
        </w:tc>
      </w:tr>
      <w:tr w14:paraId="569CE0A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Functional status,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0.890</w:t>
            </w:r>
          </w:p>
        </w:tc>
      </w:tr>
      <w:tr w14:paraId="569CE0B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Independent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1824 (96.1)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1393 (96.1)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431 (96)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B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Partially or totally dependent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74 (3.9)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56 (3.9)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 (4.0)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B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Disseminated cancer,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123 (6.5)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89 (6.1)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34 (7.6)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0.282</w:t>
            </w:r>
          </w:p>
        </w:tc>
      </w:tr>
      <w:tr w14:paraId="569CE0C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Tumor pathology,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0.951</w:t>
            </w:r>
          </w:p>
        </w:tc>
      </w:tr>
      <w:tr w14:paraId="569CE0C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Squamous cell carcinoma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610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32.1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32.2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144 (32.1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D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Adenocarcinoma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050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55.3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802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55.3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248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55.2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D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Other type of cancer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9.3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10.5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9.8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D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Non–cancer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62 (3.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49 (3.4)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2.9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E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Cancer clinical stage, n/total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D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0.677</w:t>
            </w:r>
          </w:p>
        </w:tc>
      </w:tr>
      <w:tr w14:paraId="569CE0E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Ⅰ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0/1836</w:t>
            </w:r>
            <w:r>
              <w:rPr>
                <w:rFonts w:hint="default" w:ascii="Times New Roman Regular" w:hAnsi="Times New Roman Regular" w:eastAsia="DejaVu Sans" w:cs="Times New Roman Regular"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(59.9)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/1400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59.3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/436 (6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1.9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E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Ⅱ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418/1836 (22.8)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317/1400 (22.6)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101/436 (23.1)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F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Ⅲ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9/1836 (13.0)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/1400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/436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11.0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0F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Ⅳ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79/1836 (4.3)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62/1400 (4.4)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17/436 (3.9)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10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 hypoalbuminemia,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363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(19.1)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292 (20.2)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71 (15.8)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0F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0.041</w:t>
            </w:r>
          </w:p>
        </w:tc>
      </w:tr>
      <w:tr w14:paraId="569CE10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1C2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Respiratory infection in the last 30 days, </w:t>
            </w:r>
          </w:p>
          <w:p w14:paraId="569CE1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311 (16.4)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271 (18.7)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 (</w:t>
            </w:r>
            <w:r>
              <w:rPr>
                <w:rFonts w:ascii="Times New Roman Regular" w:hAnsi="Times New Roman Regular" w:cs="Times New Roman Regular"/>
                <w:color w:val="000000"/>
                <w:sz w:val="18"/>
                <w:szCs w:val="18"/>
              </w:rPr>
              <w:t>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0.001</w:t>
            </w:r>
          </w:p>
        </w:tc>
      </w:tr>
      <w:tr w14:paraId="569CE10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 anemia,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213 (11.2)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158 (10.9)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55 (12.2)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0.430</w:t>
            </w:r>
          </w:p>
        </w:tc>
      </w:tr>
      <w:tr w14:paraId="569CE112">
        <w:trPr>
          <w:trHeight w:val="90" w:hRule="atLeast"/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Neoadjuvant chemotherapy,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322 (17)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0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256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66 (14.7)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51</w:t>
            </w:r>
          </w:p>
        </w:tc>
      </w:tr>
      <w:tr w14:paraId="569CE11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Comorbidity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1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Diabetes mellitus,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242 (12.8)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184 (12.7)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58 (12.9)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0.903</w:t>
            </w:r>
          </w:p>
        </w:tc>
      </w:tr>
      <w:tr w14:paraId="569CE12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Hypertension,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533 (28.1)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405 (28.0)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128 (28.5)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0.818</w:t>
            </w:r>
          </w:p>
        </w:tc>
      </w:tr>
      <w:tr w14:paraId="569CE12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Asthma,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49 (2.6)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36 (2.5)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 (2.9)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0.631</w:t>
            </w:r>
          </w:p>
        </w:tc>
      </w:tr>
      <w:tr w14:paraId="569CE13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CVA/TIA,</w:t>
            </w:r>
            <w:r>
              <w:rPr>
                <w:rFonts w:hint="eastAsia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127 (6.7)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99 (6.8)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28 (6.2)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0.659</w:t>
            </w:r>
          </w:p>
        </w:tc>
      </w:tr>
      <w:tr w14:paraId="569CE13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CAD,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320 (16.9)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245 (16.9)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75 (16.7)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0.201</w:t>
            </w:r>
          </w:p>
        </w:tc>
      </w:tr>
      <w:tr w14:paraId="569CE13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COPD,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44 (2.3)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36 (2.5)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 (1.8)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0.387</w:t>
            </w:r>
          </w:p>
        </w:tc>
      </w:tr>
      <w:tr w14:paraId="569CE14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CHF,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 (0.5)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 (0.5)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0.220</w:t>
            </w:r>
          </w:p>
        </w:tc>
      </w:tr>
      <w:tr w14:paraId="569CE14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OSAHS,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30 (1.6)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 (1.7)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0.364</w:t>
            </w:r>
          </w:p>
        </w:tc>
      </w:tr>
      <w:tr w14:paraId="569CE14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CKD,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 (0.4)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 (0.4)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 (0.4)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0.410</w:t>
            </w:r>
          </w:p>
        </w:tc>
      </w:tr>
      <w:tr w14:paraId="569CE15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Liver disease,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 (0.3)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 (0.3)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0.313</w:t>
            </w:r>
          </w:p>
        </w:tc>
      </w:tr>
      <w:tr w14:paraId="569CE15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Intraoperative characteristics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16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</w:t>
            </w:r>
            <w:r>
              <w:rPr>
                <w:rFonts w:hint="eastAsia" w:ascii="Times New Roman Regular" w:hAnsi="Times New Roman Regular" w:eastAsia="宋体" w:cs="Times New Roman Regular"/>
                <w:color w:val="000000"/>
                <w:sz w:val="18"/>
                <w:szCs w:val="18"/>
              </w:rPr>
              <w:t>urgica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l approach,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</w:t>
            </w:r>
            <w:r>
              <w:rPr>
                <w:rFonts w:hint="eastAsia" w:ascii="Times New Roman Regular" w:hAnsi="Times New Roman Regular" w:cs="Times New Roman Regular"/>
                <w:sz w:val="18"/>
                <w:szCs w:val="18"/>
              </w:rPr>
              <w:t>590</w:t>
            </w:r>
          </w:p>
        </w:tc>
      </w:tr>
      <w:tr w14:paraId="569CE16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VATS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961 (50.6)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740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51.1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49.2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6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RATS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693 (36.5)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520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35.9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173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38.6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7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Thoracotomy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244 (12.9)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6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(1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3.0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7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Type of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anesthesia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0.458</w:t>
            </w:r>
          </w:p>
        </w:tc>
      </w:tr>
      <w:tr w14:paraId="569CE17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Balanced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1532 (80.7)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1175 (81.1)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357 (79.5)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8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TIVA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366 (19.3)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274 (18.9)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92 (20.5)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8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Resection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0.809</w:t>
            </w:r>
          </w:p>
        </w:tc>
      </w:tr>
      <w:tr w14:paraId="569CE19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Wedge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232 (12.2)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75 (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.1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57 (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8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96">
        <w:trPr>
          <w:trHeight w:val="90" w:hRule="atLeast"/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Segment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396 (20.9)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298 (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20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.6)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98 (21.8)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9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Lobe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902 (47.5)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698 (48.2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204 (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45.5)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A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/>
              </w:rPr>
              <w:t>E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sophagus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279 (14.7)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213 (14.6)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66 (14.7)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A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Mediastinal tumor or pericardium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89 (4.7)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65 (4.5)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24 (5.3)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A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Desaturation of &lt; 92% for &gt; 2 min, n (%) 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239 (12.6)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193 (13.3)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46 (10.2)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0.086</w:t>
            </w:r>
          </w:p>
        </w:tc>
      </w:tr>
      <w:tr w14:paraId="569CE1B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Hypotension,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190 (10)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163 (11.2)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27 (6.0)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0.501</w:t>
            </w:r>
          </w:p>
        </w:tc>
      </w:tr>
      <w:tr w14:paraId="569CE1B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Arrhythmia,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 (11.6)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 (1.0)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 (1.8)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0.158</w:t>
            </w:r>
          </w:p>
        </w:tc>
      </w:tr>
      <w:tr w14:paraId="569CE1C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Reversal of NMBAs,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1827 (96.3)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1395 (96.3)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432 (96.2)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0.954</w:t>
            </w:r>
          </w:p>
        </w:tc>
      </w:tr>
      <w:tr w14:paraId="569CE1C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Duration of surgery,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175 (125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175 (125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16</w:t>
            </w:r>
            <w:r>
              <w:rPr>
                <w:rFonts w:ascii="Times New Roman Regular" w:hAnsi="Times New Roman Regular" w:cs="Times New Roman Regular"/>
                <w:color w:val="00000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(12</w:t>
            </w:r>
            <w:r>
              <w:rPr>
                <w:rFonts w:ascii="Times New Roman Regular" w:hAnsi="Times New Roman Regular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/>
                <w:color w:val="00000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</w:t>
            </w:r>
          </w:p>
        </w:tc>
      </w:tr>
      <w:tr w14:paraId="569CE1C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Duration of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anesthesia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250 (200–330)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255 (200–340)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250 (195–330)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0.069</w:t>
            </w:r>
          </w:p>
        </w:tc>
      </w:tr>
      <w:tr w14:paraId="569CE1D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Duration of OLV,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115 (95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120 (90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115 (90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/>
                <w:color w:val="000000"/>
                <w:sz w:val="18"/>
                <w:szCs w:val="18"/>
              </w:rPr>
              <w:t>68</w:t>
            </w:r>
          </w:p>
        </w:tc>
      </w:tr>
      <w:tr w14:paraId="569CE1D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color w:val="000000"/>
                <w:sz w:val="18"/>
                <w:szCs w:val="18"/>
              </w:rPr>
              <w:t>Ventilation parameters of OLV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1D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Ventilation mode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0.117</w:t>
            </w:r>
          </w:p>
        </w:tc>
      </w:tr>
      <w:tr w14:paraId="569CE1E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D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PRVC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1497 (78.9)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1131 (78.1)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366 (81.5)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E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VC/PC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401 (21.1)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318 (21.9)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83 (18.5)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F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PEEP (cm</w:t>
            </w:r>
            <w:r>
              <w:rPr>
                <w:rFonts w:hint="eastAsia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O)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0.390</w:t>
            </w:r>
          </w:p>
        </w:tc>
      </w:tr>
      <w:tr w14:paraId="569CE1F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微软雅黑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微软雅黑" w:cs="Times New Roman Regular"/>
                <w:color w:val="000000"/>
                <w:sz w:val="18"/>
                <w:szCs w:val="18"/>
              </w:rPr>
              <w:t>&lt;5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153 (8.1)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112 (7.7)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41 (9.1)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1F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微软雅黑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微软雅黑" w:cs="Times New Roman Regular"/>
                <w:color w:val="000000"/>
                <w:sz w:val="18"/>
                <w:szCs w:val="18"/>
              </w:rPr>
              <w:t>≥5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1745 (91.9)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1337 (92.3)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408 (90.9)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20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Pplat, cmH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19 (17–22)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1F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19 (17–22)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 (18–23)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0.058</w:t>
            </w:r>
          </w:p>
        </w:tc>
      </w:tr>
      <w:tr w14:paraId="569CE20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Tidal volumes,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PBW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5.42 (4.91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5.42 (4.91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5.45 (4.85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0.978</w:t>
            </w:r>
          </w:p>
        </w:tc>
      </w:tr>
      <w:tr w14:paraId="569CE20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Respiratory rate,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bpm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 (14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 (14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15)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 xml:space="preserve"> (15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0.231</w:t>
            </w:r>
          </w:p>
        </w:tc>
      </w:tr>
      <w:tr w14:paraId="569CE21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0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Cdyn,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 (19</w:t>
            </w:r>
            <w:r>
              <w:rPr>
                <w:rFonts w:ascii="Times New Roman Regular" w:hAnsi="Times New Roman Regular" w:cs="Times New Roman Regular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 (18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 (20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0.221</w:t>
            </w:r>
          </w:p>
        </w:tc>
      </w:tr>
      <w:tr w14:paraId="569CE21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Driving pressure,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 (17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18 (16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20 (18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22)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0.344</w:t>
            </w:r>
          </w:p>
        </w:tc>
      </w:tr>
      <w:tr w14:paraId="569CE22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RMs pressure,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 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 (20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 (20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23)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19 (18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0.652</w:t>
            </w:r>
          </w:p>
        </w:tc>
      </w:tr>
      <w:tr w14:paraId="569CE22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FiO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 xml:space="preserve">2,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%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0.420</w:t>
            </w:r>
          </w:p>
        </w:tc>
      </w:tr>
      <w:tr w14:paraId="569CE22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≥70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1737 (91.5)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1330 (91.8)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407 (90.6)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23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50–69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161 (8.5)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119 (8.2)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42 (9.4)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238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Fluid </w:t>
            </w:r>
            <w:r>
              <w:rPr>
                <w:rFonts w:hint="eastAsia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loading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PBW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4.7 (3.3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4.7 (3.2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6.8)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4.8 (3.0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6.9)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0.082</w:t>
            </w:r>
          </w:p>
        </w:tc>
      </w:tr>
      <w:tr w14:paraId="569CE23E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Transfusion, n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8 (0.4)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6 (0.4)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2 (0.4)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0.620</w:t>
            </w:r>
          </w:p>
        </w:tc>
      </w:tr>
      <w:tr w14:paraId="569CE244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eastAsia="宋体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 xml:space="preserve">Estimated blood loss,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宋体" w:cs="Times New Roman Regular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宋体" w:cs="Times New Roman Regular"/>
                <w:sz w:val="22"/>
                <w:szCs w:val="22"/>
                <w:vertAlign w:val="superscript"/>
                <w:lang w:val="en-US" w:eastAsia="zh-CN"/>
              </w:rPr>
              <w:t>†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100 (50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100 (50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150)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100 (50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0.591</w:t>
            </w:r>
          </w:p>
        </w:tc>
      </w:tr>
      <w:tr w14:paraId="569CE24A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Urine output,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宋体" w:cs="Times New Roman Regular"/>
                <w:sz w:val="22"/>
                <w:szCs w:val="22"/>
                <w:vertAlign w:val="superscript"/>
                <w:lang w:val="en-US" w:eastAsia="zh-CN"/>
              </w:rPr>
              <w:t>‡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450 (300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700)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500 (300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700)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450 (300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600)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0.822</w:t>
            </w:r>
          </w:p>
        </w:tc>
      </w:tr>
      <w:tr w14:paraId="569CE250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LOS,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days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 (3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 (3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5 (3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0.442</w:t>
            </w:r>
          </w:p>
        </w:tc>
      </w:tr>
      <w:tr w14:paraId="569CE256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ICU admission, n/total (%)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61/1898 (3.2)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47/1449 (3.2)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14/449 (3.1)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0.447</w:t>
            </w:r>
          </w:p>
        </w:tc>
      </w:tr>
      <w:tr w14:paraId="569CE25C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30–day mortality, n/total (%)</w:t>
            </w:r>
            <w:r>
              <w:rPr>
                <w:rFonts w:hint="default" w:ascii="Times New Roman Regular" w:hAnsi="Times New Roman Regular" w:cs="Times New Roman Regular"/>
                <w:sz w:val="22"/>
                <w:szCs w:val="22"/>
                <w:vertAlign w:val="superscript"/>
                <w:lang w:val="en-US"/>
              </w:rPr>
              <w:t>§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12 /1892 (0.6)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10/1445 (0.7)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2/447 (0.5)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0.609</w:t>
            </w:r>
          </w:p>
        </w:tc>
      </w:tr>
      <w:tr w14:paraId="569CE262">
        <w:trPr>
          <w:jc w:val="center"/>
        </w:trPr>
        <w:tc>
          <w:tcPr>
            <w:tcW w:w="323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90–day mortality, n/total (%)</w:t>
            </w:r>
            <w:r>
              <w:rPr>
                <w:rFonts w:hint="default" w:ascii="Times New Roman Regular" w:hAnsi="Times New Roman Regular" w:cs="Times New Roman Regular"/>
                <w:sz w:val="22"/>
                <w:szCs w:val="22"/>
                <w:vertAlign w:val="superscript"/>
                <w:lang w:val="en-US"/>
              </w:rPr>
              <w:t>§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16 /1862 (0.9)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13/1421 (0.9)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3/441 (0.7)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0.802</w:t>
            </w:r>
          </w:p>
        </w:tc>
      </w:tr>
    </w:tbl>
    <w:p w14:paraId="32471D67">
      <w:pPr>
        <w:spacing w:line="480" w:lineRule="auto"/>
        <w:rPr>
          <w:rFonts w:ascii="Times New Roman" w:hAnsi="Times New Roman" w:cs="Times New Roman"/>
          <w:iCs/>
          <w:szCs w:val="21"/>
          <w:vertAlign w:val="superscript"/>
        </w:rPr>
      </w:pPr>
      <w:r>
        <w:rPr>
          <w:rFonts w:hint="default" w:ascii="Times New Roman" w:hAnsi="Times New Roman" w:cs="Times New Roman"/>
          <w:iCs/>
          <w:szCs w:val="21"/>
          <w:vertAlign w:val="superscript"/>
          <w:lang w:val="en-US"/>
        </w:rPr>
        <w:t>*</w:t>
      </w:r>
      <w:r>
        <w:rPr>
          <w:rFonts w:ascii="Times New Roman" w:hAnsi="Times New Roman" w:cs="Times New Roman"/>
          <w:iCs/>
          <w:szCs w:val="21"/>
        </w:rPr>
        <w:t>Analysis of 1870 patients (1443 vs. 437).</w:t>
      </w:r>
      <w:r>
        <w:rPr>
          <w:rFonts w:ascii="Times New Roman" w:hAnsi="Times New Roman" w:cs="Times New Roman"/>
          <w:iCs/>
          <w:szCs w:val="21"/>
          <w:vertAlign w:val="superscript"/>
        </w:rPr>
        <w:t xml:space="preserve"> </w:t>
      </w:r>
    </w:p>
    <w:p w14:paraId="7D68720E">
      <w:pPr>
        <w:spacing w:line="480" w:lineRule="auto"/>
        <w:rPr>
          <w:rFonts w:ascii="Times New Roman" w:hAnsi="Times New Roman" w:cs="Times New Roman"/>
          <w:iCs/>
          <w:szCs w:val="21"/>
        </w:rPr>
      </w:pPr>
      <w:r>
        <w:rPr>
          <w:rFonts w:hint="default" w:ascii="Times New Roman Regular" w:hAnsi="Times New Roman Regular" w:eastAsia="宋体" w:cs="Times New Roman Regular"/>
          <w:sz w:val="22"/>
          <w:szCs w:val="22"/>
          <w:vertAlign w:val="superscript"/>
          <w:lang w:val="en-US" w:eastAsia="zh-CN"/>
        </w:rPr>
        <w:t>†</w:t>
      </w:r>
      <w:r>
        <w:rPr>
          <w:rFonts w:ascii="Times New Roman" w:hAnsi="Times New Roman" w:cs="Times New Roman"/>
          <w:iCs/>
          <w:szCs w:val="21"/>
        </w:rPr>
        <w:t xml:space="preserve">Analysis of 1824 patients (1389 vs. 435). </w:t>
      </w:r>
    </w:p>
    <w:p w14:paraId="7B932B2D">
      <w:pPr>
        <w:spacing w:line="480" w:lineRule="auto"/>
        <w:rPr>
          <w:rFonts w:ascii="Times New Roman" w:hAnsi="Times New Roman" w:cs="Times New Roman"/>
          <w:iCs/>
          <w:szCs w:val="21"/>
        </w:rPr>
      </w:pPr>
      <w:r>
        <w:rPr>
          <w:rFonts w:hint="default" w:ascii="Times New Roman Regular" w:hAnsi="Times New Roman Regular" w:eastAsia="宋体" w:cs="Times New Roman Regular"/>
          <w:sz w:val="22"/>
          <w:szCs w:val="22"/>
          <w:vertAlign w:val="superscript"/>
          <w:lang w:val="en-US" w:eastAsia="zh-CN"/>
        </w:rPr>
        <w:t>‡</w:t>
      </w:r>
      <w:r>
        <w:rPr>
          <w:rFonts w:ascii="Times New Roman" w:hAnsi="Times New Roman" w:cs="Times New Roman"/>
          <w:iCs/>
          <w:szCs w:val="21"/>
        </w:rPr>
        <w:t xml:space="preserve">Analysis of 1711 patients (1317 vs. 394). </w:t>
      </w:r>
    </w:p>
    <w:p w14:paraId="1E32EF9B">
      <w:pPr>
        <w:spacing w:line="480" w:lineRule="auto"/>
        <w:rPr>
          <w:rFonts w:ascii="Times New Roman" w:hAnsi="Times New Roman" w:cs="Times New Roman"/>
          <w:iCs/>
          <w:szCs w:val="21"/>
        </w:rPr>
      </w:pPr>
      <w:r>
        <w:rPr>
          <w:rFonts w:hint="default" w:ascii="Times New Roman Regular" w:hAnsi="Times New Roman Regular" w:cs="Times New Roman Regular"/>
          <w:sz w:val="22"/>
          <w:szCs w:val="22"/>
          <w:vertAlign w:val="superscript"/>
          <w:lang w:val="en-US"/>
        </w:rPr>
        <w:t>§</w:t>
      </w:r>
      <w:r>
        <w:rPr>
          <w:rFonts w:ascii="Times New Roman" w:hAnsi="Times New Roman" w:cs="Times New Roman"/>
          <w:iCs/>
          <w:szCs w:val="21"/>
        </w:rPr>
        <w:t xml:space="preserve">In total 6 values (0.3%) were missing for 30-day mortality and 36 (1.9%) for 90-day mortality in the overall cohort. </w:t>
      </w:r>
    </w:p>
    <w:p w14:paraId="569CE264">
      <w:pPr>
        <w:spacing w:line="480" w:lineRule="auto"/>
        <w:rPr>
          <w:rFonts w:hint="default" w:ascii="Times New Roman" w:hAnsi="Times New Roman" w:cs="Times New Roman"/>
          <w:iCs/>
          <w:szCs w:val="21"/>
          <w:lang w:val="en-US"/>
        </w:rPr>
      </w:pPr>
      <w:r>
        <w:rPr>
          <w:rFonts w:ascii="Times New Roman" w:hAnsi="Times New Roman" w:cs="Times New Roman"/>
          <w:iCs/>
          <w:szCs w:val="21"/>
        </w:rPr>
        <w:t>ASA, American Society of Anesthesiologists; FEV, forced expiratory volume in 1 s; FVC, forced vital capacity; SpO</w:t>
      </w:r>
      <w:r>
        <w:rPr>
          <w:rFonts w:ascii="Times New Roman" w:hAnsi="Times New Roman" w:cs="Times New Roman"/>
          <w:iCs/>
          <w:szCs w:val="21"/>
          <w:vertAlign w:val="subscript"/>
        </w:rPr>
        <w:t>2</w:t>
      </w:r>
      <w:r>
        <w:rPr>
          <w:rFonts w:ascii="Times New Roman" w:hAnsi="Times New Roman" w:cs="Times New Roman"/>
          <w:iCs/>
          <w:szCs w:val="21"/>
        </w:rPr>
        <w:t xml:space="preserve">, peripheral oxyhemoglobin saturation; CVA, cerebrovascular accident; TIA, transient ischemic attack; CAD, coronary artery disease; COPD, chronic obstructive pulmonary disease; CHF, chronic heart failure; OSAHS, obstructive sleep apnea hypopnea syndrome; CKD, chronic kidney disease; VATS, video-assisted thoracic surgery; RATS, robotic-assisted thoracic surgery; TIVA, total intravenous </w:t>
      </w:r>
      <w:r>
        <w:rPr>
          <w:rFonts w:ascii="Times New Roman" w:hAnsi="Times New Roman" w:cs="Times New Roman"/>
          <w:iCs/>
          <w:szCs w:val="21"/>
          <w:lang w:val="en-US"/>
        </w:rPr>
        <w:t>anesthesia</w:t>
      </w:r>
      <w:r>
        <w:rPr>
          <w:rFonts w:ascii="Times New Roman" w:hAnsi="Times New Roman" w:cs="Times New Roman"/>
          <w:iCs/>
          <w:szCs w:val="21"/>
        </w:rPr>
        <w:t>; NMBAs, neuromuscular block agents; OLV, one-lung ventilation; PRVC, pressure-regulated volume control; VC, volume control; PC, pressure control; PEEP, positive end-expiratory pressure; Pplat, plateau pressure; bpm, breaths per minute; PBW, predicted body weight; Cdyn, dynamic compliance; RMs, recruitment maneuvers; FiO</w:t>
      </w:r>
      <w:r>
        <w:rPr>
          <w:rFonts w:ascii="Times New Roman" w:hAnsi="Times New Roman" w:cs="Times New Roman"/>
          <w:iCs/>
          <w:szCs w:val="21"/>
          <w:vertAlign w:val="subscript"/>
        </w:rPr>
        <w:t>2</w:t>
      </w:r>
      <w:r>
        <w:rPr>
          <w:rFonts w:ascii="Times New Roman" w:hAnsi="Times New Roman" w:cs="Times New Roman"/>
          <w:iCs/>
          <w:szCs w:val="21"/>
        </w:rPr>
        <w:t>, fraction of inspiratory oxygen; LOS, length of hospital stay; ICU, intensive care unit</w:t>
      </w:r>
      <w:r>
        <w:rPr>
          <w:rFonts w:hint="default" w:ascii="Times New Roman" w:hAnsi="Times New Roman" w:cs="Times New Roman"/>
          <w:iCs/>
          <w:szCs w:val="21"/>
          <w:lang w:val="en-US"/>
        </w:rPr>
        <w:t>.</w:t>
      </w:r>
    </w:p>
    <w:p w14:paraId="569CE265"/>
    <w:p w14:paraId="429389DB">
      <w:pPr>
        <w:spacing w:line="360" w:lineRule="auto"/>
        <w:rPr>
          <w:rFonts w:hint="default" w:ascii="Times New Roman Regular" w:hAnsi="Times New Roman Regular" w:cs="Times New Roman Regular"/>
          <w:b/>
          <w:bCs/>
          <w:iCs/>
          <w:sz w:val="22"/>
          <w:szCs w:val="22"/>
        </w:rPr>
      </w:pPr>
    </w:p>
    <w:p w14:paraId="370F4FE0">
      <w:pPr>
        <w:spacing w:line="360" w:lineRule="auto"/>
        <w:rPr>
          <w:rFonts w:hint="default" w:ascii="Times New Roman Regular" w:hAnsi="Times New Roman Regular" w:cs="Times New Roman Regular"/>
          <w:b w:val="0"/>
          <w:bCs w:val="0"/>
          <w:iCs/>
          <w:sz w:val="22"/>
          <w:szCs w:val="22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Regular" w:hAnsi="Times New Roman Regular" w:eastAsia="等线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Table </w:t>
      </w:r>
      <w:r>
        <w:rPr>
          <w:rFonts w:hint="default" w:ascii="Times New Roman Regular" w:hAnsi="Times New Roman Regular" w:cs="Times New Roman Regular"/>
          <w:b/>
          <w:bCs/>
          <w:iCs/>
          <w:sz w:val="22"/>
          <w:szCs w:val="22"/>
          <w:lang w:val="en-US"/>
        </w:rPr>
        <w:t>S3</w:t>
      </w:r>
      <w:r>
        <w:rPr>
          <w:rFonts w:hint="default" w:ascii="Times New Roman Bold" w:hAnsi="Times New Roman Bold" w:cs="Times New Roman Bold"/>
          <w:b/>
          <w:bCs/>
          <w:iCs/>
          <w:sz w:val="22"/>
          <w:szCs w:val="22"/>
        </w:rPr>
        <w:t xml:space="preserve"> Development of postoperative pulmonary complications in the </w:t>
      </w:r>
      <w:r>
        <w:rPr>
          <w:rFonts w:hint="default" w:ascii="Times New Roman Bold" w:hAnsi="Times New Roman Bold" w:cs="Times New Roman Bold"/>
          <w:b/>
          <w:bCs/>
          <w:iCs/>
          <w:sz w:val="22"/>
          <w:szCs w:val="22"/>
          <w:lang w:val="en-US"/>
        </w:rPr>
        <w:t>development</w:t>
      </w:r>
      <w:r>
        <w:rPr>
          <w:rFonts w:hint="default" w:ascii="Times New Roman Bold" w:hAnsi="Times New Roman Bold" w:cs="Times New Roman Bold"/>
          <w:b/>
          <w:bCs/>
          <w:iCs/>
          <w:sz w:val="22"/>
          <w:szCs w:val="22"/>
        </w:rPr>
        <w:t xml:space="preserve"> and validation cohorts </w:t>
      </w:r>
    </w:p>
    <w:p w14:paraId="0D5B38B6">
      <w:pPr>
        <w:spacing w:line="480" w:lineRule="auto"/>
        <w:rPr>
          <w:rFonts w:ascii="Times New Roman" w:hAnsi="Times New Roman" w:cs="Times New Roman"/>
          <w:b/>
          <w:bCs/>
          <w:iCs/>
          <w:sz w:val="24"/>
        </w:rPr>
      </w:pPr>
    </w:p>
    <w:tbl>
      <w:tblPr>
        <w:tblStyle w:val="4"/>
        <w:tblW w:w="7869" w:type="dxa"/>
        <w:tblInd w:w="17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4"/>
        <w:gridCol w:w="1309"/>
        <w:gridCol w:w="1191"/>
        <w:gridCol w:w="1143"/>
        <w:gridCol w:w="892"/>
      </w:tblGrid>
      <w:tr w14:paraId="569CE273">
        <w:trPr>
          <w:trHeight w:val="1044" w:hRule="atLeast"/>
        </w:trPr>
        <w:tc>
          <w:tcPr>
            <w:tcW w:w="3334" w:type="dxa"/>
            <w:tcBorders>
              <w:bottom w:val="single" w:color="auto" w:sz="4" w:space="0"/>
            </w:tcBorders>
          </w:tcPr>
          <w:p w14:paraId="569CE269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 xml:space="preserve">Components            </w:t>
            </w:r>
          </w:p>
        </w:tc>
        <w:tc>
          <w:tcPr>
            <w:tcW w:w="1309" w:type="dxa"/>
            <w:tcBorders>
              <w:bottom w:val="single" w:color="auto" w:sz="4" w:space="0"/>
            </w:tcBorders>
          </w:tcPr>
          <w:p w14:paraId="569CE26A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 xml:space="preserve">Overall </w:t>
            </w:r>
          </w:p>
          <w:p w14:paraId="569CE26B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cohort</w:t>
            </w:r>
          </w:p>
          <w:p w14:paraId="569CE26C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n = 1898</w:t>
            </w:r>
          </w:p>
        </w:tc>
        <w:tc>
          <w:tcPr>
            <w:tcW w:w="1191" w:type="dxa"/>
            <w:tcBorders>
              <w:bottom w:val="single" w:color="auto" w:sz="4" w:space="0"/>
            </w:tcBorders>
          </w:tcPr>
          <w:p w14:paraId="569CE26D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Development cohort</w:t>
            </w:r>
          </w:p>
          <w:p w14:paraId="569CE26E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n = 1449</w:t>
            </w:r>
          </w:p>
        </w:tc>
        <w:tc>
          <w:tcPr>
            <w:tcW w:w="1143" w:type="dxa"/>
            <w:tcBorders>
              <w:bottom w:val="single" w:color="auto" w:sz="4" w:space="0"/>
            </w:tcBorders>
          </w:tcPr>
          <w:p w14:paraId="569CE26F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Validation cohort</w:t>
            </w:r>
          </w:p>
          <w:p w14:paraId="569CE270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n = 449</w:t>
            </w:r>
          </w:p>
        </w:tc>
        <w:tc>
          <w:tcPr>
            <w:tcW w:w="892" w:type="dxa"/>
            <w:tcBorders>
              <w:bottom w:val="single" w:color="auto" w:sz="4" w:space="0"/>
            </w:tcBorders>
          </w:tcPr>
          <w:p w14:paraId="569CE271">
            <w:pPr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</w:p>
          <w:p w14:paraId="569CE272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values</w:t>
            </w:r>
          </w:p>
        </w:tc>
      </w:tr>
      <w:tr w14:paraId="569CE279">
        <w:tc>
          <w:tcPr>
            <w:tcW w:w="3334" w:type="dxa"/>
            <w:tcBorders>
              <w:top w:val="single" w:color="auto" w:sz="4" w:space="0"/>
              <w:tl2br w:val="nil"/>
              <w:tr2bl w:val="nil"/>
            </w:tcBorders>
          </w:tcPr>
          <w:p w14:paraId="569CE274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PPCs composite, n (%)</w:t>
            </w:r>
          </w:p>
        </w:tc>
        <w:tc>
          <w:tcPr>
            <w:tcW w:w="1309" w:type="dxa"/>
            <w:tcBorders>
              <w:top w:val="single" w:color="auto" w:sz="4" w:space="0"/>
              <w:tl2br w:val="nil"/>
              <w:tr2bl w:val="nil"/>
            </w:tcBorders>
          </w:tcPr>
          <w:p w14:paraId="569CE275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647 (34.1)</w:t>
            </w:r>
          </w:p>
        </w:tc>
        <w:tc>
          <w:tcPr>
            <w:tcW w:w="119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569CE27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506 (34.9)</w:t>
            </w:r>
          </w:p>
        </w:tc>
        <w:tc>
          <w:tcPr>
            <w:tcW w:w="114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569CE277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141 (31.4)</w:t>
            </w:r>
          </w:p>
        </w:tc>
        <w:tc>
          <w:tcPr>
            <w:tcW w:w="892" w:type="dxa"/>
            <w:tcBorders>
              <w:top w:val="single" w:color="auto" w:sz="4" w:space="0"/>
              <w:tl2br w:val="nil"/>
              <w:tr2bl w:val="nil"/>
            </w:tcBorders>
          </w:tcPr>
          <w:p w14:paraId="569CE278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0.172</w:t>
            </w:r>
          </w:p>
        </w:tc>
      </w:tr>
      <w:tr w14:paraId="569CE283">
        <w:tc>
          <w:tcPr>
            <w:tcW w:w="3334" w:type="dxa"/>
            <w:tcBorders>
              <w:tl2br w:val="nil"/>
              <w:tr2bl w:val="nil"/>
            </w:tcBorders>
          </w:tcPr>
          <w:p w14:paraId="569CE27A">
            <w:pPr>
              <w:ind w:firstLine="270" w:firstLineChars="15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Prolonged oxygen supplement by NC</w:t>
            </w:r>
          </w:p>
          <w:p w14:paraId="569CE27B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or FM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7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221 </w:t>
            </w:r>
          </w:p>
          <w:p w14:paraId="569CE27D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(11.6)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7E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170 </w:t>
            </w:r>
          </w:p>
          <w:p w14:paraId="569CE27F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(11.7)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80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51 </w:t>
            </w:r>
          </w:p>
          <w:p w14:paraId="569CE281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(11.4)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82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0.867</w:t>
            </w:r>
          </w:p>
        </w:tc>
      </w:tr>
      <w:tr w14:paraId="569CE289">
        <w:tc>
          <w:tcPr>
            <w:tcW w:w="3334" w:type="dxa"/>
            <w:tcBorders>
              <w:tl2br w:val="nil"/>
              <w:tr2bl w:val="nil"/>
            </w:tcBorders>
          </w:tcPr>
          <w:p w14:paraId="569CE284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iCs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Prolonged chest tube placement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85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255 (13.4)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86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191 (13.2)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87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50 (11.1)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88">
            <w:pPr>
              <w:rPr>
                <w:rFonts w:ascii="Times New Roman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0.342</w:t>
            </w:r>
          </w:p>
        </w:tc>
      </w:tr>
      <w:tr w14:paraId="569CE28F">
        <w:tc>
          <w:tcPr>
            <w:tcW w:w="3334" w:type="dxa"/>
            <w:tcBorders>
              <w:tl2br w:val="nil"/>
              <w:tr2bl w:val="nil"/>
            </w:tcBorders>
          </w:tcPr>
          <w:p w14:paraId="569CE28A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Atelectasis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8B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296 (15.6)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8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214 (14.8)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8D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58 (12.9)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8E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0.264</w:t>
            </w:r>
          </w:p>
        </w:tc>
      </w:tr>
      <w:tr w14:paraId="569CE295">
        <w:tc>
          <w:tcPr>
            <w:tcW w:w="3334" w:type="dxa"/>
            <w:tcBorders>
              <w:tl2br w:val="nil"/>
              <w:tr2bl w:val="nil"/>
            </w:tcBorders>
          </w:tcPr>
          <w:p w14:paraId="569CE290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Respiratory failure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91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28 (1.50)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92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50 (3.50)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93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16 (3.60)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94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0.507</w:t>
            </w:r>
          </w:p>
        </w:tc>
      </w:tr>
      <w:tr w14:paraId="569CE29B">
        <w:tc>
          <w:tcPr>
            <w:tcW w:w="3334" w:type="dxa"/>
            <w:tcBorders>
              <w:tl2br w:val="nil"/>
              <w:tr2bl w:val="nil"/>
            </w:tcBorders>
          </w:tcPr>
          <w:p w14:paraId="569CE296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ARDS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97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18 (1.00)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98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13 (0.90)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9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 (1.10)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9A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0.780</w:t>
            </w:r>
          </w:p>
        </w:tc>
      </w:tr>
      <w:tr w14:paraId="569CE2A1">
        <w:tc>
          <w:tcPr>
            <w:tcW w:w="3334" w:type="dxa"/>
            <w:tcBorders>
              <w:tl2br w:val="nil"/>
              <w:tr2bl w:val="nil"/>
            </w:tcBorders>
          </w:tcPr>
          <w:p w14:paraId="569CE29C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Pneumonia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9D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252 (13.3)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9E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198 (13.7)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9F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54 (12.0)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A0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0.426</w:t>
            </w:r>
          </w:p>
        </w:tc>
      </w:tr>
      <w:tr w14:paraId="569CE2A7">
        <w:tc>
          <w:tcPr>
            <w:tcW w:w="3334" w:type="dxa"/>
            <w:tcBorders>
              <w:tl2br w:val="nil"/>
              <w:tr2bl w:val="nil"/>
            </w:tcBorders>
          </w:tcPr>
          <w:p w14:paraId="569CE2A2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Pleural effusion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A3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174 (9.20)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A4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131 (9.00)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A5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43 (9.60)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A6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0.445</w:t>
            </w:r>
          </w:p>
        </w:tc>
      </w:tr>
      <w:tr w14:paraId="569CE2AD">
        <w:tc>
          <w:tcPr>
            <w:tcW w:w="3334" w:type="dxa"/>
            <w:tcBorders>
              <w:tl2br w:val="nil"/>
              <w:tr2bl w:val="nil"/>
            </w:tcBorders>
          </w:tcPr>
          <w:p w14:paraId="569CE2A8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Contralateral pneumothorax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A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25 (1.30)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AA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19 (1.30)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AB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6 (1.30)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AC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&gt;0.999</w:t>
            </w:r>
          </w:p>
        </w:tc>
      </w:tr>
      <w:tr w14:paraId="569CE2B3">
        <w:trPr>
          <w:trHeight w:val="321" w:hRule="atLeast"/>
        </w:trPr>
        <w:tc>
          <w:tcPr>
            <w:tcW w:w="3334" w:type="dxa"/>
            <w:tcBorders>
              <w:tl2br w:val="nil"/>
              <w:tr2bl w:val="nil"/>
            </w:tcBorders>
          </w:tcPr>
          <w:p w14:paraId="569CE2AE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Aspiration pneumonitis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AF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11 (0.50)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B0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9 (0.60)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B1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2 (0.40)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B2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&gt;0.999</w:t>
            </w:r>
          </w:p>
        </w:tc>
      </w:tr>
      <w:tr w14:paraId="569CE2BC">
        <w:tc>
          <w:tcPr>
            <w:tcW w:w="3334" w:type="dxa"/>
            <w:tcBorders>
              <w:tl2br w:val="nil"/>
              <w:tr2bl w:val="nil"/>
            </w:tcBorders>
          </w:tcPr>
          <w:p w14:paraId="569CE2B4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  Unplanned new or prolonged invasive Mechanical ventilation</w:t>
            </w:r>
          </w:p>
        </w:tc>
        <w:tc>
          <w:tcPr>
            <w:tcW w:w="1309" w:type="dxa"/>
            <w:tcBorders>
              <w:tl2br w:val="nil"/>
              <w:tr2bl w:val="nil"/>
            </w:tcBorders>
          </w:tcPr>
          <w:p w14:paraId="569CE2B5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58 </w:t>
            </w:r>
          </w:p>
          <w:p w14:paraId="569CE2B6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(3.10)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14:paraId="569CE2B7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47</w:t>
            </w:r>
          </w:p>
          <w:p w14:paraId="569CE2B8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(3.20)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 w14:paraId="569CE2B9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11</w:t>
            </w:r>
          </w:p>
          <w:p w14:paraId="569CE2BA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(2.50) </w:t>
            </w:r>
          </w:p>
        </w:tc>
        <w:tc>
          <w:tcPr>
            <w:tcW w:w="892" w:type="dxa"/>
            <w:tcBorders>
              <w:tl2br w:val="nil"/>
              <w:tr2bl w:val="nil"/>
            </w:tcBorders>
          </w:tcPr>
          <w:p w14:paraId="569CE2BB">
            <w:pP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0.437</w:t>
            </w:r>
          </w:p>
        </w:tc>
      </w:tr>
    </w:tbl>
    <w:p w14:paraId="77360772">
      <w:pPr>
        <w:spacing w:line="480" w:lineRule="auto"/>
        <w:rPr>
          <w:rFonts w:ascii="Times New Roman" w:hAnsi="Times New Roman" w:cs="Times New Roman"/>
          <w:iCs/>
          <w:szCs w:val="21"/>
        </w:rPr>
      </w:pPr>
      <w:r>
        <w:rPr>
          <w:rFonts w:ascii="Times New Roman" w:hAnsi="Times New Roman" w:cs="Times New Roman"/>
          <w:iCs/>
          <w:szCs w:val="21"/>
          <w:vertAlign w:val="superscript"/>
        </w:rPr>
        <w:t>*</w:t>
      </w:r>
      <w:r>
        <w:rPr>
          <w:rFonts w:ascii="Times New Roman" w:hAnsi="Times New Roman" w:cs="Times New Roman"/>
          <w:iCs/>
          <w:szCs w:val="21"/>
        </w:rPr>
        <w:t xml:space="preserve">Pleura effusion or air leakage requiring chest tube placement for 5 days or more. </w:t>
      </w:r>
    </w:p>
    <w:p w14:paraId="7A6E332E">
      <w:pPr>
        <w:spacing w:line="480" w:lineRule="auto"/>
        <w:rPr>
          <w:rFonts w:hint="default" w:ascii="Times New Roman Regular" w:hAnsi="Times New Roman Regular" w:eastAsia="Arial" w:cs="Times New Roman Regular"/>
          <w:b/>
          <w:bCs w:val="0"/>
          <w:i w:val="0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szCs w:val="21"/>
        </w:rPr>
        <w:t>PPCs, postoperative pulmonary complications; NC, nasal cannula; FM, face mask; ARDS, acute respiratory distress syndrome.</w:t>
      </w:r>
    </w:p>
    <w:p w14:paraId="368F4702">
      <w:pPr>
        <w:pStyle w:val="8"/>
        <w:keepNext/>
        <w:jc w:val="both"/>
        <w:rPr>
          <w:rFonts w:hint="default" w:ascii="Times New Roman Regular" w:hAnsi="Times New Roman Regular" w:eastAsia="Arial" w:cs="Times New Roman Regular"/>
          <w:b/>
          <w:bCs w:val="0"/>
          <w:i w:val="0"/>
          <w:iCs/>
          <w:color w:val="000000"/>
          <w:sz w:val="22"/>
          <w:szCs w:val="22"/>
        </w:rPr>
      </w:pPr>
    </w:p>
    <w:p w14:paraId="615D72CF">
      <w:pPr>
        <w:pStyle w:val="8"/>
        <w:keepNext/>
        <w:jc w:val="both"/>
        <w:rPr>
          <w:rFonts w:hint="default" w:ascii="Times New Roman Regular" w:hAnsi="Times New Roman Regular" w:eastAsia="Arial" w:cs="Times New Roman Regular"/>
          <w:b/>
          <w:bCs w:val="0"/>
          <w:i w:val="0"/>
          <w:iCs/>
          <w:color w:val="000000"/>
          <w:sz w:val="22"/>
          <w:szCs w:val="22"/>
        </w:rPr>
      </w:pPr>
    </w:p>
    <w:p w14:paraId="663395E9">
      <w:pPr>
        <w:pStyle w:val="8"/>
        <w:keepNext/>
        <w:jc w:val="both"/>
        <w:rPr>
          <w:rFonts w:hint="default" w:ascii="Times New Roman Regular" w:hAnsi="Times New Roman Regular" w:eastAsia="Arial" w:cs="Times New Roman Regular"/>
          <w:b/>
          <w:bCs w:val="0"/>
          <w:i w:val="0"/>
          <w:iCs/>
          <w:color w:val="000000"/>
          <w:sz w:val="22"/>
          <w:szCs w:val="22"/>
        </w:rPr>
      </w:pPr>
    </w:p>
    <w:p w14:paraId="4C75F5E2">
      <w:pPr>
        <w:pStyle w:val="8"/>
        <w:keepNext/>
        <w:spacing w:line="360" w:lineRule="auto"/>
        <w:jc w:val="both"/>
        <w:rPr>
          <w:rFonts w:hint="default" w:ascii="Times New Roman Bold" w:hAnsi="Times New Roman Bold" w:cs="Times New Roman Bold"/>
          <w:b/>
          <w:bCs/>
          <w:i w:val="0"/>
          <w:iCs w:val="0"/>
          <w:kern w:val="2"/>
          <w:sz w:val="22"/>
          <w:szCs w:val="22"/>
          <w:lang w:val="en-US" w:eastAsia="zh-CN"/>
        </w:rPr>
      </w:pPr>
    </w:p>
    <w:p w14:paraId="548D4F6B">
      <w:pPr>
        <w:pStyle w:val="8"/>
        <w:keepNext/>
        <w:spacing w:line="360" w:lineRule="auto"/>
        <w:jc w:val="both"/>
        <w:rPr>
          <w:rFonts w:hint="default" w:ascii="Times New Roman Bold" w:hAnsi="Times New Roman Bold" w:cs="Times New Roman Bold"/>
          <w:b/>
          <w:bCs/>
          <w:i w:val="0"/>
          <w:iCs w:val="0"/>
          <w:kern w:val="2"/>
          <w:sz w:val="22"/>
          <w:szCs w:val="22"/>
          <w:lang w:val="en-US" w:eastAsia="zh-CN"/>
        </w:rPr>
      </w:pPr>
    </w:p>
    <w:p w14:paraId="569CE2C3">
      <w:pPr>
        <w:pStyle w:val="8"/>
        <w:keepNext/>
        <w:spacing w:line="360" w:lineRule="auto"/>
        <w:jc w:val="both"/>
        <w:rPr>
          <w:rFonts w:hint="default" w:ascii="Times New Roman Bold" w:hAnsi="Times New Roman Bold" w:cs="Times New Roman Bold"/>
          <w:b/>
          <w:bCs w:val="0"/>
          <w:i w:val="0"/>
          <w:iCs/>
          <w:color w:val="000000"/>
          <w:sz w:val="22"/>
          <w:szCs w:val="2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i w:val="0"/>
          <w:iCs w:val="0"/>
          <w:kern w:val="2"/>
          <w:sz w:val="22"/>
          <w:szCs w:val="22"/>
          <w:lang w:val="en-US" w:eastAsia="zh-CN"/>
        </w:rPr>
        <w:t xml:space="preserve">Supplementary Digital </w:t>
      </w:r>
      <w:r>
        <w:rPr>
          <w:rFonts w:hint="default" w:ascii="Times New Roman Bold" w:hAnsi="Times New Roman Bold" w:eastAsia="等线" w:cs="Times New Roman Bold"/>
          <w:b/>
          <w:bCs/>
          <w:i w:val="0"/>
          <w:iCs w:val="0"/>
          <w:kern w:val="2"/>
          <w:sz w:val="22"/>
          <w:szCs w:val="22"/>
          <w:lang w:val="en-US" w:eastAsia="zh-CN"/>
        </w:rPr>
        <w:t>Table</w:t>
      </w:r>
      <w:r>
        <w:rPr>
          <w:rFonts w:hint="default" w:ascii="Times New Roman Bold" w:hAnsi="Times New Roman Bold" w:eastAsia="Arial" w:cs="Times New Roman Bold"/>
          <w:b/>
          <w:bCs w:val="0"/>
          <w:i w:val="0"/>
          <w:iCs w:val="0"/>
          <w:color w:val="000000"/>
          <w:sz w:val="22"/>
          <w:szCs w:val="22"/>
        </w:rPr>
        <w:t xml:space="preserve"> </w:t>
      </w:r>
      <w:r>
        <w:rPr>
          <w:rFonts w:hint="default" w:ascii="Times New Roman Regular" w:hAnsi="Times New Roman Regular" w:eastAsia="Arial" w:cs="Times New Roman Regular"/>
          <w:b/>
          <w:bCs w:val="0"/>
          <w:i w:val="0"/>
          <w:iCs/>
          <w:color w:val="000000"/>
          <w:sz w:val="22"/>
          <w:szCs w:val="22"/>
          <w:lang w:val="en-US"/>
        </w:rPr>
        <w:t>S4</w:t>
      </w:r>
      <w:r>
        <w:rPr>
          <w:rFonts w:hint="default" w:ascii="Times New Roman Regular" w:hAnsi="Times New Roman Regular" w:cs="Times New Roman Regular"/>
          <w:b/>
          <w:bCs w:val="0"/>
          <w:i w:val="0"/>
          <w:iCs/>
          <w:color w:val="000000"/>
          <w:sz w:val="22"/>
          <w:szCs w:val="22"/>
          <w:lang w:val="en-US" w:eastAsia="zh-CN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  <w:i w:val="0"/>
          <w:iCs/>
          <w:color w:val="000000"/>
          <w:sz w:val="22"/>
          <w:szCs w:val="22"/>
          <w:lang w:val="en-US" w:eastAsia="zh-CN"/>
        </w:rPr>
        <w:t>Variables entered into LASSO regression by univariable logistic regression</w:t>
      </w:r>
    </w:p>
    <w:p w14:paraId="527D0ACF">
      <w:pPr>
        <w:pStyle w:val="8"/>
        <w:keepNext/>
        <w:spacing w:line="360" w:lineRule="auto"/>
        <w:jc w:val="both"/>
        <w:rPr>
          <w:rFonts w:hint="default" w:ascii="Times New Roman Regular" w:hAnsi="Times New Roman Regular" w:cs="Times New Roman Regular"/>
          <w:b w:val="0"/>
          <w:bCs/>
          <w:i w:val="0"/>
          <w:iCs/>
          <w:color w:val="000000"/>
          <w:sz w:val="22"/>
          <w:szCs w:val="22"/>
          <w:lang w:val="en-US" w:eastAsia="zh-CN"/>
        </w:rPr>
      </w:pPr>
    </w:p>
    <w:tbl>
      <w:tblPr>
        <w:tblStyle w:val="4"/>
        <w:tblW w:w="4644" w:type="pc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1182"/>
        <w:gridCol w:w="1221"/>
        <w:gridCol w:w="1463"/>
        <w:gridCol w:w="775"/>
      </w:tblGrid>
      <w:tr w14:paraId="569CE2C6">
        <w:trPr>
          <w:tblHeader/>
        </w:trPr>
        <w:tc>
          <w:tcPr>
            <w:tcW w:w="199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Arial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Characteristics</w:t>
            </w:r>
          </w:p>
        </w:tc>
        <w:tc>
          <w:tcPr>
            <w:tcW w:w="3007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ind w:left="20" w:right="20"/>
              <w:jc w:val="center"/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Development Cohort</w:t>
            </w:r>
          </w:p>
        </w:tc>
      </w:tr>
      <w:tr w14:paraId="569CE2D0">
        <w:trPr>
          <w:tblHeader/>
        </w:trPr>
        <w:tc>
          <w:tcPr>
            <w:tcW w:w="199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>No PPCs</w:t>
            </w: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</w:p>
          <w:p w14:paraId="569CE2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 xml:space="preserve">n = </w:t>
            </w: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>943</w:t>
            </w:r>
          </w:p>
        </w:tc>
        <w:tc>
          <w:tcPr>
            <w:tcW w:w="79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>PPCs</w:t>
            </w:r>
          </w:p>
          <w:p w14:paraId="569CE2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>n= 506</w:t>
            </w:r>
          </w:p>
        </w:tc>
        <w:tc>
          <w:tcPr>
            <w:tcW w:w="94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 xml:space="preserve">OR </w:t>
            </w:r>
          </w:p>
          <w:p w14:paraId="569CE2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/>
                <w:color w:val="000000"/>
                <w:kern w:val="0"/>
                <w:sz w:val="18"/>
                <w:szCs w:val="18"/>
              </w:rPr>
              <w:t>(95% CI)</w:t>
            </w:r>
          </w:p>
        </w:tc>
        <w:tc>
          <w:tcPr>
            <w:tcW w:w="50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2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hint="default" w:ascii="Times New Roman Bold" w:hAnsi="Times New Roman Bold" w:eastAsia="DejaVu Sans" w:cs="Times New Roman Bold"/>
                <w:b/>
                <w:i w:val="0"/>
                <w:iCs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hint="default" w:ascii="Times New Roman Bold" w:hAnsi="Times New Roman Bold" w:eastAsia="DejaVu Sans" w:cs="Times New Roman Bold"/>
                <w:b/>
                <w:i w:val="0"/>
                <w:iCs w:val="0"/>
                <w:color w:val="000000"/>
                <w:kern w:val="0"/>
                <w:sz w:val="18"/>
                <w:szCs w:val="18"/>
                <w:lang w:eastAsia="en-US"/>
              </w:rPr>
              <w:t xml:space="preserve">P </w:t>
            </w:r>
          </w:p>
          <w:p w14:paraId="569CE2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values</w:t>
            </w:r>
          </w:p>
        </w:tc>
      </w:tr>
      <w:tr w14:paraId="569CE2D6">
        <w:tc>
          <w:tcPr>
            <w:tcW w:w="1992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Demographic characteristics</w:t>
            </w: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bCs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2DC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DejaVu Sans" w:cs="Times New Roman"/>
                <w:bCs/>
                <w:color w:val="000000"/>
                <w:sz w:val="18"/>
                <w:szCs w:val="18"/>
              </w:rPr>
              <w:t>Age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18"/>
                <w:szCs w:val="18"/>
              </w:rPr>
              <w:t>, median (IQR), years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72.0 (68.0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76.0)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73.0 (70.0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78.0)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1.06 (1.04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2E2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Male, n,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501 (53.1)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320 (63.2)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1.52 (1.22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1.89)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2E8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BMI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, 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22.6 (20.7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24.5)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22.1 (20.2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24.4)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0.97 (0.94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0.013</w:t>
            </w:r>
          </w:p>
        </w:tc>
      </w:tr>
      <w:tr w14:paraId="569CE2EE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ASA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2F4">
        <w:trPr>
          <w:trHeight w:val="90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II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771 (81.8)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374 (73.9)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2FA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III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IV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172 (18.2) 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132 (26.1)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1.58 (1.22</w:t>
            </w:r>
            <w:r>
              <w:rPr>
                <w:rFonts w:ascii="Times New Roman" w:hAnsi="Times New Roman" w:cs="Times New Roman"/>
                <w:iCs/>
                <w:sz w:val="24"/>
              </w:rPr>
              <w:t>–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2.05)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00">
        <w:trPr>
          <w:trHeight w:val="334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Smoking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status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, n (%)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2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06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550 (58.3)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144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(28.5)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0C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Former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345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(36.6)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229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(45.3)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2.52 (1.98–3.25)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12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Current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(5.1)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33 (26.2)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10.58 (7.25–15.44)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18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1" w:rightChars="1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FEV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/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FVC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%,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1E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≥75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820 (87.0)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321 (63.4)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24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50–75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 xml:space="preserve">0 (11.7) 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127 (25.1)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2.44 (1.83–3.24)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2A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>&lt; 50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13 (1.3)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58 (11.5) 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10.96 (5.93–20.28)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30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Respiratory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infection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in the last 30 days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9 (9.4)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 (36)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4.94 (3.62–6.75)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36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anemia,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87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 xml:space="preserve"> (9.2)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71 (14.0)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1.61 (1.15–2.24)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0.005</w:t>
            </w:r>
          </w:p>
        </w:tc>
      </w:tr>
      <w:tr w14:paraId="569CE33C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Neoadjuvant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chemotherapy,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  <w:t>99 (10.5)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</w:rPr>
              <w:t>157 (31.0)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3.66 (2.88–4.64)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42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Comorbidity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348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CVA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/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TIA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 (3.9)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2 (12.3) 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2.18 (1.45–3.29)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4E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COPD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16 (1.7)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20 (4.0)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2.38 (1.22–4.64)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0.011</w:t>
            </w:r>
          </w:p>
        </w:tc>
      </w:tr>
      <w:tr w14:paraId="569CE354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SAHS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9 (9.5)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16 (31.6)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3.39 (1.49–7.72)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0.004</w:t>
            </w:r>
          </w:p>
        </w:tc>
      </w:tr>
      <w:tr w14:paraId="569CE35A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Intraoperative characteristics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360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Surgical approach,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66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RATS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423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(44.9)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97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(19.2)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6C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VATS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455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(48.3)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285 (56.3)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2.73 (2.09–3.56)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72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Thoracotomy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65 (6.8)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124 (24.5) 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8.32 (5.73–12.07)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78">
        <w:trPr>
          <w:trHeight w:val="314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  <w:t>Resection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7E">
        <w:trPr>
          <w:trHeight w:val="23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Wedge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137 (14.5)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38 (7.5)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84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Segment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210 (22.3)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88 (17.4)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0.77 (0.66–1.01)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8A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Lobe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418 (44.3) 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280 (55.3)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1.38 (1.03–1.86)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90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/>
              </w:rPr>
              <w:t>E</w:t>
            </w: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sophagus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127 (13.5) 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86 (17.0) 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1.32 (1.01–1.72)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96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Mediastinal tumor or pericardium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51 (5.4)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14 (2.8)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0.52 (0.46–1.00)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39C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Desaturation of &lt; 92% for 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 xml:space="preserve">more than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2 min, n (%)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79 (8.4)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114 (22.5)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3.18 (2.33–4.34)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A2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Reversal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of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NMBAs,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898 (95.2)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497 (98.2)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2.77 (1.34–5.71)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0.006</w:t>
            </w:r>
          </w:p>
        </w:tc>
      </w:tr>
      <w:tr w14:paraId="569CE3A8">
        <w:trPr>
          <w:trHeight w:val="302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Duration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of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surgery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>median (IQR),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70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(135–2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90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5–2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1.01 (1.00–1.01)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AE">
        <w:trPr>
          <w:trHeight w:val="302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Duration of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anesthesia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250 (190–330)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200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–3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1.02 (1.01–1.02)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B4">
        <w:trPr>
          <w:trHeight w:val="302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Duration of OLV,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min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(95–13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(10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–1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1.01 (1.00–1.01)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&lt;0.001</w:t>
            </w:r>
          </w:p>
        </w:tc>
      </w:tr>
      <w:tr w14:paraId="569CE3BA">
        <w:trPr>
          <w:trHeight w:val="302" w:hRule="atLeast"/>
        </w:trPr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Transfusion, n (%)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43 (4.6)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36 (7.1)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1.60 (1.02–2.53)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0.041</w:t>
            </w:r>
          </w:p>
        </w:tc>
      </w:tr>
      <w:tr w14:paraId="569CE3C0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Ventilation parameters of OLV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3C7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Pplat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 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19.0 (17.0–21.0)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19.0</w:t>
            </w:r>
          </w:p>
          <w:p w14:paraId="569CE3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(17.3– 22.0)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1.05 (1.02–1.09)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0.004</w:t>
            </w:r>
          </w:p>
        </w:tc>
      </w:tr>
      <w:tr w14:paraId="569CE3CD"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Driving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pressure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 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17.0 (16.0–20.0)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18.0 (17.0–20.0)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1.06 (1.02–1.10)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3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0.003</w:t>
            </w:r>
          </w:p>
        </w:tc>
      </w:tr>
    </w:tbl>
    <w:p w14:paraId="569CE3CE">
      <w:pPr>
        <w:widowControl/>
        <w:jc w:val="center"/>
        <w:rPr>
          <w:rFonts w:ascii="Times New Roman Regular" w:hAnsi="Times New Roman Regular" w:eastAsia="宋体" w:cs="Times New Roman Regular"/>
          <w:kern w:val="0"/>
          <w:sz w:val="24"/>
          <w:lang w:eastAsia="en-US"/>
        </w:rPr>
      </w:pPr>
    </w:p>
    <w:p w14:paraId="362795E2">
      <w:pPr>
        <w:spacing w:line="480" w:lineRule="auto"/>
        <w:rPr>
          <w:rFonts w:hint="default" w:ascii="Times New Roman" w:hAnsi="Times New Roman" w:cs="Times New Roman"/>
          <w:b/>
          <w:bCs/>
          <w:iCs/>
          <w:sz w:val="24"/>
          <w:lang w:val="en-US"/>
        </w:rPr>
      </w:pPr>
      <w:r>
        <w:rPr>
          <w:rFonts w:ascii="Times New Roman Regular" w:hAnsi="Times New Roman Regular" w:eastAsia="DejaVu Sans" w:cs="Times New Roman Regular"/>
          <w:color w:val="000000"/>
          <w:szCs w:val="21"/>
        </w:rPr>
        <w:t>PPCs, postoperative pulmonary complications; ASA, American Society of Anesthesiologists;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FEV</w:t>
      </w:r>
      <w:r>
        <w:rPr>
          <w:rFonts w:ascii="Times New Roman Regular" w:hAnsi="Times New Roman Regular" w:eastAsia="DejaVu Sans" w:cs="Times New Roman Regular"/>
          <w:color w:val="000000"/>
          <w:szCs w:val="21"/>
          <w:vertAlign w:val="subscript"/>
        </w:rPr>
        <w:t>1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, forced expiratory volume in 1 s; FVC, forced vital capacity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CVA, cerebrovascular accident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TIA, transient ischemic attack;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CAD, coronary artery disease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COPD, chronic obstructive pulmonary disease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CHF, chronic heart failure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OSAHS, obstructive sleep apnea hypopnea syndrome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CKD, chronic kidney disease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VATS, video-assisted thoracic surgery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RATS, robotic-assisted thoracic surgery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NMBAs, neuromuscular block agents;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PRVC, pressure–regulated volume control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VC</w:t>
      </w:r>
      <w:r>
        <w:rPr>
          <w:rFonts w:ascii="Times New Roman Regular" w:hAnsi="Times New Roman Regular" w:cs="Times New Roman Regular"/>
          <w:color w:val="000000"/>
          <w:szCs w:val="21"/>
        </w:rPr>
        <w:t>, v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olume control; PC, pressure control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PEEP</w:t>
      </w:r>
      <w:r>
        <w:rPr>
          <w:rFonts w:ascii="Times New Roman Regular" w:hAnsi="Times New Roman Regular" w:cs="Times New Roman Regular"/>
          <w:color w:val="000000"/>
          <w:szCs w:val="21"/>
        </w:rPr>
        <w:t>,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 xml:space="preserve"> positive end–expiratory pressure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;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Pplat</w:t>
      </w:r>
      <w:r>
        <w:rPr>
          <w:rFonts w:ascii="Times New Roman Regular" w:hAnsi="Times New Roman Regular" w:cs="Times New Roman Regular"/>
          <w:color w:val="000000"/>
          <w:szCs w:val="21"/>
        </w:rPr>
        <w:t>, p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lateau pressure</w:t>
      </w:r>
      <w:r>
        <w:rPr>
          <w:rFonts w:ascii="Times New Roman Regular" w:hAnsi="Times New Roman Regular" w:cs="Times New Roman Regular"/>
          <w:color w:val="000000"/>
          <w:szCs w:val="21"/>
        </w:rPr>
        <w:t>; b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pm</w:t>
      </w:r>
      <w:r>
        <w:rPr>
          <w:rFonts w:ascii="Times New Roman Regular" w:hAnsi="Times New Roman Regular" w:cs="Times New Roman Regular"/>
          <w:color w:val="000000"/>
          <w:szCs w:val="21"/>
        </w:rPr>
        <w:t xml:space="preserve">,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>breaths per minute</w:t>
      </w:r>
      <w:r>
        <w:rPr>
          <w:rFonts w:ascii="Times New Roman Regular" w:hAnsi="Times New Roman Regular" w:cs="Times New Roman Regular"/>
          <w:color w:val="000000"/>
          <w:szCs w:val="21"/>
        </w:rPr>
        <w:t>; PBW, predicted body weight; Cdyn, dynamic compliance; RMs, recruitment maneuvers; FiO</w:t>
      </w:r>
      <w:r>
        <w:rPr>
          <w:rFonts w:ascii="Times New Roman Regular" w:hAnsi="Times New Roman Regular" w:cs="Times New Roman Regular"/>
          <w:color w:val="000000"/>
          <w:szCs w:val="21"/>
          <w:vertAlign w:val="subscript"/>
        </w:rPr>
        <w:t xml:space="preserve">2, </w:t>
      </w:r>
      <w:r>
        <w:rPr>
          <w:rFonts w:ascii="Times New Roman Regular" w:hAnsi="Times New Roman Regular" w:cs="Times New Roman Regular"/>
          <w:color w:val="000000"/>
          <w:szCs w:val="21"/>
        </w:rPr>
        <w:t>fraction of inspiratory oxygen; IQR, interquartile range; OR, odds ratio</w:t>
      </w:r>
      <w:r>
        <w:rPr>
          <w:rFonts w:hint="default" w:ascii="Times New Roman Regular" w:hAnsi="Times New Roman Regular" w:cs="Times New Roman Regular"/>
          <w:color w:val="000000"/>
          <w:szCs w:val="21"/>
          <w:lang w:val="en-US"/>
        </w:rPr>
        <w:t xml:space="preserve">; </w:t>
      </w:r>
      <w:r>
        <w:rPr>
          <w:rFonts w:hint="default" w:ascii="Times New Roman Regular" w:hAnsi="Times New Roman Regular" w:cs="Times New Roman Regular"/>
          <w:i w:val="0"/>
          <w:iCs w:val="0"/>
          <w:sz w:val="21"/>
          <w:szCs w:val="21"/>
          <w:lang w:val="en-US"/>
        </w:rPr>
        <w:t>CI, confidence interval.</w:t>
      </w:r>
    </w:p>
    <w:p w14:paraId="493C628B">
      <w:pPr>
        <w:spacing w:line="480" w:lineRule="auto"/>
        <w:rPr>
          <w:rFonts w:ascii="Times New Roman" w:hAnsi="Times New Roman" w:cs="Times New Roman"/>
          <w:b/>
          <w:bCs/>
          <w:iCs/>
          <w:sz w:val="24"/>
        </w:rPr>
      </w:pPr>
    </w:p>
    <w:p w14:paraId="563C4EED">
      <w:pPr>
        <w:widowControl/>
        <w:spacing w:line="480" w:lineRule="auto"/>
        <w:rPr>
          <w:rFonts w:hint="default" w:ascii="Times New Roman Regular" w:hAnsi="Times New Roman Regular" w:cs="Times New Roman Regular"/>
          <w:color w:val="000000"/>
          <w:szCs w:val="21"/>
          <w:lang w:val="en-US"/>
        </w:rPr>
      </w:pPr>
    </w:p>
    <w:p w14:paraId="569CE3D2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5E34F4CD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642586F2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3ED8CF1A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73431176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25383580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5616509C">
      <w:pPr>
        <w:tabs>
          <w:tab w:val="left" w:pos="1910"/>
        </w:tabs>
        <w:spacing w:line="36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/>
        </w:rPr>
        <w:t>Table S5 Variance inflation factors (VIF) values of predictor variables</w:t>
      </w:r>
    </w:p>
    <w:tbl>
      <w:tblPr>
        <w:tblStyle w:val="10"/>
        <w:tblpPr w:leftFromText="180" w:rightFromText="180" w:vertAnchor="text" w:horzAnchor="page" w:tblpX="3319" w:tblpY="737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994"/>
      </w:tblGrid>
      <w:tr w14:paraId="3E64C0A2">
        <w:trPr>
          <w:tblHeader/>
          <w:jc w:val="center"/>
        </w:trPr>
        <w:tc>
          <w:tcPr>
            <w:tcW w:w="325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300C1066">
            <w:pPr>
              <w:widowControl/>
              <w:jc w:val="left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18"/>
                <w:szCs w:val="18"/>
                <w:lang w:eastAsia="en-US"/>
              </w:rPr>
              <w:t>Characteristic</w:t>
            </w:r>
          </w:p>
        </w:tc>
        <w:tc>
          <w:tcPr>
            <w:tcW w:w="994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0B03DCA5">
            <w:pPr>
              <w:widowControl/>
              <w:jc w:val="left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18"/>
                <w:szCs w:val="18"/>
                <w:lang w:eastAsia="en-US"/>
              </w:rPr>
              <w:t>VIF Values</w:t>
            </w:r>
          </w:p>
        </w:tc>
      </w:tr>
      <w:tr w14:paraId="5F0ADAC9">
        <w:trPr>
          <w:jc w:val="center"/>
        </w:trPr>
        <w:tc>
          <w:tcPr>
            <w:tcW w:w="3259" w:type="dxa"/>
            <w:tcBorders>
              <w:top w:val="single" w:color="auto" w:sz="6" w:space="0"/>
            </w:tcBorders>
            <w:shd w:val="clear" w:color="auto" w:fill="auto"/>
          </w:tcPr>
          <w:p w14:paraId="12ACD52E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Age</w:t>
            </w:r>
          </w:p>
        </w:tc>
        <w:tc>
          <w:tcPr>
            <w:tcW w:w="994" w:type="dxa"/>
            <w:tcBorders>
              <w:top w:val="single" w:color="auto" w:sz="6" w:space="0"/>
            </w:tcBorders>
            <w:shd w:val="clear" w:color="auto" w:fill="auto"/>
          </w:tcPr>
          <w:p w14:paraId="6D000761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1.175161</w:t>
            </w:r>
          </w:p>
        </w:tc>
      </w:tr>
      <w:tr w14:paraId="1C29994E">
        <w:trPr>
          <w:jc w:val="center"/>
        </w:trPr>
        <w:tc>
          <w:tcPr>
            <w:tcW w:w="3259" w:type="dxa"/>
            <w:shd w:val="clear" w:color="auto" w:fill="auto"/>
          </w:tcPr>
          <w:p w14:paraId="5EC466CC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Gender</w:t>
            </w:r>
          </w:p>
        </w:tc>
        <w:tc>
          <w:tcPr>
            <w:tcW w:w="994" w:type="dxa"/>
            <w:shd w:val="clear" w:color="auto" w:fill="auto"/>
          </w:tcPr>
          <w:p w14:paraId="699D25B2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1.258040</w:t>
            </w:r>
          </w:p>
        </w:tc>
      </w:tr>
      <w:tr w14:paraId="17B6BF93">
        <w:trPr>
          <w:jc w:val="center"/>
        </w:trPr>
        <w:tc>
          <w:tcPr>
            <w:tcW w:w="3259" w:type="dxa"/>
            <w:shd w:val="clear" w:color="auto" w:fill="auto"/>
          </w:tcPr>
          <w:p w14:paraId="1255F934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BMI</w:t>
            </w:r>
          </w:p>
        </w:tc>
        <w:tc>
          <w:tcPr>
            <w:tcW w:w="994" w:type="dxa"/>
            <w:shd w:val="clear" w:color="auto" w:fill="auto"/>
          </w:tcPr>
          <w:p w14:paraId="2FB01C47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2.035719</w:t>
            </w:r>
          </w:p>
        </w:tc>
      </w:tr>
      <w:tr w14:paraId="6D2C0A58">
        <w:trPr>
          <w:jc w:val="center"/>
        </w:trPr>
        <w:tc>
          <w:tcPr>
            <w:tcW w:w="3259" w:type="dxa"/>
            <w:shd w:val="clear" w:color="auto" w:fill="auto"/>
          </w:tcPr>
          <w:p w14:paraId="087FD05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ASA</w:t>
            </w:r>
          </w:p>
        </w:tc>
        <w:tc>
          <w:tcPr>
            <w:tcW w:w="994" w:type="dxa"/>
            <w:shd w:val="clear" w:color="auto" w:fill="auto"/>
          </w:tcPr>
          <w:p w14:paraId="54CF4554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1.302263</w:t>
            </w:r>
          </w:p>
        </w:tc>
      </w:tr>
      <w:tr w14:paraId="4BCD93A3">
        <w:trPr>
          <w:jc w:val="center"/>
        </w:trPr>
        <w:tc>
          <w:tcPr>
            <w:tcW w:w="3259" w:type="dxa"/>
            <w:shd w:val="clear" w:color="auto" w:fill="auto"/>
          </w:tcPr>
          <w:p w14:paraId="5C75B3F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  <w:t>Surgical approach</w:t>
            </w:r>
          </w:p>
        </w:tc>
        <w:tc>
          <w:tcPr>
            <w:tcW w:w="994" w:type="dxa"/>
            <w:shd w:val="clear" w:color="auto" w:fill="auto"/>
          </w:tcPr>
          <w:p w14:paraId="3F6776C0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1.079822</w:t>
            </w:r>
          </w:p>
        </w:tc>
      </w:tr>
      <w:tr w14:paraId="5A1F8483">
        <w:trPr>
          <w:jc w:val="center"/>
        </w:trPr>
        <w:tc>
          <w:tcPr>
            <w:tcW w:w="3259" w:type="dxa"/>
            <w:shd w:val="clear" w:color="auto" w:fill="auto"/>
          </w:tcPr>
          <w:p w14:paraId="21FDA68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Type of anesthesia</w:t>
            </w:r>
          </w:p>
        </w:tc>
        <w:tc>
          <w:tcPr>
            <w:tcW w:w="994" w:type="dxa"/>
            <w:shd w:val="clear" w:color="auto" w:fill="auto"/>
          </w:tcPr>
          <w:p w14:paraId="7F8F154A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1.156662</w:t>
            </w:r>
          </w:p>
        </w:tc>
      </w:tr>
      <w:tr w14:paraId="687CE0F3">
        <w:trPr>
          <w:jc w:val="center"/>
        </w:trPr>
        <w:tc>
          <w:tcPr>
            <w:tcW w:w="3259" w:type="dxa"/>
            <w:shd w:val="clear" w:color="auto" w:fill="auto"/>
          </w:tcPr>
          <w:p w14:paraId="2CD6D2F3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Blood transfusion</w:t>
            </w:r>
          </w:p>
        </w:tc>
        <w:tc>
          <w:tcPr>
            <w:tcW w:w="994" w:type="dxa"/>
            <w:shd w:val="clear" w:color="auto" w:fill="auto"/>
          </w:tcPr>
          <w:p w14:paraId="1F4D30B9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1.269752</w:t>
            </w:r>
          </w:p>
        </w:tc>
      </w:tr>
      <w:tr w14:paraId="391C807C">
        <w:trPr>
          <w:jc w:val="center"/>
        </w:trPr>
        <w:tc>
          <w:tcPr>
            <w:tcW w:w="3259" w:type="dxa"/>
            <w:shd w:val="clear" w:color="auto" w:fill="auto"/>
          </w:tcPr>
          <w:p w14:paraId="1FE4E2EA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  <w:t>Resection</w:t>
            </w:r>
          </w:p>
        </w:tc>
        <w:tc>
          <w:tcPr>
            <w:tcW w:w="994" w:type="dxa"/>
            <w:shd w:val="clear" w:color="auto" w:fill="auto"/>
          </w:tcPr>
          <w:p w14:paraId="65B5FD2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2.029832</w:t>
            </w:r>
          </w:p>
        </w:tc>
      </w:tr>
      <w:tr w14:paraId="4B70B4F1">
        <w:trPr>
          <w:jc w:val="center"/>
        </w:trPr>
        <w:tc>
          <w:tcPr>
            <w:tcW w:w="3259" w:type="dxa"/>
            <w:shd w:val="clear" w:color="auto" w:fill="auto"/>
          </w:tcPr>
          <w:p w14:paraId="7E3BB08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  <w:t>Hypoxemia</w:t>
            </w:r>
          </w:p>
        </w:tc>
        <w:tc>
          <w:tcPr>
            <w:tcW w:w="994" w:type="dxa"/>
            <w:shd w:val="clear" w:color="auto" w:fill="auto"/>
          </w:tcPr>
          <w:p w14:paraId="4861EFD6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1.238594</w:t>
            </w:r>
          </w:p>
        </w:tc>
      </w:tr>
      <w:tr w14:paraId="592DB03D">
        <w:trPr>
          <w:jc w:val="center"/>
        </w:trPr>
        <w:tc>
          <w:tcPr>
            <w:tcW w:w="3259" w:type="dxa"/>
            <w:shd w:val="clear" w:color="auto" w:fill="auto"/>
          </w:tcPr>
          <w:p w14:paraId="34400B9D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Hypotension </w:t>
            </w:r>
          </w:p>
        </w:tc>
        <w:tc>
          <w:tcPr>
            <w:tcW w:w="994" w:type="dxa"/>
            <w:shd w:val="clear" w:color="auto" w:fill="auto"/>
          </w:tcPr>
          <w:p w14:paraId="134C3A6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1.761056</w:t>
            </w:r>
          </w:p>
        </w:tc>
      </w:tr>
      <w:tr w14:paraId="450CAC7A">
        <w:trPr>
          <w:jc w:val="center"/>
        </w:trPr>
        <w:tc>
          <w:tcPr>
            <w:tcW w:w="3259" w:type="dxa"/>
            <w:shd w:val="clear" w:color="auto" w:fill="auto"/>
          </w:tcPr>
          <w:p w14:paraId="7DE5C2C2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Arrhythmia</w:t>
            </w:r>
          </w:p>
        </w:tc>
        <w:tc>
          <w:tcPr>
            <w:tcW w:w="994" w:type="dxa"/>
            <w:shd w:val="clear" w:color="auto" w:fill="auto"/>
          </w:tcPr>
          <w:p w14:paraId="0513420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1.202361</w:t>
            </w:r>
          </w:p>
        </w:tc>
      </w:tr>
      <w:tr w14:paraId="27D1ADE4">
        <w:trPr>
          <w:jc w:val="center"/>
        </w:trPr>
        <w:tc>
          <w:tcPr>
            <w:tcW w:w="3259" w:type="dxa"/>
            <w:shd w:val="clear" w:color="auto" w:fill="auto"/>
          </w:tcPr>
          <w:p w14:paraId="4BADB1B9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Reversal of NMBAs</w:t>
            </w:r>
          </w:p>
        </w:tc>
        <w:tc>
          <w:tcPr>
            <w:tcW w:w="994" w:type="dxa"/>
            <w:shd w:val="clear" w:color="auto" w:fill="auto"/>
          </w:tcPr>
          <w:p w14:paraId="149B7588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1.155891</w:t>
            </w:r>
          </w:p>
        </w:tc>
      </w:tr>
      <w:tr w14:paraId="5E3E0733">
        <w:trPr>
          <w:jc w:val="center"/>
        </w:trPr>
        <w:tc>
          <w:tcPr>
            <w:tcW w:w="3259" w:type="dxa"/>
            <w:shd w:val="clear" w:color="auto" w:fill="auto"/>
          </w:tcPr>
          <w:p w14:paraId="7E1086F8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Duration of surgery </w:t>
            </w:r>
          </w:p>
        </w:tc>
        <w:tc>
          <w:tcPr>
            <w:tcW w:w="994" w:type="dxa"/>
            <w:shd w:val="clear" w:color="auto" w:fill="auto"/>
          </w:tcPr>
          <w:p w14:paraId="0AAD5BDC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11.965946</w:t>
            </w:r>
          </w:p>
        </w:tc>
      </w:tr>
      <w:tr w14:paraId="6618FEE2">
        <w:trPr>
          <w:jc w:val="center"/>
        </w:trPr>
        <w:tc>
          <w:tcPr>
            <w:tcW w:w="3259" w:type="dxa"/>
            <w:shd w:val="clear" w:color="auto" w:fill="auto"/>
          </w:tcPr>
          <w:p w14:paraId="0882001D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Duration of anesthesia</w:t>
            </w:r>
          </w:p>
        </w:tc>
        <w:tc>
          <w:tcPr>
            <w:tcW w:w="994" w:type="dxa"/>
            <w:shd w:val="clear" w:color="auto" w:fill="auto"/>
          </w:tcPr>
          <w:p w14:paraId="16870903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8.019993</w:t>
            </w:r>
          </w:p>
        </w:tc>
      </w:tr>
      <w:tr w14:paraId="325EB7D3">
        <w:trPr>
          <w:jc w:val="center"/>
        </w:trPr>
        <w:tc>
          <w:tcPr>
            <w:tcW w:w="3259" w:type="dxa"/>
            <w:shd w:val="clear" w:color="auto" w:fill="auto"/>
          </w:tcPr>
          <w:p w14:paraId="13B00608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Duration of OLV </w:t>
            </w:r>
          </w:p>
        </w:tc>
        <w:tc>
          <w:tcPr>
            <w:tcW w:w="994" w:type="dxa"/>
            <w:shd w:val="clear" w:color="auto" w:fill="auto"/>
          </w:tcPr>
          <w:p w14:paraId="45DE7D97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9.000138</w:t>
            </w:r>
          </w:p>
        </w:tc>
      </w:tr>
      <w:tr w14:paraId="03481042">
        <w:trPr>
          <w:jc w:val="center"/>
        </w:trPr>
        <w:tc>
          <w:tcPr>
            <w:tcW w:w="3259" w:type="dxa"/>
            <w:shd w:val="clear" w:color="auto" w:fill="auto"/>
          </w:tcPr>
          <w:p w14:paraId="25D2EA69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Ventilation mode</w:t>
            </w:r>
          </w:p>
        </w:tc>
        <w:tc>
          <w:tcPr>
            <w:tcW w:w="994" w:type="dxa"/>
            <w:shd w:val="clear" w:color="auto" w:fill="auto"/>
          </w:tcPr>
          <w:p w14:paraId="0058C54A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1.111794</w:t>
            </w:r>
          </w:p>
        </w:tc>
      </w:tr>
      <w:tr w14:paraId="0BE5904B">
        <w:trPr>
          <w:jc w:val="center"/>
        </w:trPr>
        <w:tc>
          <w:tcPr>
            <w:tcW w:w="3259" w:type="dxa"/>
            <w:shd w:val="clear" w:color="auto" w:fill="auto"/>
          </w:tcPr>
          <w:p w14:paraId="061E11B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PEEP </w:t>
            </w:r>
          </w:p>
        </w:tc>
        <w:tc>
          <w:tcPr>
            <w:tcW w:w="994" w:type="dxa"/>
            <w:shd w:val="clear" w:color="auto" w:fill="auto"/>
          </w:tcPr>
          <w:p w14:paraId="08BCE84B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1.478244</w:t>
            </w:r>
          </w:p>
        </w:tc>
      </w:tr>
      <w:tr w14:paraId="08B34474">
        <w:trPr>
          <w:jc w:val="center"/>
        </w:trPr>
        <w:tc>
          <w:tcPr>
            <w:tcW w:w="3259" w:type="dxa"/>
            <w:shd w:val="clear" w:color="auto" w:fill="auto"/>
          </w:tcPr>
          <w:p w14:paraId="03A05B67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Pplat </w:t>
            </w:r>
          </w:p>
        </w:tc>
        <w:tc>
          <w:tcPr>
            <w:tcW w:w="994" w:type="dxa"/>
            <w:shd w:val="clear" w:color="auto" w:fill="auto"/>
          </w:tcPr>
          <w:p w14:paraId="4DDD5645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2.815589</w:t>
            </w:r>
          </w:p>
        </w:tc>
      </w:tr>
      <w:tr w14:paraId="0F171A66">
        <w:trPr>
          <w:jc w:val="center"/>
        </w:trPr>
        <w:tc>
          <w:tcPr>
            <w:tcW w:w="3259" w:type="dxa"/>
            <w:shd w:val="clear" w:color="auto" w:fill="auto"/>
          </w:tcPr>
          <w:p w14:paraId="2F007B39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Tidal volumes </w:t>
            </w:r>
          </w:p>
        </w:tc>
        <w:tc>
          <w:tcPr>
            <w:tcW w:w="994" w:type="dxa"/>
            <w:shd w:val="clear" w:color="auto" w:fill="auto"/>
          </w:tcPr>
          <w:p w14:paraId="70349CE4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1.464277</w:t>
            </w:r>
          </w:p>
        </w:tc>
      </w:tr>
      <w:tr w14:paraId="76217BB0">
        <w:trPr>
          <w:jc w:val="center"/>
        </w:trPr>
        <w:tc>
          <w:tcPr>
            <w:tcW w:w="3259" w:type="dxa"/>
            <w:shd w:val="clear" w:color="auto" w:fill="auto"/>
          </w:tcPr>
          <w:p w14:paraId="225ABC71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Respiratory rate </w:t>
            </w:r>
          </w:p>
        </w:tc>
        <w:tc>
          <w:tcPr>
            <w:tcW w:w="994" w:type="dxa"/>
            <w:shd w:val="clear" w:color="auto" w:fill="auto"/>
          </w:tcPr>
          <w:p w14:paraId="386A28BD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1.160373</w:t>
            </w:r>
          </w:p>
        </w:tc>
      </w:tr>
      <w:tr w14:paraId="14701A19">
        <w:trPr>
          <w:jc w:val="center"/>
        </w:trPr>
        <w:tc>
          <w:tcPr>
            <w:tcW w:w="3259" w:type="dxa"/>
            <w:shd w:val="clear" w:color="auto" w:fill="auto"/>
          </w:tcPr>
          <w:p w14:paraId="3DB14FC4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Cdyn </w:t>
            </w:r>
          </w:p>
        </w:tc>
        <w:tc>
          <w:tcPr>
            <w:tcW w:w="994" w:type="dxa"/>
            <w:shd w:val="clear" w:color="auto" w:fill="auto"/>
          </w:tcPr>
          <w:p w14:paraId="36054F22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2.024471</w:t>
            </w:r>
          </w:p>
        </w:tc>
      </w:tr>
      <w:tr w14:paraId="62474A77">
        <w:trPr>
          <w:jc w:val="center"/>
        </w:trPr>
        <w:tc>
          <w:tcPr>
            <w:tcW w:w="3259" w:type="dxa"/>
            <w:shd w:val="clear" w:color="auto" w:fill="auto"/>
          </w:tcPr>
          <w:p w14:paraId="177F1DAC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Driving pressure </w:t>
            </w:r>
          </w:p>
        </w:tc>
        <w:tc>
          <w:tcPr>
            <w:tcW w:w="994" w:type="dxa"/>
            <w:shd w:val="clear" w:color="auto" w:fill="auto"/>
          </w:tcPr>
          <w:p w14:paraId="54AB2B16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3.154872</w:t>
            </w:r>
          </w:p>
        </w:tc>
      </w:tr>
      <w:tr w14:paraId="4DE9ACD7">
        <w:trPr>
          <w:jc w:val="center"/>
        </w:trPr>
        <w:tc>
          <w:tcPr>
            <w:tcW w:w="3259" w:type="dxa"/>
            <w:shd w:val="clear" w:color="auto" w:fill="auto"/>
          </w:tcPr>
          <w:p w14:paraId="1F6F33B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Rms </w:t>
            </w:r>
          </w:p>
        </w:tc>
        <w:tc>
          <w:tcPr>
            <w:tcW w:w="994" w:type="dxa"/>
            <w:shd w:val="clear" w:color="auto" w:fill="auto"/>
          </w:tcPr>
          <w:p w14:paraId="598252B6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1.284743</w:t>
            </w:r>
          </w:p>
        </w:tc>
      </w:tr>
      <w:tr w14:paraId="0E20763E">
        <w:trPr>
          <w:jc w:val="center"/>
        </w:trPr>
        <w:tc>
          <w:tcPr>
            <w:tcW w:w="3259" w:type="dxa"/>
            <w:shd w:val="clear" w:color="auto" w:fill="auto"/>
          </w:tcPr>
          <w:p w14:paraId="66ABB092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Fluid </w:t>
            </w:r>
            <w:r>
              <w:rPr>
                <w:rFonts w:hint="eastAsia"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loading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994" w:type="dxa"/>
            <w:shd w:val="clear" w:color="auto" w:fill="auto"/>
          </w:tcPr>
          <w:p w14:paraId="18C6B6BB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1.924196</w:t>
            </w:r>
          </w:p>
        </w:tc>
      </w:tr>
      <w:tr w14:paraId="6C152DD3">
        <w:trPr>
          <w:jc w:val="center"/>
        </w:trPr>
        <w:tc>
          <w:tcPr>
            <w:tcW w:w="3259" w:type="dxa"/>
            <w:shd w:val="clear" w:color="auto" w:fill="auto"/>
          </w:tcPr>
          <w:p w14:paraId="18CA7A88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FiO2 %</w:t>
            </w:r>
          </w:p>
        </w:tc>
        <w:tc>
          <w:tcPr>
            <w:tcW w:w="994" w:type="dxa"/>
            <w:shd w:val="clear" w:color="auto" w:fill="auto"/>
          </w:tcPr>
          <w:p w14:paraId="78F823C6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1.772211</w:t>
            </w:r>
          </w:p>
        </w:tc>
      </w:tr>
      <w:tr w14:paraId="10CA897A">
        <w:trPr>
          <w:jc w:val="center"/>
        </w:trPr>
        <w:tc>
          <w:tcPr>
            <w:tcW w:w="3259" w:type="dxa"/>
            <w:shd w:val="clear" w:color="auto" w:fill="auto"/>
          </w:tcPr>
          <w:p w14:paraId="25F4770B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Smoking status</w:t>
            </w:r>
          </w:p>
        </w:tc>
        <w:tc>
          <w:tcPr>
            <w:tcW w:w="994" w:type="dxa"/>
            <w:shd w:val="clear" w:color="auto" w:fill="auto"/>
          </w:tcPr>
          <w:p w14:paraId="6126AF5F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1.311260</w:t>
            </w:r>
          </w:p>
        </w:tc>
      </w:tr>
      <w:tr w14:paraId="5534A53B">
        <w:trPr>
          <w:jc w:val="center"/>
        </w:trPr>
        <w:tc>
          <w:tcPr>
            <w:tcW w:w="3259" w:type="dxa"/>
            <w:shd w:val="clear" w:color="auto" w:fill="auto"/>
          </w:tcPr>
          <w:p w14:paraId="28B7E27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Functional status </w:t>
            </w:r>
          </w:p>
        </w:tc>
        <w:tc>
          <w:tcPr>
            <w:tcW w:w="994" w:type="dxa"/>
            <w:shd w:val="clear" w:color="auto" w:fill="auto"/>
          </w:tcPr>
          <w:p w14:paraId="39400946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1.179294</w:t>
            </w:r>
          </w:p>
        </w:tc>
      </w:tr>
      <w:tr w14:paraId="6A752D90">
        <w:trPr>
          <w:jc w:val="center"/>
        </w:trPr>
        <w:tc>
          <w:tcPr>
            <w:tcW w:w="3259" w:type="dxa"/>
            <w:shd w:val="clear" w:color="auto" w:fill="auto"/>
          </w:tcPr>
          <w:p w14:paraId="29A3696E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Diabetes mellitus</w:t>
            </w:r>
          </w:p>
        </w:tc>
        <w:tc>
          <w:tcPr>
            <w:tcW w:w="994" w:type="dxa"/>
            <w:shd w:val="clear" w:color="auto" w:fill="auto"/>
          </w:tcPr>
          <w:p w14:paraId="3FF6275F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1.184641</w:t>
            </w:r>
          </w:p>
        </w:tc>
      </w:tr>
      <w:tr w14:paraId="1584674E">
        <w:trPr>
          <w:jc w:val="center"/>
        </w:trPr>
        <w:tc>
          <w:tcPr>
            <w:tcW w:w="3259" w:type="dxa"/>
            <w:shd w:val="clear" w:color="auto" w:fill="auto"/>
          </w:tcPr>
          <w:p w14:paraId="176FEDC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Hypertension</w:t>
            </w:r>
          </w:p>
        </w:tc>
        <w:tc>
          <w:tcPr>
            <w:tcW w:w="994" w:type="dxa"/>
            <w:shd w:val="clear" w:color="auto" w:fill="auto"/>
          </w:tcPr>
          <w:p w14:paraId="60D2C0E8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1.228484</w:t>
            </w:r>
          </w:p>
        </w:tc>
      </w:tr>
      <w:tr w14:paraId="415685B8">
        <w:trPr>
          <w:jc w:val="center"/>
        </w:trPr>
        <w:tc>
          <w:tcPr>
            <w:tcW w:w="3259" w:type="dxa"/>
            <w:shd w:val="clear" w:color="auto" w:fill="auto"/>
          </w:tcPr>
          <w:p w14:paraId="46176662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Asthma</w:t>
            </w:r>
          </w:p>
        </w:tc>
        <w:tc>
          <w:tcPr>
            <w:tcW w:w="994" w:type="dxa"/>
            <w:shd w:val="clear" w:color="auto" w:fill="auto"/>
          </w:tcPr>
          <w:p w14:paraId="1BAA36C2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1.090472</w:t>
            </w:r>
          </w:p>
        </w:tc>
      </w:tr>
      <w:tr w14:paraId="0B9E3DEA">
        <w:trPr>
          <w:jc w:val="center"/>
        </w:trPr>
        <w:tc>
          <w:tcPr>
            <w:tcW w:w="3259" w:type="dxa"/>
            <w:shd w:val="clear" w:color="auto" w:fill="auto"/>
          </w:tcPr>
          <w:p w14:paraId="782C3D57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CVA/TIA</w:t>
            </w:r>
          </w:p>
        </w:tc>
        <w:tc>
          <w:tcPr>
            <w:tcW w:w="994" w:type="dxa"/>
            <w:shd w:val="clear" w:color="auto" w:fill="auto"/>
          </w:tcPr>
          <w:p w14:paraId="2B502B14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1.147627</w:t>
            </w:r>
          </w:p>
        </w:tc>
      </w:tr>
      <w:tr w14:paraId="3BB17216">
        <w:trPr>
          <w:jc w:val="center"/>
        </w:trPr>
        <w:tc>
          <w:tcPr>
            <w:tcW w:w="3259" w:type="dxa"/>
            <w:shd w:val="clear" w:color="auto" w:fill="auto"/>
          </w:tcPr>
          <w:p w14:paraId="7540EE98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Coronary artery disease</w:t>
            </w:r>
          </w:p>
        </w:tc>
        <w:tc>
          <w:tcPr>
            <w:tcW w:w="994" w:type="dxa"/>
            <w:shd w:val="clear" w:color="auto" w:fill="auto"/>
          </w:tcPr>
          <w:p w14:paraId="44C36C6A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1.110076</w:t>
            </w:r>
          </w:p>
        </w:tc>
      </w:tr>
      <w:tr w14:paraId="2A4207CF">
        <w:trPr>
          <w:jc w:val="center"/>
        </w:trPr>
        <w:tc>
          <w:tcPr>
            <w:tcW w:w="3259" w:type="dxa"/>
            <w:shd w:val="clear" w:color="auto" w:fill="auto"/>
          </w:tcPr>
          <w:p w14:paraId="36170976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Chronic obstructive pulmonary disease</w:t>
            </w:r>
          </w:p>
        </w:tc>
        <w:tc>
          <w:tcPr>
            <w:tcW w:w="994" w:type="dxa"/>
            <w:shd w:val="clear" w:color="auto" w:fill="auto"/>
          </w:tcPr>
          <w:p w14:paraId="5254A018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1.115104</w:t>
            </w:r>
          </w:p>
        </w:tc>
      </w:tr>
      <w:tr w14:paraId="07106BAC">
        <w:trPr>
          <w:jc w:val="center"/>
        </w:trPr>
        <w:tc>
          <w:tcPr>
            <w:tcW w:w="3259" w:type="dxa"/>
            <w:shd w:val="clear" w:color="auto" w:fill="auto"/>
          </w:tcPr>
          <w:p w14:paraId="6FB41273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Chronic heart failure</w:t>
            </w:r>
          </w:p>
        </w:tc>
        <w:tc>
          <w:tcPr>
            <w:tcW w:w="994" w:type="dxa"/>
            <w:shd w:val="clear" w:color="auto" w:fill="auto"/>
          </w:tcPr>
          <w:p w14:paraId="41289FDF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1.135587</w:t>
            </w:r>
          </w:p>
        </w:tc>
      </w:tr>
      <w:tr w14:paraId="108E4515">
        <w:trPr>
          <w:jc w:val="center"/>
        </w:trPr>
        <w:tc>
          <w:tcPr>
            <w:tcW w:w="3259" w:type="dxa"/>
            <w:shd w:val="clear" w:color="auto" w:fill="auto"/>
          </w:tcPr>
          <w:p w14:paraId="0512127B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  <w:t>OSAHS</w:t>
            </w:r>
          </w:p>
        </w:tc>
        <w:tc>
          <w:tcPr>
            <w:tcW w:w="994" w:type="dxa"/>
            <w:shd w:val="clear" w:color="auto" w:fill="auto"/>
          </w:tcPr>
          <w:p w14:paraId="7B0A6CE6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1.408733</w:t>
            </w:r>
          </w:p>
        </w:tc>
      </w:tr>
      <w:tr w14:paraId="43623156">
        <w:trPr>
          <w:jc w:val="center"/>
        </w:trPr>
        <w:tc>
          <w:tcPr>
            <w:tcW w:w="3259" w:type="dxa"/>
            <w:shd w:val="clear" w:color="auto" w:fill="auto"/>
          </w:tcPr>
          <w:p w14:paraId="2ECCACF2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Chronic kidney dysfunction </w:t>
            </w:r>
          </w:p>
        </w:tc>
        <w:tc>
          <w:tcPr>
            <w:tcW w:w="994" w:type="dxa"/>
            <w:shd w:val="clear" w:color="auto" w:fill="auto"/>
          </w:tcPr>
          <w:p w14:paraId="06B9E328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1.175108</w:t>
            </w:r>
          </w:p>
        </w:tc>
      </w:tr>
      <w:tr w14:paraId="30C6B6E4">
        <w:trPr>
          <w:jc w:val="center"/>
        </w:trPr>
        <w:tc>
          <w:tcPr>
            <w:tcW w:w="3259" w:type="dxa"/>
            <w:shd w:val="clear" w:color="auto" w:fill="auto"/>
          </w:tcPr>
          <w:p w14:paraId="6B05CB3E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Liver disease</w:t>
            </w:r>
          </w:p>
        </w:tc>
        <w:tc>
          <w:tcPr>
            <w:tcW w:w="994" w:type="dxa"/>
            <w:shd w:val="clear" w:color="auto" w:fill="auto"/>
          </w:tcPr>
          <w:p w14:paraId="078A6EEE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1.236955</w:t>
            </w:r>
          </w:p>
        </w:tc>
      </w:tr>
      <w:tr w14:paraId="3A7A378A">
        <w:trPr>
          <w:jc w:val="center"/>
        </w:trPr>
        <w:tc>
          <w:tcPr>
            <w:tcW w:w="3259" w:type="dxa"/>
            <w:shd w:val="clear" w:color="auto" w:fill="auto"/>
          </w:tcPr>
          <w:p w14:paraId="49979BB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Disseminated cancer</w:t>
            </w:r>
          </w:p>
        </w:tc>
        <w:tc>
          <w:tcPr>
            <w:tcW w:w="994" w:type="dxa"/>
            <w:shd w:val="clear" w:color="auto" w:fill="auto"/>
          </w:tcPr>
          <w:p w14:paraId="04201898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1.203385</w:t>
            </w:r>
          </w:p>
        </w:tc>
      </w:tr>
      <w:tr w14:paraId="364DB47C">
        <w:trPr>
          <w:trHeight w:val="402" w:hRule="atLeast"/>
          <w:jc w:val="center"/>
        </w:trPr>
        <w:tc>
          <w:tcPr>
            <w:tcW w:w="3259" w:type="dxa"/>
            <w:shd w:val="clear" w:color="auto" w:fill="auto"/>
          </w:tcPr>
          <w:p w14:paraId="2D332701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FEV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vertAlign w:val="subscript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/FVC %</w:t>
            </w:r>
          </w:p>
        </w:tc>
        <w:tc>
          <w:tcPr>
            <w:tcW w:w="994" w:type="dxa"/>
            <w:shd w:val="clear" w:color="auto" w:fill="auto"/>
          </w:tcPr>
          <w:p w14:paraId="76834080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1.560349</w:t>
            </w:r>
          </w:p>
        </w:tc>
      </w:tr>
      <w:tr w14:paraId="5D42D603">
        <w:trPr>
          <w:jc w:val="center"/>
        </w:trPr>
        <w:tc>
          <w:tcPr>
            <w:tcW w:w="3259" w:type="dxa"/>
            <w:shd w:val="clear" w:color="auto" w:fill="auto"/>
          </w:tcPr>
          <w:p w14:paraId="47E74A4B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SpO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vertAlign w:val="subscript"/>
                <w:lang w:eastAsia="en-US"/>
              </w:rPr>
              <w:t xml:space="preserve">2 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in air</w:t>
            </w:r>
          </w:p>
        </w:tc>
        <w:tc>
          <w:tcPr>
            <w:tcW w:w="994" w:type="dxa"/>
            <w:shd w:val="clear" w:color="auto" w:fill="auto"/>
          </w:tcPr>
          <w:p w14:paraId="754B0022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1.185129</w:t>
            </w:r>
          </w:p>
        </w:tc>
      </w:tr>
      <w:tr w14:paraId="49A43629">
        <w:trPr>
          <w:jc w:val="center"/>
        </w:trPr>
        <w:tc>
          <w:tcPr>
            <w:tcW w:w="3259" w:type="dxa"/>
            <w:shd w:val="clear" w:color="auto" w:fill="auto"/>
          </w:tcPr>
          <w:p w14:paraId="0A61AFAF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Preoperative hypoalbumin</w:t>
            </w:r>
            <w:r>
              <w:rPr>
                <w:rFonts w:hint="default"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val="en-US" w:eastAsia="en-US"/>
              </w:rPr>
              <w:t>a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emia</w:t>
            </w:r>
          </w:p>
        </w:tc>
        <w:tc>
          <w:tcPr>
            <w:tcW w:w="994" w:type="dxa"/>
            <w:shd w:val="clear" w:color="auto" w:fill="auto"/>
          </w:tcPr>
          <w:p w14:paraId="43723954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1.182724</w:t>
            </w:r>
          </w:p>
        </w:tc>
      </w:tr>
      <w:tr w14:paraId="626D65DD">
        <w:trPr>
          <w:jc w:val="center"/>
        </w:trPr>
        <w:tc>
          <w:tcPr>
            <w:tcW w:w="3259" w:type="dxa"/>
            <w:shd w:val="clear" w:color="auto" w:fill="auto"/>
          </w:tcPr>
          <w:p w14:paraId="6D5CE821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Respiratory infection in the last 30 days</w:t>
            </w:r>
          </w:p>
        </w:tc>
        <w:tc>
          <w:tcPr>
            <w:tcW w:w="994" w:type="dxa"/>
            <w:shd w:val="clear" w:color="auto" w:fill="auto"/>
          </w:tcPr>
          <w:p w14:paraId="2879D44D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1.179552</w:t>
            </w:r>
          </w:p>
        </w:tc>
      </w:tr>
      <w:tr w14:paraId="77C61427">
        <w:trPr>
          <w:jc w:val="center"/>
        </w:trPr>
        <w:tc>
          <w:tcPr>
            <w:tcW w:w="3259" w:type="dxa"/>
            <w:shd w:val="clear" w:color="auto" w:fill="auto"/>
          </w:tcPr>
          <w:p w14:paraId="61B7EC8C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Preoperative anemia</w:t>
            </w:r>
          </w:p>
        </w:tc>
        <w:tc>
          <w:tcPr>
            <w:tcW w:w="994" w:type="dxa"/>
            <w:shd w:val="clear" w:color="auto" w:fill="auto"/>
          </w:tcPr>
          <w:p w14:paraId="2F54D669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1.332746</w:t>
            </w:r>
          </w:p>
        </w:tc>
      </w:tr>
      <w:tr w14:paraId="51187F3A">
        <w:trPr>
          <w:jc w:val="center"/>
        </w:trPr>
        <w:tc>
          <w:tcPr>
            <w:tcW w:w="3259" w:type="dxa"/>
            <w:tcBorders>
              <w:bottom w:val="single" w:color="auto" w:sz="6" w:space="0"/>
            </w:tcBorders>
            <w:shd w:val="clear" w:color="auto" w:fill="auto"/>
          </w:tcPr>
          <w:p w14:paraId="50A97BD6">
            <w:pPr>
              <w:widowControl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Neoadjuvant chemotherapy</w:t>
            </w:r>
          </w:p>
        </w:tc>
        <w:tc>
          <w:tcPr>
            <w:tcW w:w="994" w:type="dxa"/>
            <w:tcBorders>
              <w:bottom w:val="single" w:color="auto" w:sz="6" w:space="0"/>
            </w:tcBorders>
            <w:shd w:val="clear" w:color="auto" w:fill="auto"/>
          </w:tcPr>
          <w:p w14:paraId="3944E14C">
            <w:pPr>
              <w:widowControl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1.258404</w:t>
            </w:r>
          </w:p>
        </w:tc>
      </w:tr>
    </w:tbl>
    <w:p w14:paraId="67E8A7AF">
      <w:pPr>
        <w:tabs>
          <w:tab w:val="left" w:pos="1910"/>
        </w:tabs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569CE45B">
      <w:pPr>
        <w:widowControl/>
        <w:spacing w:line="480" w:lineRule="auto"/>
        <w:rPr>
          <w:rFonts w:ascii="Times New Roman Regular" w:hAnsi="Times New Roman Regular" w:cs="Times New Roman Regular"/>
          <w:color w:val="000000"/>
          <w:szCs w:val="21"/>
          <w:lang w:eastAsia="en-US"/>
        </w:rPr>
      </w:pPr>
    </w:p>
    <w:p w14:paraId="569CE45C">
      <w:pPr>
        <w:widowControl/>
        <w:spacing w:line="480" w:lineRule="auto"/>
        <w:rPr>
          <w:rFonts w:ascii="Times New Roman Regular" w:hAnsi="Times New Roman Regular" w:cs="Times New Roman Regular"/>
          <w:color w:val="000000"/>
          <w:szCs w:val="21"/>
          <w:lang w:eastAsia="en-US"/>
        </w:rPr>
      </w:pPr>
    </w:p>
    <w:p w14:paraId="569CE45D">
      <w:pPr>
        <w:widowControl/>
        <w:spacing w:line="480" w:lineRule="auto"/>
        <w:rPr>
          <w:rFonts w:ascii="Times New Roman Regular" w:hAnsi="Times New Roman Regular" w:cs="Times New Roman Regular"/>
          <w:color w:val="000000"/>
          <w:szCs w:val="21"/>
          <w:lang w:eastAsia="en-US"/>
        </w:rPr>
      </w:pPr>
    </w:p>
    <w:p w14:paraId="569CE464">
      <w:pPr>
        <w:tabs>
          <w:tab w:val="left" w:pos="1910"/>
        </w:tabs>
        <w:spacing w:line="48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eastAsia="DejaVu Sans" w:cs="Times New Roman"/>
          <w:color w:val="000000"/>
          <w:szCs w:val="21"/>
        </w:rPr>
        <w:t>ASA, American Society of Anesthesiologists;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eastAsia="DejaVu Sans" w:cs="Times New Roman"/>
          <w:color w:val="000000"/>
          <w:szCs w:val="21"/>
        </w:rPr>
        <w:t>FEV, forced expiratory volume in 1 s; FVC, forced vital capacity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SpO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</w:t>
      </w:r>
      <w:r>
        <w:rPr>
          <w:rFonts w:hint="default" w:ascii="Times New Roman Regular" w:hAnsi="Times New Roman Regular" w:cs="Times New Roman Regular"/>
          <w:iCs/>
          <w:sz w:val="22"/>
          <w:szCs w:val="22"/>
        </w:rPr>
        <w:t>peripheral oxyhemoglobin saturation</w:t>
      </w:r>
      <w:r>
        <w:rPr>
          <w:rFonts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CVA, cerebrovascular accident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TIA, transient ischemic attack; OSAHS, obstructive sleep apnea hypopnea syndrome; </w:t>
      </w:r>
      <w:r>
        <w:rPr>
          <w:rFonts w:ascii="Times New Roman" w:hAnsi="Times New Roman" w:cs="Times New Roman"/>
          <w:color w:val="000000"/>
          <w:szCs w:val="21"/>
        </w:rPr>
        <w:t xml:space="preserve">TIVA, total intravenous </w:t>
      </w:r>
      <w:r>
        <w:rPr>
          <w:rFonts w:ascii="Times New Roman" w:hAnsi="Times New Roman" w:cs="Times New Roman"/>
          <w:color w:val="000000"/>
          <w:szCs w:val="21"/>
          <w:lang w:val="en-US"/>
        </w:rPr>
        <w:t>anesthesia</w:t>
      </w:r>
      <w:r>
        <w:rPr>
          <w:rFonts w:ascii="Times New Roman" w:hAnsi="Times New Roman" w:cs="Times New Roman"/>
          <w:color w:val="000000"/>
          <w:szCs w:val="21"/>
        </w:rPr>
        <w:t xml:space="preserve">; NMBAs, neuromuscular block agents; OLV, </w:t>
      </w:r>
      <w:r>
        <w:rPr>
          <w:rFonts w:hint="eastAsia" w:ascii="Times New Roman" w:hAnsi="Times New Roman" w:cs="Times New Roman"/>
          <w:color w:val="000000"/>
          <w:szCs w:val="21"/>
        </w:rPr>
        <w:t>one</w:t>
      </w:r>
      <w:r>
        <w:rPr>
          <w:rFonts w:ascii="Times New Roman" w:hAnsi="Times New Roman" w:cs="Times New Roman"/>
          <w:color w:val="000000"/>
          <w:szCs w:val="21"/>
        </w:rPr>
        <w:t xml:space="preserve">-lung ventilation; </w:t>
      </w:r>
      <w:r>
        <w:rPr>
          <w:rFonts w:ascii="Times New Roman" w:hAnsi="Times New Roman" w:eastAsia="DejaVu Sans" w:cs="Times New Roman"/>
          <w:color w:val="000000"/>
          <w:szCs w:val="21"/>
        </w:rPr>
        <w:t>PEEP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 positive end-expiratory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Pplat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cs="Times New Roman"/>
          <w:color w:val="000000"/>
          <w:szCs w:val="21"/>
        </w:rPr>
        <w:t xml:space="preserve"> p</w:t>
      </w:r>
      <w:r>
        <w:rPr>
          <w:rFonts w:ascii="Times New Roman" w:hAnsi="Times New Roman" w:eastAsia="DejaVu Sans" w:cs="Times New Roman"/>
          <w:color w:val="000000"/>
          <w:szCs w:val="21"/>
        </w:rPr>
        <w:t>lateau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b</w:t>
      </w:r>
      <w:r>
        <w:rPr>
          <w:rFonts w:ascii="Times New Roman" w:hAnsi="Times New Roman" w:eastAsia="DejaVu Sans" w:cs="Times New Roman"/>
          <w:color w:val="000000"/>
          <w:szCs w:val="21"/>
        </w:rPr>
        <w:t>pm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eastAsia="DejaVu Sans" w:cs="Times New Roman"/>
          <w:color w:val="000000"/>
          <w:szCs w:val="21"/>
        </w:rPr>
        <w:t>breaths per minute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Cdyn, dynamic compliance; RMs, recruitment maneuvers; FiO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fraction of </w:t>
      </w:r>
      <w:r>
        <w:rPr>
          <w:rFonts w:hint="eastAsia" w:ascii="Times New Roman" w:hAnsi="Times New Roman" w:cs="Times New Roman"/>
          <w:color w:val="000000"/>
          <w:szCs w:val="21"/>
        </w:rPr>
        <w:t>i</w:t>
      </w:r>
      <w:r>
        <w:rPr>
          <w:rFonts w:ascii="Times New Roman" w:hAnsi="Times New Roman" w:cs="Times New Roman"/>
          <w:color w:val="000000"/>
          <w:szCs w:val="21"/>
        </w:rPr>
        <w:t>nspiratory oxygen.</w:t>
      </w:r>
    </w:p>
    <w:p w14:paraId="569CE465">
      <w:pPr>
        <w:tabs>
          <w:tab w:val="left" w:pos="1910"/>
        </w:tabs>
        <w:spacing w:line="480" w:lineRule="auto"/>
        <w:rPr>
          <w:rFonts w:ascii="Times New Roman" w:hAnsi="Times New Roman" w:cs="Times New Roman"/>
          <w:color w:val="000000"/>
          <w:szCs w:val="21"/>
        </w:rPr>
      </w:pPr>
    </w:p>
    <w:p w14:paraId="40CEA5F5">
      <w:pPr>
        <w:widowControl/>
        <w:jc w:val="left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br w:type="page"/>
      </w:r>
    </w:p>
    <w:p w14:paraId="7D6A82DC">
      <w:pPr>
        <w:spacing w:line="360" w:lineRule="auto"/>
        <w:rPr>
          <w:rFonts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Regular" w:hAnsi="Times New Roman Regular" w:eastAsia="等线" w:cs="Times New Roman Regular"/>
          <w:b/>
          <w:bCs/>
          <w:iCs/>
          <w:kern w:val="2"/>
          <w:sz w:val="22"/>
          <w:szCs w:val="22"/>
          <w:lang w:val="en-US" w:eastAsia="zh-CN"/>
        </w:rPr>
        <w:t>Table</w:t>
      </w:r>
      <w:r>
        <w:rPr>
          <w:rFonts w:hint="default" w:ascii="Times New Roman Regular" w:hAnsi="Times New Roman Regular" w:cs="Times New Roman Regular"/>
          <w:b/>
          <w:bCs/>
          <w:sz w:val="22"/>
          <w:szCs w:val="22"/>
          <w:lang w:val="en-US"/>
        </w:rPr>
        <w:t xml:space="preserve"> S</w:t>
      </w:r>
      <w:r>
        <w:rPr>
          <w:rFonts w:hint="default" w:ascii="Times New Roman Regular" w:hAnsi="Times New Roman Regular" w:cs="Times New Roman Regular"/>
          <w:b/>
          <w:bCs/>
          <w:sz w:val="22"/>
          <w:szCs w:val="22"/>
          <w:lang w:val="en-US" w:eastAsia="zh-CN"/>
        </w:rPr>
        <w:t>6</w:t>
      </w:r>
      <w:r>
        <w:rPr>
          <w:rFonts w:hint="default" w:ascii="Times New Roman Regular" w:hAnsi="Times New Roman Regular" w:cs="Times New Roman Regular"/>
          <w:b/>
          <w:bCs/>
          <w:sz w:val="22"/>
          <w:szCs w:val="22"/>
          <w:lang w:val="en-US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/>
        </w:rPr>
        <w:t>Variables unrelated to the presence of PPCs by univariable logistic regression</w:t>
      </w:r>
    </w:p>
    <w:tbl>
      <w:tblPr>
        <w:tblStyle w:val="4"/>
        <w:tblpPr w:leftFromText="180" w:rightFromText="180" w:vertAnchor="text" w:horzAnchor="page" w:tblpX="1979" w:tblpY="296"/>
        <w:tblOverlap w:val="never"/>
        <w:tblW w:w="469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2"/>
        <w:gridCol w:w="1106"/>
        <w:gridCol w:w="1049"/>
        <w:gridCol w:w="1428"/>
        <w:gridCol w:w="631"/>
      </w:tblGrid>
      <w:tr w14:paraId="569CE46A">
        <w:trPr>
          <w:tblHeader/>
        </w:trPr>
        <w:tc>
          <w:tcPr>
            <w:tcW w:w="229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Arial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Characteristics</w:t>
            </w:r>
          </w:p>
        </w:tc>
        <w:tc>
          <w:tcPr>
            <w:tcW w:w="2702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center"/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kern w:val="0"/>
                <w:sz w:val="18"/>
                <w:szCs w:val="18"/>
                <w:lang w:eastAsia="en-US"/>
              </w:rPr>
              <w:t>Development Cohort</w:t>
            </w:r>
          </w:p>
        </w:tc>
      </w:tr>
      <w:tr w14:paraId="569CE474">
        <w:trPr>
          <w:tblHeader/>
        </w:trPr>
        <w:tc>
          <w:tcPr>
            <w:tcW w:w="22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>No PPCs</w:t>
            </w: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</w:p>
          <w:p w14:paraId="569CE4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n = </w:t>
            </w: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>943</w:t>
            </w:r>
          </w:p>
        </w:tc>
        <w:tc>
          <w:tcPr>
            <w:tcW w:w="672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>PPCs</w:t>
            </w:r>
          </w:p>
          <w:p w14:paraId="569CE4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n = </w:t>
            </w: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91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 xml:space="preserve">OR </w:t>
            </w:r>
          </w:p>
          <w:p w14:paraId="569CE4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kern w:val="0"/>
                <w:sz w:val="18"/>
                <w:szCs w:val="18"/>
              </w:rPr>
              <w:t>(95% CI)</w:t>
            </w:r>
          </w:p>
        </w:tc>
        <w:tc>
          <w:tcPr>
            <w:tcW w:w="40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E4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DejaVu Sans" w:cs="Times New Roman Bold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lang w:eastAsia="en-US"/>
              </w:rPr>
              <w:t xml:space="preserve">P </w:t>
            </w:r>
          </w:p>
          <w:p w14:paraId="569CE4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Bold" w:hAnsi="Times New Roman Bold" w:eastAsia="宋体" w:cs="Times New Roman Bold"/>
                <w:b/>
                <w:bCs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Bold" w:hAnsi="Times New Roman Bold" w:eastAsia="DejaVu Sans" w:cs="Times New Roman Bold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values</w:t>
            </w:r>
          </w:p>
        </w:tc>
      </w:tr>
      <w:tr w14:paraId="569CE47A">
        <w:tc>
          <w:tcPr>
            <w:tcW w:w="229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Demographic characteristics</w:t>
            </w:r>
          </w:p>
        </w:tc>
        <w:tc>
          <w:tcPr>
            <w:tcW w:w="709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480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 SpO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bCs/>
                <w:color w:val="000000"/>
                <w:sz w:val="18"/>
                <w:szCs w:val="18"/>
              </w:rPr>
              <w:t xml:space="preserve">&lt; 95%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in</w:t>
            </w:r>
            <w:r>
              <w:rPr>
                <w:rFonts w:ascii="Times New Roman Regular" w:hAnsi="Times New Roman Regular" w:eastAsia="宋体" w:cs="Times New Roman Regular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air,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56.4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43.6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0.81 (0.57–1.16)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0.250</w:t>
            </w:r>
          </w:p>
        </w:tc>
      </w:tr>
      <w:tr w14:paraId="569CE486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Partially or totally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dependent,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33 (3)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23 (5)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1.31 (0.76–2.26)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0.325</w:t>
            </w:r>
          </w:p>
        </w:tc>
      </w:tr>
      <w:tr w14:paraId="569CE48C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Disseminated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cancer,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49 (55.1)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40 (44.9)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0.94 (0.60–1.49)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0.804</w:t>
            </w:r>
          </w:p>
        </w:tc>
      </w:tr>
      <w:tr w14:paraId="569CE492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Preoperative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hypoalbuminemia,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137 (46.9)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155 (53.1)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1.27 (0.98–1.66)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0.074</w:t>
            </w:r>
          </w:p>
        </w:tc>
      </w:tr>
      <w:tr w14:paraId="569CE498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Comorbidity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14:paraId="569CE49E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Diabetes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mellitus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48.4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95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51.6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0.99 (0.72–1.37)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66</w:t>
            </w:r>
          </w:p>
        </w:tc>
      </w:tr>
      <w:tr w14:paraId="569CE4A4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51.4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48.6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1.26 (0.99–1.60)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0.056</w:t>
            </w:r>
          </w:p>
        </w:tc>
      </w:tr>
      <w:tr w14:paraId="569CE4AA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Asthma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55.6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44.4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0.61 (0.29–1.32)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0.210</w:t>
            </w:r>
          </w:p>
        </w:tc>
      </w:tr>
      <w:tr w14:paraId="569CE4B0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CAD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49.8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50.2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1.17 (0.88–1.56)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0.274</w:t>
            </w:r>
          </w:p>
        </w:tc>
      </w:tr>
      <w:tr w14:paraId="569CE4B6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CHF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53.6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46.4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0.88 (0.40–1.96)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0.756</w:t>
            </w:r>
          </w:p>
        </w:tc>
      </w:tr>
      <w:tr w14:paraId="569CE4BC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CKD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47.6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52.4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0.93 (0.37–2.32)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0.878</w:t>
            </w:r>
          </w:p>
        </w:tc>
      </w:tr>
      <w:tr w14:paraId="569CE4C2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Liver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disease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43.5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 (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56.5</w:t>
            </w: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1.10 (0.71–1.70)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0.672</w:t>
            </w:r>
          </w:p>
        </w:tc>
      </w:tr>
      <w:tr w14:paraId="569CE4C8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right="20"/>
              <w:jc w:val="left"/>
              <w:rPr>
                <w:rFonts w:ascii="Times New Roman Regular" w:hAnsi="Times New Roman Regular" w:cs="Times New Roman Regular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Intraoperative characteristics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4CE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Type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of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anesthesia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0.853</w:t>
            </w:r>
          </w:p>
        </w:tc>
      </w:tr>
      <w:tr w14:paraId="569CE4D4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096"/>
              </w:tabs>
              <w:ind w:right="20" w:firstLine="360" w:firstLineChars="20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TIVA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180 (65.7)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94 (34.3)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4DA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44"/>
              </w:tabs>
              <w:ind w:left="20" w:right="20"/>
              <w:jc w:val="left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 xml:space="preserve">    Balanced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801 (68.1)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374 (31.9)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</w:rPr>
              <w:t>0.97 (0.74–1.28)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4E0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Hypotension,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88 (54)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75 (46)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1.23 (0.88–1.73)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0.218</w:t>
            </w:r>
          </w:p>
        </w:tc>
      </w:tr>
      <w:tr w14:paraId="569CE4E6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Arrhythmia,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 (57.1)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6 (42.7)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1.40 (0.48–4.06)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0.533</w:t>
            </w:r>
          </w:p>
        </w:tc>
      </w:tr>
      <w:tr w14:paraId="569CE4EE">
        <w:trPr>
          <w:trHeight w:val="302" w:hRule="atLeast"/>
        </w:trPr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hint="default"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val="en-US"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Fluid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hint="eastAsia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l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oading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L.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h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PBW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4.68 </w:t>
            </w:r>
          </w:p>
          <w:p w14:paraId="569CE4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(3.32–6.72)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5.02 (3.89–7.10)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0.97 </w:t>
            </w:r>
          </w:p>
          <w:p w14:paraId="569CE4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(0.94–1.01)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0.172</w:t>
            </w:r>
          </w:p>
        </w:tc>
      </w:tr>
      <w:tr w14:paraId="569CE4F4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b/>
                <w:color w:val="000000"/>
                <w:sz w:val="18"/>
                <w:szCs w:val="18"/>
              </w:rPr>
              <w:t>Ventilation parameters of OLV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</w:p>
        </w:tc>
      </w:tr>
      <w:tr w14:paraId="569CE4FA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Ven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t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l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ation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mode,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0.421</w:t>
            </w:r>
          </w:p>
        </w:tc>
      </w:tr>
      <w:tr w14:paraId="569CE500">
        <w:trPr>
          <w:trHeight w:val="323" w:hRule="atLeast"/>
        </w:trPr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PRVC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730 (64.5)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401 (35.5)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4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506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VC/PC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213 (66.9)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105 (33.1)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0.90 (0.69–1.17)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50C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PEEP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0.225</w:t>
            </w:r>
          </w:p>
        </w:tc>
      </w:tr>
      <w:tr w14:paraId="569CE512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&lt;5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876 (65.5)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461 (34.5)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518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≥5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67 (59.8)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45 (40.2)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sz w:val="18"/>
                <w:szCs w:val="18"/>
              </w:rPr>
              <w:t>1.28 (0.86–1.89)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14:paraId="569CE520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Tidal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volumes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.kg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PBW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5.42 </w:t>
            </w:r>
          </w:p>
          <w:p w14:paraId="569CE5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(4.89–6)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5.45 (4.92–6.01)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1.06</w:t>
            </w:r>
          </w:p>
          <w:p w14:paraId="569CE5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 xml:space="preserve"> (0.94–1.19)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0.324</w:t>
            </w:r>
          </w:p>
        </w:tc>
      </w:tr>
      <w:tr w14:paraId="569CE526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Respiratory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rate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bpm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14 (14–15)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14 (14–15)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0.99 (0.89–1.09)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0.840</w:t>
            </w:r>
          </w:p>
        </w:tc>
      </w:tr>
      <w:tr w14:paraId="569CE52C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hint="default"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val="en-US"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C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dyn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, 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mL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 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  <w:r>
              <w:rPr>
                <w:rFonts w:hint="default"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20 (18–23)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20 (19–23)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0.99 (0.90–1.06)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0.601</w:t>
            </w:r>
          </w:p>
        </w:tc>
      </w:tr>
      <w:tr w14:paraId="569CE532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 xml:space="preserve">RMs pressure, median (IQR),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cm H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O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21 (20–23)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21 (20– 24)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1.04 (1.00–1.09)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0.056</w:t>
            </w:r>
          </w:p>
        </w:tc>
      </w:tr>
      <w:tr w14:paraId="569CE538">
        <w:tc>
          <w:tcPr>
            <w:tcW w:w="22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rPr>
                <w:rFonts w:ascii="Times New Roman Regular" w:hAnsi="Times New Roman Regular" w:eastAsia="DejaVu Sans" w:cs="Times New Roman Regular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</w:rPr>
              <w:t>FiO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 Regular" w:hAnsi="Times New Roman Regular" w:eastAsia="DejaVu Sans" w:cs="Times New Roman Regular"/>
                <w:bCs/>
                <w:color w:val="000000"/>
                <w:sz w:val="18"/>
                <w:szCs w:val="18"/>
                <w:lang w:eastAsia="en-US"/>
              </w:rPr>
              <w:t>%, n (%)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0.266</w:t>
            </w:r>
          </w:p>
        </w:tc>
      </w:tr>
      <w:tr w14:paraId="569CE53E">
        <w:tc>
          <w:tcPr>
            <w:tcW w:w="2297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≥70</w:t>
            </w:r>
          </w:p>
        </w:tc>
        <w:tc>
          <w:tcPr>
            <w:tcW w:w="709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860 (64.7)</w:t>
            </w:r>
          </w:p>
        </w:tc>
        <w:tc>
          <w:tcPr>
            <w:tcW w:w="672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470 (35.3)</w:t>
            </w:r>
          </w:p>
        </w:tc>
        <w:tc>
          <w:tcPr>
            <w:tcW w:w="916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[1 Ref]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  <w:tr w14:paraId="569CE544">
        <w:tc>
          <w:tcPr>
            <w:tcW w:w="2297" w:type="pct"/>
            <w:tcBorders>
              <w:bottom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300" w:right="20"/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eastAsia="宋体" w:cs="Times New Roman Regular"/>
                <w:color w:val="000000"/>
                <w:sz w:val="18"/>
                <w:szCs w:val="18"/>
              </w:rPr>
              <w:t>50–69</w:t>
            </w:r>
          </w:p>
        </w:tc>
        <w:tc>
          <w:tcPr>
            <w:tcW w:w="709" w:type="pct"/>
            <w:tcBorders>
              <w:bottom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83 (69.7)</w:t>
            </w:r>
          </w:p>
        </w:tc>
        <w:tc>
          <w:tcPr>
            <w:tcW w:w="672" w:type="pct"/>
            <w:tcBorders>
              <w:bottom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36 (30.3)</w:t>
            </w:r>
          </w:p>
        </w:tc>
        <w:tc>
          <w:tcPr>
            <w:tcW w:w="916" w:type="pct"/>
            <w:tcBorders>
              <w:bottom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 Regular" w:hAnsi="Times New Roman Regular" w:eastAsia="DejaVu Sans" w:cs="Times New Roman Regular"/>
                <w:color w:val="000000"/>
                <w:kern w:val="0"/>
                <w:sz w:val="18"/>
                <w:szCs w:val="18"/>
                <w:lang w:eastAsia="en-US"/>
              </w:rPr>
              <w:t>0.79 (0.53–1.19)</w:t>
            </w:r>
          </w:p>
        </w:tc>
        <w:tc>
          <w:tcPr>
            <w:tcW w:w="404" w:type="pct"/>
            <w:tcBorders>
              <w:bottom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CE5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20" w:right="20"/>
              <w:jc w:val="left"/>
              <w:rPr>
                <w:rFonts w:ascii="Times New Roman Regular" w:hAnsi="Times New Roman Regular" w:eastAsia="宋体" w:cs="Times New Roman Regular"/>
                <w:kern w:val="0"/>
                <w:sz w:val="18"/>
                <w:szCs w:val="18"/>
                <w:lang w:eastAsia="en-US"/>
              </w:rPr>
            </w:pPr>
          </w:p>
        </w:tc>
      </w:tr>
    </w:tbl>
    <w:p w14:paraId="569CE545">
      <w:pPr>
        <w:spacing w:line="48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0B8DC0D6">
      <w:pPr>
        <w:spacing w:line="480" w:lineRule="auto"/>
        <w:rPr>
          <w:rFonts w:ascii="Times New Roman Regular" w:hAnsi="Times New Roman Regular" w:eastAsia="DejaVu Sans" w:cs="Times New Roman Regular"/>
          <w:color w:val="000000"/>
          <w:szCs w:val="21"/>
        </w:rPr>
      </w:pPr>
      <w:r>
        <w:rPr>
          <w:rFonts w:hint="default" w:ascii="Times New Roman Regular" w:hAnsi="Times New Roman Regular" w:eastAsia="DejaVu Sans" w:cs="Times New Roman Regular"/>
          <w:color w:val="000000"/>
          <w:szCs w:val="21"/>
          <w:vertAlign w:val="superscript"/>
          <w:lang w:val="en-US"/>
        </w:rPr>
        <w:t>*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 xml:space="preserve">Analysis of 1443 patients (939 vs. 504). </w:t>
      </w:r>
    </w:p>
    <w:p w14:paraId="4BE9CBB0">
      <w:pPr>
        <w:spacing w:line="480" w:lineRule="auto"/>
        <w:rPr>
          <w:rFonts w:hint="default" w:ascii="Times New Roman" w:hAnsi="Times New Roman" w:cs="Times New Roman"/>
          <w:b/>
          <w:bCs/>
          <w:iCs/>
          <w:sz w:val="24"/>
          <w:lang w:val="en-US"/>
        </w:rPr>
      </w:pPr>
      <w:r>
        <w:rPr>
          <w:rFonts w:ascii="Times New Roman" w:hAnsi="Times New Roman" w:cs="Times New Roman"/>
          <w:color w:val="000000"/>
          <w:szCs w:val="21"/>
        </w:rPr>
        <w:t>SpO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peripheral oxyhemoglobin saturation; </w:t>
      </w:r>
      <w:r>
        <w:rPr>
          <w:rFonts w:ascii="Times New Roman" w:hAnsi="Times New Roman" w:eastAsia="DejaVu Sans" w:cs="Times New Roman"/>
          <w:color w:val="000000"/>
          <w:szCs w:val="21"/>
        </w:rPr>
        <w:t>CAD, coronary artery disease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CHF, c</w:t>
      </w:r>
      <w:r>
        <w:rPr>
          <w:rFonts w:hint="eastAsia" w:ascii="Times New Roman" w:hAnsi="Times New Roman" w:eastAsia="DejaVu Sans" w:cs="Times New Roman"/>
          <w:color w:val="000000"/>
          <w:szCs w:val="21"/>
        </w:rPr>
        <w:t>hronic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 heart failure</w:t>
      </w:r>
      <w:r>
        <w:rPr>
          <w:rFonts w:hint="eastAsia" w:ascii="Times New Roman" w:hAnsi="Times New Roman" w:cs="Times New Roman"/>
          <w:color w:val="000000"/>
          <w:szCs w:val="21"/>
        </w:rPr>
        <w:t>;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eastAsia="DejaVu Sans" w:cs="Times New Roman"/>
          <w:color w:val="000000"/>
          <w:szCs w:val="21"/>
        </w:rPr>
        <w:t>CKD, chronic kidney disease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 xml:space="preserve">TIVA, total intravenous </w:t>
      </w:r>
      <w:r>
        <w:rPr>
          <w:rFonts w:ascii="Times New Roman" w:hAnsi="Times New Roman" w:cs="Times New Roman"/>
          <w:color w:val="000000"/>
          <w:szCs w:val="21"/>
          <w:lang w:val="en-US"/>
        </w:rPr>
        <w:t>anesthesia</w:t>
      </w:r>
      <w:r>
        <w:rPr>
          <w:rFonts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PRVC, pressure–regulated volume control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VC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Cs w:val="21"/>
        </w:rPr>
        <w:t>v</w:t>
      </w:r>
      <w:r>
        <w:rPr>
          <w:rFonts w:ascii="Times New Roman" w:hAnsi="Times New Roman" w:eastAsia="DejaVu Sans" w:cs="Times New Roman"/>
          <w:color w:val="000000"/>
          <w:szCs w:val="21"/>
        </w:rPr>
        <w:t>olume control; PC, pressure control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PEEP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eastAsia="DejaVu Sans" w:cs="Times New Roman"/>
          <w:color w:val="000000"/>
          <w:szCs w:val="21"/>
        </w:rPr>
        <w:t xml:space="preserve"> positive end–expiratory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eastAsia="DejaVu Sans" w:cs="Times New Roman"/>
          <w:color w:val="000000"/>
          <w:szCs w:val="21"/>
        </w:rPr>
        <w:t>Pplat</w:t>
      </w:r>
      <w:r>
        <w:rPr>
          <w:rFonts w:hint="eastAsia" w:ascii="Times New Roman" w:hAnsi="Times New Roman" w:cs="Times New Roman"/>
          <w:color w:val="000000"/>
          <w:szCs w:val="21"/>
        </w:rPr>
        <w:t>,</w:t>
      </w:r>
      <w:r>
        <w:rPr>
          <w:rFonts w:ascii="Times New Roman" w:hAnsi="Times New Roman" w:cs="Times New Roman"/>
          <w:color w:val="000000"/>
          <w:szCs w:val="21"/>
        </w:rPr>
        <w:t xml:space="preserve"> p</w:t>
      </w:r>
      <w:r>
        <w:rPr>
          <w:rFonts w:ascii="Times New Roman" w:hAnsi="Times New Roman" w:eastAsia="DejaVu Sans" w:cs="Times New Roman"/>
          <w:color w:val="000000"/>
          <w:szCs w:val="21"/>
        </w:rPr>
        <w:t>lateau pressure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>b</w:t>
      </w:r>
      <w:r>
        <w:rPr>
          <w:rFonts w:ascii="Times New Roman" w:hAnsi="Times New Roman" w:eastAsia="DejaVu Sans" w:cs="Times New Roman"/>
          <w:color w:val="000000"/>
          <w:szCs w:val="21"/>
        </w:rPr>
        <w:t>pm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eastAsia="DejaVu Sans" w:cs="Times New Roman"/>
          <w:color w:val="000000"/>
          <w:szCs w:val="21"/>
        </w:rPr>
        <w:t>breaths per minute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; </w:t>
      </w:r>
      <w:r>
        <w:rPr>
          <w:rFonts w:ascii="Times New Roman" w:hAnsi="Times New Roman" w:cs="Times New Roman"/>
          <w:color w:val="000000"/>
          <w:szCs w:val="21"/>
        </w:rPr>
        <w:t xml:space="preserve">PBW, </w:t>
      </w:r>
      <w:r>
        <w:rPr>
          <w:rFonts w:hint="eastAsia" w:ascii="Times New Roman" w:hAnsi="Times New Roman" w:cs="Times New Roman"/>
          <w:color w:val="000000"/>
          <w:szCs w:val="21"/>
        </w:rPr>
        <w:t>p</w:t>
      </w:r>
      <w:r>
        <w:rPr>
          <w:rFonts w:ascii="Times New Roman" w:hAnsi="Times New Roman" w:cs="Times New Roman"/>
          <w:color w:val="000000"/>
          <w:szCs w:val="21"/>
        </w:rPr>
        <w:t>redicted body weight; Cdyn, dynamic compliance; RMs, recruitment maneuvers; FiO</w:t>
      </w:r>
      <w:r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 xml:space="preserve">, fraction of </w:t>
      </w:r>
      <w:r>
        <w:rPr>
          <w:rFonts w:hint="eastAsia" w:ascii="Times New Roman" w:hAnsi="Times New Roman" w:cs="Times New Roman"/>
          <w:color w:val="000000"/>
          <w:szCs w:val="21"/>
        </w:rPr>
        <w:t>i</w:t>
      </w:r>
      <w:r>
        <w:rPr>
          <w:rFonts w:ascii="Times New Roman" w:hAnsi="Times New Roman" w:cs="Times New Roman"/>
          <w:color w:val="000000"/>
          <w:szCs w:val="21"/>
        </w:rPr>
        <w:t>nspiratory oxygen</w:t>
      </w:r>
      <w:r>
        <w:rPr>
          <w:rFonts w:ascii="Times New Roman" w:hAnsi="Times New Roman" w:eastAsia="DejaVu Sans" w:cs="Times New Roman"/>
          <w:color w:val="000000"/>
          <w:szCs w:val="21"/>
        </w:rPr>
        <w:t>; OR, odds ratio</w:t>
      </w:r>
      <w:r>
        <w:rPr>
          <w:rFonts w:hint="default" w:ascii="Times New Roman" w:hAnsi="Times New Roman" w:eastAsia="DejaVu Sans" w:cs="Times New Roman"/>
          <w:color w:val="000000"/>
          <w:szCs w:val="21"/>
          <w:lang w:val="en-US"/>
        </w:rPr>
        <w:t xml:space="preserve">; </w:t>
      </w:r>
      <w:r>
        <w:rPr>
          <w:rFonts w:hint="default" w:ascii="Times New Roman Regular" w:hAnsi="Times New Roman Regular" w:cs="Times New Roman Regular"/>
          <w:i w:val="0"/>
          <w:iCs w:val="0"/>
          <w:sz w:val="21"/>
          <w:szCs w:val="21"/>
          <w:lang w:val="en-US"/>
        </w:rPr>
        <w:t>CI, confidence interval.</w:t>
      </w:r>
    </w:p>
    <w:p w14:paraId="0FC2FCCA">
      <w:pPr>
        <w:spacing w:line="480" w:lineRule="auto"/>
        <w:rPr>
          <w:rFonts w:ascii="Times New Roman" w:hAnsi="Times New Roman" w:cs="Times New Roman"/>
          <w:b/>
          <w:bCs/>
          <w:iCs/>
          <w:sz w:val="24"/>
        </w:rPr>
      </w:pPr>
    </w:p>
    <w:p w14:paraId="035F6F74">
      <w:pPr>
        <w:spacing w:line="480" w:lineRule="auto"/>
        <w:rPr>
          <w:rFonts w:hint="default" w:eastAsia="DejaVu Sans"/>
          <w:sz w:val="15"/>
          <w:szCs w:val="15"/>
          <w:lang w:val="en-US"/>
        </w:rPr>
      </w:pPr>
    </w:p>
    <w:p w14:paraId="569CE547">
      <w:pPr>
        <w:spacing w:line="480" w:lineRule="auto"/>
        <w:rPr>
          <w:rFonts w:ascii="Times New Roman Bold" w:hAnsi="Times New Roman Bold" w:cs="Times New Roman Bold"/>
          <w:b/>
          <w:bCs/>
          <w:sz w:val="24"/>
        </w:rPr>
      </w:pPr>
    </w:p>
    <w:p w14:paraId="2BC983B5">
      <w:pPr>
        <w:widowControl/>
        <w:jc w:val="left"/>
        <w:rPr>
          <w:rFonts w:ascii="Times New Roman Bold" w:hAnsi="Times New Roman Bold" w:eastAsia="宋体" w:cs="Times New Roman Bold"/>
          <w:b/>
          <w:bCs/>
          <w:kern w:val="0"/>
          <w:sz w:val="24"/>
        </w:rPr>
      </w:pPr>
      <w:r>
        <w:rPr>
          <w:rFonts w:ascii="Times New Roman Bold" w:hAnsi="Times New Roman Bold" w:eastAsia="宋体" w:cs="Times New Roman Bold"/>
          <w:b/>
          <w:bCs/>
          <w:kern w:val="0"/>
          <w:sz w:val="24"/>
        </w:rPr>
        <w:br w:type="page"/>
      </w:r>
    </w:p>
    <w:p w14:paraId="207D254C">
      <w:pPr>
        <w:widowControl/>
        <w:spacing w:line="480" w:lineRule="auto"/>
        <w:jc w:val="left"/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:lang w:val="en-US"/>
          <w14:ligatures w14:val="none"/>
        </w:rPr>
      </w:pP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S</w:t>
      </w:r>
      <w:r>
        <w:rPr>
          <w:rFonts w:hint="eastAsia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>up</w:t>
      </w:r>
      <w:r>
        <w:rPr>
          <w:rFonts w:hint="default" w:ascii="Times New Roman Regular" w:hAnsi="Times New Roman Regular" w:cs="Times New Roman Regular"/>
          <w:b/>
          <w:bCs/>
          <w:iCs/>
          <w:kern w:val="2"/>
          <w:sz w:val="22"/>
          <w:szCs w:val="22"/>
          <w:lang w:val="en-US" w:eastAsia="zh-CN"/>
        </w:rPr>
        <w:t xml:space="preserve">plementary Digital </w:t>
      </w:r>
      <w:r>
        <w:rPr>
          <w:rFonts w:hint="default" w:ascii="Times New Roman Regular" w:hAnsi="Times New Roman Regular" w:eastAsia="等线" w:cs="Times New Roman Regular"/>
          <w:b/>
          <w:bCs/>
          <w:iCs/>
          <w:kern w:val="2"/>
          <w:sz w:val="22"/>
          <w:szCs w:val="22"/>
          <w:lang w:val="en-US" w:eastAsia="zh-CN"/>
        </w:rPr>
        <w:t>Table</w:t>
      </w:r>
      <w:r>
        <w:rPr>
          <w:rFonts w:hint="default" w:ascii="Times New Roman Regular" w:hAnsi="Times New Roman Regular" w:eastAsia="宋体" w:cs="Times New Roman Regular"/>
          <w:b/>
          <w:bCs/>
          <w:kern w:val="0"/>
          <w:sz w:val="22"/>
          <w:szCs w:val="22"/>
          <w14:ligatures w14:val="none"/>
        </w:rPr>
        <w:t xml:space="preserve"> </w:t>
      </w:r>
      <w:r>
        <w:rPr>
          <w:rFonts w:hint="default" w:ascii="Times New Roman Regular" w:hAnsi="Times New Roman Regular" w:eastAsia="宋体" w:cs="Times New Roman Regular"/>
          <w:b/>
          <w:bCs/>
          <w:kern w:val="0"/>
          <w:sz w:val="22"/>
          <w:szCs w:val="22"/>
          <w:lang w:val="en-US"/>
          <w14:ligatures w14:val="none"/>
        </w:rPr>
        <w:t xml:space="preserve">S7 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14:ligatures w14:val="none"/>
        </w:rPr>
        <w:t xml:space="preserve">Characteristics of 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:lang w:val="en-US" w:eastAsia="zh-CN"/>
          <w14:ligatures w14:val="none"/>
        </w:rPr>
        <w:t>postoperative pulmonary complications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14:ligatures w14:val="none"/>
        </w:rPr>
        <w:t xml:space="preserve"> and mortal</w:t>
      </w:r>
      <w:bookmarkStart w:id="0" w:name="_GoBack"/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14:ligatures w14:val="none"/>
        </w:rPr>
        <w:t>ity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:lang w:val="en-US"/>
          <w14:ligatures w14:val="none"/>
        </w:rPr>
        <w:t xml:space="preserve"> according to t</w:t>
      </w:r>
      <w:bookmarkEnd w:id="0"/>
      <w:r>
        <w:rPr>
          <w:rFonts w:hint="default" w:ascii="Times New Roman Bold" w:hAnsi="Times New Roman Bold" w:eastAsia="宋体" w:cs="Times New Roman Bold"/>
          <w:b/>
          <w:bCs/>
          <w:kern w:val="0"/>
          <w:sz w:val="22"/>
          <w:szCs w:val="22"/>
          <w:lang w:val="en-US"/>
          <w14:ligatures w14:val="none"/>
        </w:rPr>
        <w:t>he type of thoracic surgery</w:t>
      </w:r>
    </w:p>
    <w:tbl>
      <w:tblPr>
        <w:tblStyle w:val="5"/>
        <w:tblpPr w:leftFromText="180" w:rightFromText="180" w:vertAnchor="text" w:horzAnchor="page" w:tblpX="1726" w:tblpY="204"/>
        <w:tblOverlap w:val="never"/>
        <w:tblW w:w="8661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047"/>
        <w:gridCol w:w="1024"/>
        <w:gridCol w:w="1083"/>
        <w:gridCol w:w="1131"/>
        <w:gridCol w:w="1285"/>
        <w:gridCol w:w="866"/>
      </w:tblGrid>
      <w:tr w14:paraId="569CE554">
        <w:tc>
          <w:tcPr>
            <w:tcW w:w="2225" w:type="dxa"/>
            <w:tcBorders>
              <w:bottom w:val="single" w:color="auto" w:sz="8" w:space="0"/>
            </w:tcBorders>
          </w:tcPr>
          <w:p w14:paraId="569CE54A">
            <w:pPr>
              <w:tabs>
                <w:tab w:val="left" w:pos="898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</w:p>
        </w:tc>
        <w:tc>
          <w:tcPr>
            <w:tcW w:w="1047" w:type="dxa"/>
            <w:tcBorders>
              <w:bottom w:val="single" w:color="auto" w:sz="8" w:space="0"/>
            </w:tcBorders>
          </w:tcPr>
          <w:p w14:paraId="569CE54B">
            <w:pPr>
              <w:tabs>
                <w:tab w:val="left" w:pos="898"/>
              </w:tabs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 xml:space="preserve">Wedge resection </w:t>
            </w:r>
          </w:p>
        </w:tc>
        <w:tc>
          <w:tcPr>
            <w:tcW w:w="1024" w:type="dxa"/>
            <w:tcBorders>
              <w:bottom w:val="single" w:color="auto" w:sz="8" w:space="0"/>
            </w:tcBorders>
          </w:tcPr>
          <w:p w14:paraId="569CE54C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Segment-</w:t>
            </w:r>
          </w:p>
          <w:p w14:paraId="569CE54D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ectomy</w:t>
            </w:r>
          </w:p>
        </w:tc>
        <w:tc>
          <w:tcPr>
            <w:tcW w:w="1083" w:type="dxa"/>
            <w:tcBorders>
              <w:bottom w:val="single" w:color="auto" w:sz="8" w:space="0"/>
            </w:tcBorders>
          </w:tcPr>
          <w:p w14:paraId="569CE54E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Lobe-</w:t>
            </w:r>
          </w:p>
          <w:p w14:paraId="569CE54F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ctomy</w:t>
            </w:r>
          </w:p>
        </w:tc>
        <w:tc>
          <w:tcPr>
            <w:tcW w:w="1131" w:type="dxa"/>
            <w:tcBorders>
              <w:bottom w:val="single" w:color="auto" w:sz="8" w:space="0"/>
            </w:tcBorders>
          </w:tcPr>
          <w:p w14:paraId="569CE550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8"/>
                <w:szCs w:val="18"/>
                <w:lang w:val="en-US"/>
              </w:rPr>
              <w:t>E</w:t>
            </w: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sophag-</w:t>
            </w:r>
          </w:p>
          <w:p w14:paraId="569CE551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ectomy</w:t>
            </w:r>
          </w:p>
        </w:tc>
        <w:tc>
          <w:tcPr>
            <w:tcW w:w="1285" w:type="dxa"/>
            <w:tcBorders>
              <w:bottom w:val="single" w:color="auto" w:sz="8" w:space="0"/>
            </w:tcBorders>
          </w:tcPr>
          <w:p w14:paraId="569CE552">
            <w:pPr>
              <w:tabs>
                <w:tab w:val="left" w:pos="898"/>
              </w:tabs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Mediastinal tumor or pericardium resection</w:t>
            </w:r>
          </w:p>
        </w:tc>
        <w:tc>
          <w:tcPr>
            <w:tcW w:w="866" w:type="dxa"/>
            <w:tcBorders>
              <w:bottom w:val="single" w:color="auto" w:sz="8" w:space="0"/>
            </w:tcBorders>
          </w:tcPr>
          <w:p w14:paraId="569CE553">
            <w:pPr>
              <w:tabs>
                <w:tab w:val="left" w:pos="898"/>
              </w:tabs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</w:rPr>
              <w:t>Total</w:t>
            </w:r>
          </w:p>
        </w:tc>
      </w:tr>
      <w:tr w14:paraId="569CE55C">
        <w:tc>
          <w:tcPr>
            <w:tcW w:w="2225" w:type="dxa"/>
            <w:tcBorders>
              <w:top w:val="single" w:color="auto" w:sz="8" w:space="0"/>
              <w:tl2br w:val="nil"/>
              <w:tr2bl w:val="nil"/>
            </w:tcBorders>
          </w:tcPr>
          <w:p w14:paraId="569CE555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Patients, n (%)</w:t>
            </w:r>
          </w:p>
        </w:tc>
        <w:tc>
          <w:tcPr>
            <w:tcW w:w="1047" w:type="dxa"/>
            <w:tcBorders>
              <w:top w:val="single" w:color="auto" w:sz="8" w:space="0"/>
              <w:tl2br w:val="nil"/>
              <w:tr2bl w:val="nil"/>
            </w:tcBorders>
          </w:tcPr>
          <w:p w14:paraId="569CE556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232 (12.2)</w:t>
            </w:r>
          </w:p>
        </w:tc>
        <w:tc>
          <w:tcPr>
            <w:tcW w:w="1024" w:type="dxa"/>
            <w:tcBorders>
              <w:top w:val="single" w:color="auto" w:sz="8" w:space="0"/>
              <w:tl2br w:val="nil"/>
              <w:tr2bl w:val="nil"/>
            </w:tcBorders>
          </w:tcPr>
          <w:p w14:paraId="569CE557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400 (21.1)</w:t>
            </w:r>
          </w:p>
        </w:tc>
        <w:tc>
          <w:tcPr>
            <w:tcW w:w="1083" w:type="dxa"/>
            <w:tcBorders>
              <w:top w:val="single" w:color="auto" w:sz="8" w:space="0"/>
              <w:tl2br w:val="nil"/>
              <w:tr2bl w:val="nil"/>
            </w:tcBorders>
          </w:tcPr>
          <w:p w14:paraId="569CE558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906 (47.7)</w:t>
            </w:r>
          </w:p>
        </w:tc>
        <w:tc>
          <w:tcPr>
            <w:tcW w:w="1131" w:type="dxa"/>
            <w:tcBorders>
              <w:top w:val="single" w:color="auto" w:sz="8" w:space="0"/>
              <w:tl2br w:val="nil"/>
              <w:tr2bl w:val="nil"/>
            </w:tcBorders>
          </w:tcPr>
          <w:p w14:paraId="569CE559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271 (14.2)</w:t>
            </w:r>
          </w:p>
        </w:tc>
        <w:tc>
          <w:tcPr>
            <w:tcW w:w="1285" w:type="dxa"/>
            <w:tcBorders>
              <w:top w:val="single" w:color="auto" w:sz="8" w:space="0"/>
              <w:tl2br w:val="nil"/>
              <w:tr2bl w:val="nil"/>
            </w:tcBorders>
          </w:tcPr>
          <w:p w14:paraId="569CE55A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89 (4.7)</w:t>
            </w:r>
          </w:p>
        </w:tc>
        <w:tc>
          <w:tcPr>
            <w:tcW w:w="866" w:type="dxa"/>
            <w:tcBorders>
              <w:top w:val="single" w:color="auto" w:sz="8" w:space="0"/>
              <w:tl2br w:val="nil"/>
              <w:tr2bl w:val="nil"/>
            </w:tcBorders>
          </w:tcPr>
          <w:p w14:paraId="569CE55B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1898 (100)</w:t>
            </w:r>
          </w:p>
        </w:tc>
      </w:tr>
      <w:tr w14:paraId="569CE565">
        <w:tc>
          <w:tcPr>
            <w:tcW w:w="2225" w:type="dxa"/>
            <w:tcBorders>
              <w:tl2br w:val="nil"/>
              <w:tr2bl w:val="nil"/>
            </w:tcBorders>
          </w:tcPr>
          <w:p w14:paraId="569CE55D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Patients with at least 1 PPC, n (%)</w:t>
            </w:r>
          </w:p>
        </w:tc>
        <w:tc>
          <w:tcPr>
            <w:tcW w:w="1047" w:type="dxa"/>
            <w:tcBorders>
              <w:tl2br w:val="nil"/>
              <w:tr2bl w:val="nil"/>
            </w:tcBorders>
          </w:tcPr>
          <w:p w14:paraId="569CE55E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39 (6)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 w14:paraId="569CE55F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>118 (18.2)</w:t>
            </w:r>
          </w:p>
        </w:tc>
        <w:tc>
          <w:tcPr>
            <w:tcW w:w="1083" w:type="dxa"/>
            <w:tcBorders>
              <w:tl2br w:val="nil"/>
              <w:tr2bl w:val="nil"/>
            </w:tcBorders>
          </w:tcPr>
          <w:p w14:paraId="569CE560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>334 (51.6)</w:t>
            </w:r>
          </w:p>
        </w:tc>
        <w:tc>
          <w:tcPr>
            <w:tcW w:w="1131" w:type="dxa"/>
            <w:tcBorders>
              <w:tl2br w:val="nil"/>
              <w:tr2bl w:val="nil"/>
            </w:tcBorders>
          </w:tcPr>
          <w:p w14:paraId="569CE561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>139 (21.5)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 w14:paraId="569CE562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>17 (2.6)</w:t>
            </w:r>
          </w:p>
        </w:tc>
        <w:tc>
          <w:tcPr>
            <w:tcW w:w="866" w:type="dxa"/>
            <w:tcBorders>
              <w:tl2br w:val="nil"/>
              <w:tr2bl w:val="nil"/>
            </w:tcBorders>
          </w:tcPr>
          <w:p w14:paraId="569CE563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 xml:space="preserve">647 </w:t>
            </w:r>
          </w:p>
          <w:p w14:paraId="569CE564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14:ligatures w14:val="standardContextual"/>
              </w:rPr>
              <w:t>(100)</w:t>
            </w:r>
          </w:p>
        </w:tc>
      </w:tr>
      <w:tr w14:paraId="569CE56D">
        <w:tc>
          <w:tcPr>
            <w:tcW w:w="2225" w:type="dxa"/>
            <w:tcBorders>
              <w:tl2br w:val="nil"/>
              <w:tr2bl w:val="nil"/>
            </w:tcBorders>
          </w:tcPr>
          <w:p w14:paraId="569CE566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Incidence of patients with at least 1 PPC within specialty, %</w:t>
            </w:r>
          </w:p>
        </w:tc>
        <w:tc>
          <w:tcPr>
            <w:tcW w:w="1047" w:type="dxa"/>
            <w:tcBorders>
              <w:tl2br w:val="nil"/>
              <w:tr2bl w:val="nil"/>
            </w:tcBorders>
          </w:tcPr>
          <w:p w14:paraId="569CE567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16.8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 w14:paraId="569CE568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27</w:t>
            </w:r>
          </w:p>
        </w:tc>
        <w:tc>
          <w:tcPr>
            <w:tcW w:w="1083" w:type="dxa"/>
            <w:tcBorders>
              <w:tl2br w:val="nil"/>
              <w:tr2bl w:val="nil"/>
            </w:tcBorders>
          </w:tcPr>
          <w:p w14:paraId="569CE569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36.9</w:t>
            </w:r>
          </w:p>
        </w:tc>
        <w:tc>
          <w:tcPr>
            <w:tcW w:w="1131" w:type="dxa"/>
            <w:tcBorders>
              <w:tl2br w:val="nil"/>
              <w:tr2bl w:val="nil"/>
            </w:tcBorders>
          </w:tcPr>
          <w:p w14:paraId="569CE56A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51.3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 w14:paraId="569CE56B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19.1</w:t>
            </w:r>
          </w:p>
        </w:tc>
        <w:tc>
          <w:tcPr>
            <w:tcW w:w="866" w:type="dxa"/>
            <w:tcBorders>
              <w:tl2br w:val="nil"/>
              <w:tr2bl w:val="nil"/>
            </w:tcBorders>
          </w:tcPr>
          <w:p w14:paraId="569CE56C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34.1</w:t>
            </w:r>
          </w:p>
        </w:tc>
      </w:tr>
      <w:tr w14:paraId="569CE575">
        <w:tc>
          <w:tcPr>
            <w:tcW w:w="2225" w:type="dxa"/>
            <w:tcBorders>
              <w:tl2br w:val="nil"/>
              <w:tr2bl w:val="nil"/>
            </w:tcBorders>
          </w:tcPr>
          <w:p w14:paraId="569CE56E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Patients with at least 1 PPC dead at POD 30, n (% of patients with PPC)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7" w:type="dxa"/>
            <w:tcBorders>
              <w:tl2br w:val="nil"/>
              <w:tr2bl w:val="nil"/>
            </w:tcBorders>
          </w:tcPr>
          <w:p w14:paraId="569CE56F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0/232 (0)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 w14:paraId="569CE570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0/400 (0)</w:t>
            </w:r>
          </w:p>
        </w:tc>
        <w:tc>
          <w:tcPr>
            <w:tcW w:w="1083" w:type="dxa"/>
            <w:tcBorders>
              <w:tl2br w:val="nil"/>
              <w:tr2bl w:val="nil"/>
            </w:tcBorders>
          </w:tcPr>
          <w:p w14:paraId="569CE571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8/901 (0.9)</w:t>
            </w:r>
          </w:p>
        </w:tc>
        <w:tc>
          <w:tcPr>
            <w:tcW w:w="1131" w:type="dxa"/>
            <w:tcBorders>
              <w:tl2br w:val="nil"/>
              <w:tr2bl w:val="nil"/>
            </w:tcBorders>
          </w:tcPr>
          <w:p w14:paraId="569CE572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3/270 (1.1)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 w14:paraId="569CE573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1/89 (1.1)</w:t>
            </w:r>
          </w:p>
        </w:tc>
        <w:tc>
          <w:tcPr>
            <w:tcW w:w="866" w:type="dxa"/>
            <w:tcBorders>
              <w:tl2br w:val="nil"/>
              <w:tr2bl w:val="nil"/>
            </w:tcBorders>
          </w:tcPr>
          <w:p w14:paraId="569CE574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12/1892 (0.6)</w:t>
            </w:r>
          </w:p>
        </w:tc>
      </w:tr>
      <w:tr w14:paraId="569CE57D">
        <w:tc>
          <w:tcPr>
            <w:tcW w:w="2225" w:type="dxa"/>
            <w:tcBorders>
              <w:tl2br w:val="nil"/>
              <w:tr2bl w:val="nil"/>
            </w:tcBorders>
          </w:tcPr>
          <w:p w14:paraId="569CE576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Patients with at least 1 PPC dead at POD 90, n (% of patients with PPC)</w:t>
            </w:r>
            <w:r>
              <w:rPr>
                <w:rFonts w:ascii="Times New Roman Regular" w:hAnsi="Times New Roman Regular" w:cs="Times New Roman Regular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7" w:type="dxa"/>
            <w:tcBorders>
              <w:tl2br w:val="nil"/>
              <w:tr2bl w:val="nil"/>
            </w:tcBorders>
          </w:tcPr>
          <w:p w14:paraId="569CE577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0/232 (0)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 w14:paraId="569CE578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0/393 (0)</w:t>
            </w:r>
          </w:p>
        </w:tc>
        <w:tc>
          <w:tcPr>
            <w:tcW w:w="1083" w:type="dxa"/>
            <w:tcBorders>
              <w:tl2br w:val="nil"/>
              <w:tr2bl w:val="nil"/>
            </w:tcBorders>
          </w:tcPr>
          <w:p w14:paraId="569CE579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9/887 (1)</w:t>
            </w:r>
          </w:p>
        </w:tc>
        <w:tc>
          <w:tcPr>
            <w:tcW w:w="1131" w:type="dxa"/>
            <w:tcBorders>
              <w:tl2br w:val="nil"/>
              <w:tr2bl w:val="nil"/>
            </w:tcBorders>
          </w:tcPr>
          <w:p w14:paraId="569CE57A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6/266 (2.3)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 w14:paraId="569CE57B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1/84 (1.2)</w:t>
            </w:r>
          </w:p>
        </w:tc>
        <w:tc>
          <w:tcPr>
            <w:tcW w:w="866" w:type="dxa"/>
            <w:tcBorders>
              <w:tl2br w:val="nil"/>
              <w:tr2bl w:val="nil"/>
            </w:tcBorders>
          </w:tcPr>
          <w:p w14:paraId="569CE57C">
            <w:pPr>
              <w:tabs>
                <w:tab w:val="left" w:pos="898"/>
              </w:tabs>
              <w:jc w:val="lef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16/1862 (0.9)</w:t>
            </w:r>
          </w:p>
        </w:tc>
      </w:tr>
    </w:tbl>
    <w:p w14:paraId="569CE57E">
      <w:pPr>
        <w:widowControl/>
        <w:spacing w:line="480" w:lineRule="auto"/>
        <w:jc w:val="left"/>
        <w:rPr>
          <w:rFonts w:ascii="Times New Roman Bold" w:hAnsi="Times New Roman Bold" w:eastAsia="宋体" w:cs="Times New Roman Bold"/>
          <w:b/>
          <w:bCs/>
          <w:kern w:val="0"/>
          <w:sz w:val="24"/>
        </w:rPr>
      </w:pPr>
    </w:p>
    <w:p w14:paraId="4924902A">
      <w:pPr>
        <w:tabs>
          <w:tab w:val="left" w:pos="898"/>
        </w:tabs>
        <w:spacing w:line="480" w:lineRule="auto"/>
        <w:jc w:val="left"/>
        <w:rPr>
          <w:rFonts w:ascii="Times New Roman" w:hAnsi="Times New Roman" w:cs="Times New Roman"/>
          <w:iCs/>
          <w:szCs w:val="21"/>
        </w:rPr>
      </w:pPr>
      <w:r>
        <w:rPr>
          <w:rFonts w:hint="eastAsia" w:ascii="Times New Roman Regular" w:hAnsi="Times New Roman Regular" w:cs="Times New Roman Regular"/>
          <w:szCs w:val="21"/>
          <w:vertAlign w:val="superscript"/>
        </w:rPr>
        <w:t>*</w:t>
      </w:r>
      <w:r>
        <w:rPr>
          <w:rFonts w:ascii="Times New Roman Regular" w:hAnsi="Times New Roman Regular" w:eastAsia="DejaVu Sans" w:cs="Times New Roman Regular"/>
          <w:color w:val="000000"/>
          <w:szCs w:val="21"/>
          <w:vertAlign w:val="superscript"/>
        </w:rPr>
        <w:t xml:space="preserve"> </w:t>
      </w:r>
      <w:r>
        <w:rPr>
          <w:rFonts w:ascii="Times New Roman Regular" w:hAnsi="Times New Roman Regular" w:eastAsia="DejaVu Sans" w:cs="Times New Roman Regular"/>
          <w:color w:val="000000"/>
          <w:szCs w:val="21"/>
        </w:rPr>
        <w:t xml:space="preserve">In </w:t>
      </w:r>
      <w:r>
        <w:rPr>
          <w:rFonts w:ascii="Times New Roman" w:hAnsi="Times New Roman" w:cs="Times New Roman"/>
          <w:iCs/>
          <w:szCs w:val="21"/>
        </w:rPr>
        <w:t xml:space="preserve">total 6 values (0.3%) were missing for 30-day mortality and 36 (1.9%) for 90-day mortality in the overall cohort. </w:t>
      </w:r>
    </w:p>
    <w:p w14:paraId="569CE57F">
      <w:pPr>
        <w:tabs>
          <w:tab w:val="left" w:pos="898"/>
        </w:tabs>
        <w:spacing w:line="480" w:lineRule="auto"/>
        <w:jc w:val="left"/>
        <w:rPr>
          <w:szCs w:val="21"/>
        </w:rPr>
      </w:pPr>
      <w:r>
        <w:rPr>
          <w:rFonts w:ascii="Times New Roman Regular" w:hAnsi="Times New Roman Regular" w:cs="Times New Roman Regular"/>
          <w:szCs w:val="21"/>
        </w:rPr>
        <w:t>PPC, postoperative pulmonary complication; POD, postoperative day.</w:t>
      </w:r>
    </w:p>
    <w:p w14:paraId="569CE580">
      <w:pPr>
        <w:tabs>
          <w:tab w:val="left" w:pos="1910"/>
        </w:tabs>
        <w:spacing w:line="480" w:lineRule="auto"/>
        <w:rPr>
          <w:rFonts w:ascii="Times New Roman" w:hAnsi="Times New Roman" w:cs="Times New Roman"/>
          <w:color w:val="000000"/>
          <w:szCs w:val="21"/>
        </w:rPr>
      </w:pPr>
    </w:p>
    <w:p w14:paraId="569CE581">
      <w:pPr>
        <w:spacing w:line="480" w:lineRule="auto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DejaVu Sans">
    <w:altName w:val="苹方-简"/>
    <w:panose1 w:val="020B0603030804020204"/>
    <w:charset w:val="00"/>
    <w:family w:val="swiss"/>
    <w:pitch w:val="default"/>
    <w:sig w:usb0="00000000" w:usb1="00000000" w:usb2="0A246029" w:usb3="00000000" w:csb0="000001F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1OThhZDhhNjE5MzE2ZDAwZGUxMmMwOGEzZmQ2ZjYifQ=="/>
  </w:docVars>
  <w:rsids>
    <w:rsidRoot w:val="FDFFE4DA"/>
    <w:rsid w:val="00017024"/>
    <w:rsid w:val="00021331"/>
    <w:rsid w:val="0006544B"/>
    <w:rsid w:val="00151A41"/>
    <w:rsid w:val="00161818"/>
    <w:rsid w:val="00190AB0"/>
    <w:rsid w:val="001F37EB"/>
    <w:rsid w:val="00256A9D"/>
    <w:rsid w:val="002A551F"/>
    <w:rsid w:val="002D100F"/>
    <w:rsid w:val="00315175"/>
    <w:rsid w:val="003848E0"/>
    <w:rsid w:val="00391DB9"/>
    <w:rsid w:val="003E54E2"/>
    <w:rsid w:val="00436126"/>
    <w:rsid w:val="00485F1F"/>
    <w:rsid w:val="004A122E"/>
    <w:rsid w:val="005239AB"/>
    <w:rsid w:val="005636A0"/>
    <w:rsid w:val="0057684F"/>
    <w:rsid w:val="005E5C64"/>
    <w:rsid w:val="005F0827"/>
    <w:rsid w:val="00616D91"/>
    <w:rsid w:val="00716FA6"/>
    <w:rsid w:val="007B5C8D"/>
    <w:rsid w:val="007D1155"/>
    <w:rsid w:val="008041B5"/>
    <w:rsid w:val="0082421D"/>
    <w:rsid w:val="00851978"/>
    <w:rsid w:val="00855AAC"/>
    <w:rsid w:val="008741F8"/>
    <w:rsid w:val="008908BA"/>
    <w:rsid w:val="008955AD"/>
    <w:rsid w:val="00912710"/>
    <w:rsid w:val="009214CB"/>
    <w:rsid w:val="00976109"/>
    <w:rsid w:val="009A6663"/>
    <w:rsid w:val="00A02273"/>
    <w:rsid w:val="00AA3F88"/>
    <w:rsid w:val="00AB3340"/>
    <w:rsid w:val="00AB37DF"/>
    <w:rsid w:val="00B16994"/>
    <w:rsid w:val="00B17ED5"/>
    <w:rsid w:val="00B50C90"/>
    <w:rsid w:val="00D42DC3"/>
    <w:rsid w:val="00D84589"/>
    <w:rsid w:val="00DB32FB"/>
    <w:rsid w:val="00E64F04"/>
    <w:rsid w:val="00EF61CA"/>
    <w:rsid w:val="00F25E55"/>
    <w:rsid w:val="00F41A7B"/>
    <w:rsid w:val="00F97AC9"/>
    <w:rsid w:val="077A4ABE"/>
    <w:rsid w:val="1B89CABC"/>
    <w:rsid w:val="2ABD54FB"/>
    <w:rsid w:val="3FEBB2EA"/>
    <w:rsid w:val="4E6BA120"/>
    <w:rsid w:val="5EE7BC0A"/>
    <w:rsid w:val="6BD7218B"/>
    <w:rsid w:val="6BDD0A30"/>
    <w:rsid w:val="72785BD6"/>
    <w:rsid w:val="7DB7D658"/>
    <w:rsid w:val="7DDB0654"/>
    <w:rsid w:val="7DDB77A2"/>
    <w:rsid w:val="7F6FEC34"/>
    <w:rsid w:val="7F7BD4AF"/>
    <w:rsid w:val="7FBAE695"/>
    <w:rsid w:val="7FFB9CA1"/>
    <w:rsid w:val="9BF07B01"/>
    <w:rsid w:val="AF7B1F38"/>
    <w:rsid w:val="BD7BA0EB"/>
    <w:rsid w:val="DBFF77A4"/>
    <w:rsid w:val="EEFF4A81"/>
    <w:rsid w:val="F7FE7DC3"/>
    <w:rsid w:val="FDFF58E7"/>
    <w:rsid w:val="FDFFE4DA"/>
    <w:rsid w:val="FEEFEE5B"/>
    <w:rsid w:val="FEF7A20C"/>
    <w:rsid w:val="FFD7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rPr>
      <w:sz w:val="20"/>
      <w:szCs w:val="20"/>
    </w:rPr>
  </w:style>
  <w:style w:type="paragraph" w:styleId="3">
    <w:name w:val="annotation subject"/>
    <w:basedOn w:val="2"/>
    <w:next w:val="2"/>
    <w:link w:val="13"/>
    <w:uiPriority w:val="0"/>
    <w:rPr>
      <w:b/>
      <w:bCs/>
    </w:rPr>
  </w:style>
  <w:style w:type="table" w:styleId="5">
    <w:name w:val="Table Grid"/>
    <w:basedOn w:val="4"/>
    <w:qFormat/>
    <w:uiPriority w:val="59"/>
    <w:rPr>
      <w:sz w:val="24"/>
      <w:szCs w:val="24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annotation reference"/>
    <w:basedOn w:val="6"/>
    <w:semiHidden/>
    <w:unhideWhenUsed/>
    <w:uiPriority w:val="99"/>
    <w:rPr>
      <w:sz w:val="16"/>
      <w:szCs w:val="16"/>
    </w:rPr>
  </w:style>
  <w:style w:type="paragraph" w:customStyle="1" w:styleId="8">
    <w:name w:val="Table Caption"/>
    <w:basedOn w:val="9"/>
    <w:autoRedefine/>
    <w:qFormat/>
    <w:uiPriority w:val="0"/>
    <w:pPr>
      <w:widowControl/>
    </w:pPr>
    <w:rPr>
      <w:kern w:val="0"/>
      <w:sz w:val="24"/>
      <w:lang w:eastAsia="en-US"/>
    </w:rPr>
  </w:style>
  <w:style w:type="paragraph" w:customStyle="1" w:styleId="9">
    <w:name w:val="Image Caption"/>
    <w:basedOn w:val="1"/>
    <w:autoRedefine/>
    <w:qFormat/>
    <w:uiPriority w:val="0"/>
    <w:pPr>
      <w:jc w:val="center"/>
    </w:pPr>
    <w:rPr>
      <w:b/>
      <w:i/>
    </w:rPr>
  </w:style>
  <w:style w:type="table" w:customStyle="1" w:styleId="10">
    <w:name w:val="网格型1"/>
    <w:basedOn w:val="4"/>
    <w:uiPriority w:val="59"/>
    <w:rPr>
      <w:sz w:val="24"/>
      <w:szCs w:val="24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Comment Text Char"/>
    <w:basedOn w:val="6"/>
    <w:link w:val="2"/>
    <w:semiHidden/>
    <w:uiPriority w:val="99"/>
    <w:rPr>
      <w:kern w:val="2"/>
      <w:lang w:val="en-US" w:eastAsia="zh-CN"/>
    </w:rPr>
  </w:style>
  <w:style w:type="character" w:customStyle="1" w:styleId="13">
    <w:name w:val="Comment Subject Char"/>
    <w:basedOn w:val="12"/>
    <w:link w:val="3"/>
    <w:uiPriority w:val="0"/>
    <w:rPr>
      <w:b/>
      <w:bCs/>
      <w:kern w:val="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2815</Words>
  <Characters>16046</Characters>
  <Lines>133</Lines>
  <Paragraphs>37</Paragraphs>
  <TotalTime>1</TotalTime>
  <ScaleCrop>false</ScaleCrop>
  <LinksUpToDate>false</LinksUpToDate>
  <CharactersWithSpaces>18824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2024-08-23T16:44:00Z</dcterms:created>
  <dc:creator>魏巍</dc:creator>
  <cp:lastModifiedBy>魏巍</cp:lastModifiedBy>
  <dcterms:modified xsi:type="dcterms:W3CDTF">2024-09-10T23:57:07Z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71E7D17F8EDEFEFE536CE066759A991E_43</vt:lpwstr>
  </property>
  <property fmtid="{D5CDD505-2E9C-101B-9397-08002B2CF9AE}" pid="3" name="KSOProductBuildVer">
    <vt:lpwstr>2052-6.10.1.8873</vt:lpwstr>
  </property>
</Properties>
</file>