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6A5A1" w14:textId="77777777" w:rsidR="00480EFC" w:rsidRPr="00692BE7" w:rsidRDefault="00480EFC" w:rsidP="00480EFC">
      <w:pPr>
        <w:pStyle w:val="Legend"/>
        <w:jc w:val="center"/>
      </w:pPr>
      <w:r w:rsidRPr="00692BE7">
        <w:rPr>
          <w:noProof/>
        </w:rPr>
        <w:drawing>
          <wp:inline distT="0" distB="0" distL="0" distR="0" wp14:anchorId="14C8C7A9" wp14:editId="75C30D32">
            <wp:extent cx="3599688" cy="6452616"/>
            <wp:effectExtent l="0" t="0" r="1270" b="5715"/>
            <wp:docPr id="14" name="图片 14" descr="A diagram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A diagram of a graph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645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CE5B5" w14:textId="77777777" w:rsidR="00480EFC" w:rsidRPr="00692BE7" w:rsidRDefault="00480EFC" w:rsidP="00480EFC">
      <w:pPr>
        <w:pStyle w:val="Legend"/>
        <w:jc w:val="center"/>
      </w:pPr>
    </w:p>
    <w:p w14:paraId="2F5530E3" w14:textId="77777777" w:rsidR="00480EFC" w:rsidRPr="00692BE7" w:rsidRDefault="00480EFC" w:rsidP="00480EFC">
      <w:pPr>
        <w:pStyle w:val="Legend"/>
        <w:jc w:val="both"/>
      </w:pPr>
      <w:r w:rsidRPr="00692BE7">
        <w:rPr>
          <w:b/>
        </w:rPr>
        <w:t>Extended Data Fig. 1.</w:t>
      </w:r>
      <w:r w:rsidRPr="00692BE7">
        <w:t xml:space="preserve"> </w:t>
      </w:r>
      <w:r w:rsidRPr="00692BE7">
        <w:rPr>
          <w:b/>
          <w:bCs/>
          <w:lang w:val="de-DE"/>
        </w:rPr>
        <w:t>Characterization of the key features of the DP platform.</w:t>
      </w:r>
      <w:r w:rsidRPr="00692BE7">
        <w:rPr>
          <w:bCs/>
          <w:lang w:val="de-DE"/>
        </w:rPr>
        <w:t xml:space="preserve"> (a) Quantitative evaluation of the uniformity of the droplets partitioned into microwells of PicoArray device. (b) Microscopic images of a PicoArray device before and after covering of solid agar sheet showing the diffusion of red dye molecules from agar sheet to microwells. (c) Time-lapse microscopic images of agar sheet-covered PicoArray device showing the development of bacterial microcolonies within picowells.</w:t>
      </w:r>
    </w:p>
    <w:p w14:paraId="72415006" w14:textId="77777777" w:rsidR="00480EFC" w:rsidRPr="00692BE7" w:rsidRDefault="00480EFC" w:rsidP="00480EFC">
      <w:pPr>
        <w:pStyle w:val="Legend"/>
      </w:pPr>
    </w:p>
    <w:p w14:paraId="4EA7F508" w14:textId="77777777" w:rsidR="00480EFC" w:rsidRPr="00692BE7" w:rsidRDefault="00480EFC" w:rsidP="00480EFC">
      <w:pPr>
        <w:pStyle w:val="Legend"/>
        <w:jc w:val="center"/>
      </w:pPr>
      <w:r w:rsidRPr="00692BE7">
        <w:rPr>
          <w:rFonts w:hint="eastAsia"/>
          <w:noProof/>
        </w:rPr>
        <w:lastRenderedPageBreak/>
        <w:drawing>
          <wp:inline distT="0" distB="0" distL="0" distR="0" wp14:anchorId="24D30E45" wp14:editId="56DE35CB">
            <wp:extent cx="3599688" cy="5157216"/>
            <wp:effectExtent l="0" t="0" r="1270" b="5715"/>
            <wp:docPr id="16" name="图片 16" descr="A graph and diagram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A graph and diagram of a graph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515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021AE" w14:textId="77777777" w:rsidR="00480EFC" w:rsidRPr="00692BE7" w:rsidRDefault="00480EFC" w:rsidP="00480EFC">
      <w:pPr>
        <w:pStyle w:val="Legend"/>
      </w:pPr>
      <w:r w:rsidRPr="00692BE7">
        <w:rPr>
          <w:b/>
          <w:bCs/>
        </w:rPr>
        <w:t>Extended Data Fig. 2.</w:t>
      </w:r>
      <w:r w:rsidRPr="00692BE7">
        <w:rPr>
          <w:bCs/>
        </w:rPr>
        <w:t xml:space="preserve"> </w:t>
      </w:r>
      <w:r w:rsidRPr="00692BE7">
        <w:rPr>
          <w:b/>
          <w:lang w:val="de-DE"/>
        </w:rPr>
        <w:t xml:space="preserve">Digital enumeration of viable bacteria </w:t>
      </w:r>
      <w:r w:rsidRPr="00692BE7">
        <w:rPr>
          <w:b/>
          <w:i/>
          <w:iCs/>
          <w:lang w:val="de-DE"/>
        </w:rPr>
        <w:t>via</w:t>
      </w:r>
      <w:r w:rsidRPr="00692BE7">
        <w:rPr>
          <w:b/>
          <w:lang w:val="de-DE"/>
        </w:rPr>
        <w:t xml:space="preserve"> the DP platform.</w:t>
      </w:r>
      <w:r w:rsidRPr="00692BE7">
        <w:rPr>
          <w:bCs/>
        </w:rPr>
        <w:t xml:space="preserve"> (a) Bright-field microimages showing the representative results of growth of different concentrations of </w:t>
      </w:r>
      <w:r w:rsidRPr="00692BE7">
        <w:rPr>
          <w:bCs/>
          <w:i/>
          <w:iCs/>
        </w:rPr>
        <w:t>Salmonella</w:t>
      </w:r>
      <w:r w:rsidRPr="00692BE7">
        <w:rPr>
          <w:bCs/>
        </w:rPr>
        <w:t xml:space="preserve"> in the PicoArray device. (b) The </w:t>
      </w:r>
      <w:r w:rsidRPr="00692BE7">
        <w:rPr>
          <w:bCs/>
          <w:i/>
          <w:iCs/>
        </w:rPr>
        <w:t>Salmonella</w:t>
      </w:r>
      <w:r w:rsidRPr="00692BE7">
        <w:rPr>
          <w:bCs/>
        </w:rPr>
        <w:t xml:space="preserve"> concentration measured using the DP platform </w:t>
      </w:r>
      <w:r w:rsidRPr="00692BE7">
        <w:rPr>
          <w:bCs/>
          <w:i/>
          <w:iCs/>
        </w:rPr>
        <w:t>vs.</w:t>
      </w:r>
      <w:r w:rsidRPr="00692BE7">
        <w:rPr>
          <w:bCs/>
        </w:rPr>
        <w:t xml:space="preserve"> the concentration determined using the plate culturing (gold standard).</w:t>
      </w:r>
    </w:p>
    <w:p w14:paraId="095C36EA" w14:textId="77777777" w:rsidR="00F553FF" w:rsidRDefault="00F553FF"/>
    <w:sectPr w:rsidR="00F553FF" w:rsidSect="00480EFC">
      <w:footerReference w:type="even" r:id="rId6"/>
      <w:footerReference w:type="default" r:id="rId7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A37B0" w14:textId="77777777" w:rsidR="00000000" w:rsidRDefault="00000000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1</w:t>
    </w:r>
    <w:r>
      <w:rPr>
        <w:rStyle w:val="PageNumber"/>
        <w:rFonts w:eastAsiaTheme="majorEastAsia"/>
      </w:rPr>
      <w:fldChar w:fldCharType="end"/>
    </w:r>
  </w:p>
  <w:p w14:paraId="16470CC5" w14:textId="77777777" w:rsidR="00000000" w:rsidRDefault="000000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C0682" w14:textId="77777777" w:rsidR="00000000" w:rsidRDefault="00000000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3</w:t>
    </w:r>
    <w:r>
      <w:rPr>
        <w:rStyle w:val="PageNumber"/>
        <w:rFonts w:eastAsiaTheme="majorEastAsia"/>
      </w:rPr>
      <w:fldChar w:fldCharType="end"/>
    </w:r>
  </w:p>
  <w:p w14:paraId="59A26F35" w14:textId="77777777" w:rsidR="00000000" w:rsidRDefault="0000000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EFC"/>
    <w:rsid w:val="0021247D"/>
    <w:rsid w:val="003C2EF4"/>
    <w:rsid w:val="00480EFC"/>
    <w:rsid w:val="00B74216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662DF"/>
  <w15:chartTrackingRefBased/>
  <w15:docId w15:val="{755CADED-1244-4FD4-A129-539D228E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EFC"/>
    <w:pPr>
      <w:spacing w:after="200" w:line="240" w:lineRule="auto"/>
      <w:jc w:val="both"/>
    </w:pPr>
    <w:rPr>
      <w:rFonts w:ascii="Times" w:eastAsia="Times New Roman" w:hAnsi="Times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EF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EF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EFC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EFC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EFC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EFC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EFC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EFC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EFC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E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E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E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E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E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E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E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EF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0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EFC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0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EF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0E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EF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0E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E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EF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qFormat/>
    <w:rsid w:val="00480E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80EFC"/>
    <w:rPr>
      <w:rFonts w:ascii="Times" w:eastAsia="Times New Roman" w:hAnsi="Times" w:cs="Times New Roman"/>
      <w:kern w:val="0"/>
      <w:sz w:val="24"/>
      <w:szCs w:val="20"/>
      <w14:ligatures w14:val="none"/>
    </w:rPr>
  </w:style>
  <w:style w:type="character" w:styleId="PageNumber">
    <w:name w:val="page number"/>
    <w:basedOn w:val="DefaultParagraphFont"/>
    <w:qFormat/>
    <w:rsid w:val="00480EFC"/>
  </w:style>
  <w:style w:type="paragraph" w:customStyle="1" w:styleId="Legend">
    <w:name w:val="Legend"/>
    <w:basedOn w:val="Normal"/>
    <w:rsid w:val="00480EFC"/>
    <w:pPr>
      <w:spacing w:after="0"/>
      <w:jc w:val="left"/>
    </w:pPr>
    <w:rPr>
      <w:rFonts w:ascii="Times New Roman" w:eastAsia="MS Mincho" w:hAnsi="Times New Roman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738</Characters>
  <Application>Microsoft Office Word</Application>
  <DocSecurity>0</DocSecurity>
  <Lines>6</Lines>
  <Paragraphs>1</Paragraphs>
  <ScaleCrop>false</ScaleCrop>
  <Company>Springer Nature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2024-11-26T10:26:00Z</dcterms:created>
  <dcterms:modified xsi:type="dcterms:W3CDTF">2024-11-26T10:26:00Z</dcterms:modified>
</cp:coreProperties>
</file>