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3CDE4">
      <w:pPr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</w:rPr>
        <w:t>Supplementary Materials</w:t>
      </w:r>
    </w:p>
    <w:p w14:paraId="6FBF9CFE">
      <w:pPr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</w:rPr>
        <w:t>Design, Synthesis and Biological Evaluation of a Novel [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vertAlign w:val="superscript"/>
        </w:rPr>
        <w:t>18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F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</w:rPr>
        <w:t>]AlF-H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  <w:vertAlign w:val="subscript"/>
        </w:rPr>
        <w:t>3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</w:rPr>
        <w:t>RESCA-FAPI Radiotracer Targeting Fibroblast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Activation Protein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 </w:t>
      </w:r>
    </w:p>
    <w:p w14:paraId="47B80E06">
      <w:pPr>
        <w:jc w:val="left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</w:t>
      </w:r>
    </w:p>
    <w:p w14:paraId="3CA93D4E">
      <w:pPr>
        <w:rPr>
          <w:rFonts w:hint="default" w:ascii="宋体" w:hAnsi="宋体" w:eastAsia="宋体" w:cs="宋体"/>
          <w:color w:val="auto"/>
          <w:sz w:val="24"/>
          <w:szCs w:val="24"/>
        </w:rPr>
      </w:pPr>
    </w:p>
    <w:p w14:paraId="3E7EEC90">
      <w:pPr>
        <w:rPr>
          <w:rFonts w:hint="default" w:ascii="宋体" w:hAnsi="宋体" w:eastAsia="宋体" w:cs="宋体"/>
          <w:color w:val="auto"/>
          <w:sz w:val="24"/>
          <w:szCs w:val="24"/>
        </w:rPr>
      </w:pPr>
    </w:p>
    <w:p w14:paraId="26DEE8EE">
      <w:pPr>
        <w:rPr>
          <w:rFonts w:hint="default" w:ascii="宋体" w:hAnsi="宋体" w:eastAsia="宋体" w:cs="宋体"/>
          <w:color w:val="auto"/>
          <w:sz w:val="24"/>
          <w:szCs w:val="24"/>
        </w:rPr>
      </w:pPr>
    </w:p>
    <w:p w14:paraId="3FC85C59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</w:p>
    <w:p w14:paraId="4A22E0D9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</w:p>
    <w:p w14:paraId="026534B8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</w:p>
    <w:p w14:paraId="15D5F343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</w:p>
    <w:p w14:paraId="355A9ED3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</w:p>
    <w:p w14:paraId="41CF2237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</w:p>
    <w:p w14:paraId="0DDBE60F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</w:p>
    <w:p w14:paraId="20B75190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</w:p>
    <w:p w14:paraId="5D215679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</w:p>
    <w:p w14:paraId="487CB420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</w:p>
    <w:p w14:paraId="53F321ED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</w:p>
    <w:p w14:paraId="602B098C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</w:p>
    <w:p w14:paraId="0B880F6E">
      <w:pP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Table </w:t>
      </w:r>
      <w:r>
        <w:rPr>
          <w:rFonts w:hint="eastAsia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  <w:t>S1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. </w:t>
      </w:r>
      <w:r>
        <w:rPr>
          <w:rFonts w:hint="default" w:ascii="Times New Roman" w:hAnsi="Times New Roman" w:eastAsia="TimesNewRomanPS-BoldMT" w:cs="Times New Roman"/>
          <w:b w:val="0"/>
          <w:bCs w:val="0"/>
          <w:color w:val="auto"/>
          <w:kern w:val="0"/>
          <w:sz w:val="24"/>
          <w:szCs w:val="24"/>
          <w:vertAlign w:val="baseline"/>
          <w:lang w:val="en-US" w:eastAsia="zh-CN" w:bidi="ar"/>
        </w:rPr>
        <w:t>Predicted Physico-chemical, Druglikeness and Molecular properties of ligands:</w:t>
      </w:r>
    </w:p>
    <w:tbl>
      <w:tblPr>
        <w:tblStyle w:val="4"/>
        <w:tblpPr w:leftFromText="180" w:rightFromText="180" w:vertAnchor="text" w:horzAnchor="page" w:tblpX="1912" w:tblpY="34"/>
        <w:tblOverlap w:val="never"/>
        <w:tblW w:w="82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2767"/>
        <w:gridCol w:w="2338"/>
        <w:gridCol w:w="2221"/>
      </w:tblGrid>
      <w:tr w14:paraId="108D9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3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6754A5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URWPalladioL-Bold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S/N </w:t>
            </w:r>
          </w:p>
        </w:tc>
        <w:tc>
          <w:tcPr>
            <w:tcW w:w="276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769E5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URWPalladioL-Bold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Parameter </w:t>
            </w:r>
          </w:p>
        </w:tc>
        <w:tc>
          <w:tcPr>
            <w:tcW w:w="233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B2446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DOTA-FAPI-04</w:t>
            </w:r>
          </w:p>
        </w:tc>
        <w:tc>
          <w:tcPr>
            <w:tcW w:w="222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0E8EA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 w:cs="Times New Roman"/>
                <w:b w:val="0"/>
                <w:color w:val="auto"/>
                <w:sz w:val="24"/>
                <w:szCs w:val="24"/>
                <w:vertAlign w:val="subscript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RESCA-FAPI</w:t>
            </w:r>
          </w:p>
        </w:tc>
      </w:tr>
      <w:tr w14:paraId="5130C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5157A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76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D394B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LogP</w:t>
            </w:r>
          </w:p>
        </w:tc>
        <w:tc>
          <w:tcPr>
            <w:tcW w:w="233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07A23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-1.982</w:t>
            </w:r>
          </w:p>
        </w:tc>
        <w:tc>
          <w:tcPr>
            <w:tcW w:w="222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8E548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-0.639</w:t>
            </w:r>
          </w:p>
        </w:tc>
      </w:tr>
      <w:tr w14:paraId="6D0F0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E64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0B3C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TPSA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9C82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243.73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379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237.25</w:t>
            </w:r>
          </w:p>
        </w:tc>
      </w:tr>
      <w:tr w14:paraId="674E5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6FEC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E148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natoms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9727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9BD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119</w:t>
            </w:r>
          </w:p>
        </w:tc>
      </w:tr>
      <w:tr w14:paraId="53C01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491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CB7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MW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FC6C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872.4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A385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904.39</w:t>
            </w:r>
          </w:p>
        </w:tc>
      </w:tr>
      <w:tr w14:paraId="39162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585E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C182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nON(HBA*)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E61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20.0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3D4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18.0</w:t>
            </w:r>
          </w:p>
        </w:tc>
      </w:tr>
      <w:tr w14:paraId="4A513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6FA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2B4A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nOHNH(HBD**)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C8D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4.0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EE5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4.0</w:t>
            </w:r>
          </w:p>
        </w:tc>
      </w:tr>
      <w:tr w14:paraId="112C3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E220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E8E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Lipinski Ro5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801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Rejected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7EE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Rejected</w:t>
            </w:r>
          </w:p>
        </w:tc>
      </w:tr>
      <w:tr w14:paraId="6FEE6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0CA3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103C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Pfizer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5ECA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Accepted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F764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Accepted</w:t>
            </w:r>
          </w:p>
        </w:tc>
      </w:tr>
      <w:tr w14:paraId="5214E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29EE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247C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GSK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FC97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Rejected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E20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Rejected</w:t>
            </w:r>
          </w:p>
        </w:tc>
      </w:tr>
      <w:tr w14:paraId="4CA02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362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2354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Golden Triangle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A34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Rejected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330D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Rejected</w:t>
            </w:r>
          </w:p>
        </w:tc>
      </w:tr>
      <w:tr w14:paraId="2A3B9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8F9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260A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nrotb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B8A3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19.0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66B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23.0</w:t>
            </w:r>
          </w:p>
        </w:tc>
      </w:tr>
      <w:tr w14:paraId="1F96B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2F396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B4FFE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volum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0299B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833.345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A7B90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881.365</w:t>
            </w:r>
          </w:p>
        </w:tc>
      </w:tr>
    </w:tbl>
    <w:p w14:paraId="2CD7E30D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Note: *HBA: Hydrogen Bond Acceptors (as total number of nitrogen and oxygen atoms),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**HBD: Hydrogen Bond Donors (as total number of oxygen−hydrogen and nitrogen−hydrogen bonds)</w:t>
      </w:r>
    </w:p>
    <w:p w14:paraId="5CCD75C3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Table S2. </w:t>
      </w:r>
      <w:r>
        <w:rPr>
          <w:rFonts w:hint="default" w:ascii="Times New Roman" w:hAnsi="Times New Roman" w:eastAsia="TimesNewRomanPS-BoldMT" w:cs="Times New Roman"/>
          <w:b w:val="0"/>
          <w:bCs w:val="0"/>
          <w:color w:val="auto"/>
          <w:kern w:val="0"/>
          <w:sz w:val="24"/>
          <w:szCs w:val="24"/>
          <w:vertAlign w:val="baseline"/>
          <w:lang w:val="en-US" w:eastAsia="zh-CN" w:bidi="ar"/>
        </w:rPr>
        <w:t>Predicted values of pharmacokinetics, ADME</w:t>
      </w:r>
      <w:r>
        <w:rPr>
          <w:rFonts w:hint="eastAsia" w:ascii="Times New Roman" w:hAnsi="Times New Roman" w:eastAsia="TimesNewRomanPS-BoldMT" w:cs="Times New Roman"/>
          <w:b w:val="0"/>
          <w:bCs w:val="0"/>
          <w:color w:val="auto"/>
          <w:kern w:val="0"/>
          <w:sz w:val="24"/>
          <w:szCs w:val="24"/>
          <w:vertAlign w:val="baseline"/>
          <w:lang w:val="en-US" w:eastAsia="zh-CN" w:bidi="ar"/>
        </w:rPr>
        <w:t>T</w:t>
      </w:r>
      <w:r>
        <w:rPr>
          <w:rFonts w:hint="default" w:ascii="Times New Roman" w:hAnsi="Times New Roman" w:eastAsia="TimesNewRomanPS-BoldMT" w:cs="Times New Roman"/>
          <w:b w:val="0"/>
          <w:bCs w:val="0"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properties and drug similarity of </w:t>
      </w:r>
      <w:r>
        <w:rPr>
          <w:rFonts w:hint="eastAsia" w:ascii="Times New Roman" w:hAnsi="Times New Roman" w:eastAsia="TimesNewRomanPS-BoldMT" w:cs="Times New Roman"/>
          <w:b w:val="0"/>
          <w:bCs w:val="0"/>
          <w:color w:val="auto"/>
          <w:kern w:val="0"/>
          <w:sz w:val="24"/>
          <w:szCs w:val="24"/>
          <w:vertAlign w:val="baseline"/>
          <w:lang w:val="en-US" w:eastAsia="zh-CN" w:bidi="ar"/>
        </w:rPr>
        <w:t>DOTA-FAPI-04</w:t>
      </w:r>
      <w:r>
        <w:rPr>
          <w:rFonts w:hint="default" w:ascii="Times New Roman" w:hAnsi="Times New Roman" w:eastAsia="TimesNewRomanPS-BoldMT" w:cs="Times New Roman"/>
          <w:b w:val="0"/>
          <w:bCs w:val="0"/>
          <w:color w:val="auto"/>
          <w:kern w:val="0"/>
          <w:sz w:val="24"/>
          <w:szCs w:val="24"/>
          <w:vertAlign w:val="baseline"/>
          <w:lang w:val="en-US" w:eastAsia="zh-CN" w:bidi="ar"/>
        </w:rPr>
        <w:t>:</w:t>
      </w:r>
    </w:p>
    <w:tbl>
      <w:tblPr>
        <w:tblStyle w:val="4"/>
        <w:tblpPr w:leftFromText="180" w:rightFromText="180" w:vertAnchor="text" w:horzAnchor="page" w:tblpX="1912" w:tblpY="34"/>
        <w:tblOverlap w:val="never"/>
        <w:tblW w:w="8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982"/>
        <w:gridCol w:w="1136"/>
        <w:gridCol w:w="982"/>
        <w:gridCol w:w="973"/>
        <w:gridCol w:w="961"/>
        <w:gridCol w:w="978"/>
        <w:gridCol w:w="955"/>
        <w:gridCol w:w="1045"/>
      </w:tblGrid>
      <w:tr w14:paraId="784CF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43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DF2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URWPalladioL-Bold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S/N </w:t>
            </w:r>
          </w:p>
        </w:tc>
        <w:tc>
          <w:tcPr>
            <w:tcW w:w="2118" w:type="dxa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901CD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URWPalladioL-Bold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Absorption </w:t>
            </w:r>
          </w:p>
        </w:tc>
        <w:tc>
          <w:tcPr>
            <w:tcW w:w="1955" w:type="dxa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609B2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Distribution</w:t>
            </w:r>
          </w:p>
        </w:tc>
        <w:tc>
          <w:tcPr>
            <w:tcW w:w="1939" w:type="dxa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01A50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Metabolism</w:t>
            </w:r>
          </w:p>
        </w:tc>
        <w:tc>
          <w:tcPr>
            <w:tcW w:w="2000" w:type="dxa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A2A2B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Excretion and Toxicity</w:t>
            </w:r>
          </w:p>
        </w:tc>
      </w:tr>
      <w:tr w14:paraId="666A3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3C4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E08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Water Solubility </w:t>
            </w:r>
          </w:p>
          <w:p w14:paraId="1CDB6A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(Log S)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EBE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  <w:p w14:paraId="2EA5A0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-3.767</w:t>
            </w:r>
          </w:p>
          <w:p w14:paraId="594F0E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8D8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Volume</w:t>
            </w:r>
          </w:p>
          <w:p w14:paraId="64C09A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distribution </w:t>
            </w:r>
          </w:p>
          <w:p w14:paraId="6711E3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(VD)</w:t>
            </w:r>
          </w:p>
          <w:p w14:paraId="339547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of a drug in </w:t>
            </w:r>
          </w:p>
          <w:p w14:paraId="091E53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blood</w:t>
            </w:r>
          </w:p>
          <w:p w14:paraId="43D3EB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plasmas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EA8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-0.023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D9B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CYP2D6</w:t>
            </w:r>
          </w:p>
          <w:p w14:paraId="66B72D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inhibitor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5ED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---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3A9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Total drug</w:t>
            </w:r>
          </w:p>
          <w:p w14:paraId="4AEE68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clearance log</w:t>
            </w:r>
          </w:p>
          <w:p w14:paraId="4D9A59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(CLtot)</w:t>
            </w:r>
          </w:p>
          <w:p w14:paraId="3ADBCB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971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1.033</w:t>
            </w:r>
          </w:p>
        </w:tc>
      </w:tr>
      <w:tr w14:paraId="64752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4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73B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693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  <w:p w14:paraId="1AAD49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Lipid Solubility </w:t>
            </w:r>
          </w:p>
          <w:p w14:paraId="3A8109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(Log P)</w:t>
            </w:r>
          </w:p>
          <w:p w14:paraId="10FAEE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936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-1.982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3CF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49A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27A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CYP3A4</w:t>
            </w:r>
          </w:p>
          <w:p w14:paraId="431FE2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inhibitor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864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---</w:t>
            </w:r>
          </w:p>
        </w:tc>
        <w:tc>
          <w:tcPr>
            <w:tcW w:w="9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DC6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  <w:p w14:paraId="13EDC4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AMES </w:t>
            </w:r>
          </w:p>
          <w:p w14:paraId="45390D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toxicity</w:t>
            </w:r>
          </w:p>
          <w:p w14:paraId="2EBAE5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FAC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0.03</w:t>
            </w:r>
          </w:p>
        </w:tc>
      </w:tr>
      <w:tr w14:paraId="6270C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41D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D76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Caco-2 </w:t>
            </w:r>
          </w:p>
          <w:p w14:paraId="6FD877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Permeability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033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-5.371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ACE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Plasma </w:t>
            </w:r>
          </w:p>
          <w:p w14:paraId="0E69EE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protein</w:t>
            </w:r>
          </w:p>
          <w:p w14:paraId="1F6D45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binding </w:t>
            </w:r>
          </w:p>
          <w:p w14:paraId="7B1198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(PPB)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23C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38.372</w:t>
            </w:r>
          </w:p>
        </w:tc>
        <w:tc>
          <w:tcPr>
            <w:tcW w:w="9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7E8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CYP1A2</w:t>
            </w:r>
          </w:p>
          <w:p w14:paraId="77B9E5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inhibitor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D02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---</w:t>
            </w:r>
          </w:p>
        </w:tc>
        <w:tc>
          <w:tcPr>
            <w:tcW w:w="9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97A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hERG 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  <w:t xml:space="preserve"> Blockers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138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0.999</w:t>
            </w:r>
          </w:p>
        </w:tc>
      </w:tr>
      <w:tr w14:paraId="127FD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4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3A1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D69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  <w:t>MDCK</w:t>
            </w:r>
          </w:p>
          <w:p w14:paraId="2534C3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permeability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AA1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-4.994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B57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BBB </w:t>
            </w:r>
          </w:p>
          <w:p w14:paraId="6523A9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per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eability</w:t>
            </w:r>
          </w:p>
          <w:p w14:paraId="672D11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326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---</w:t>
            </w:r>
          </w:p>
        </w:tc>
        <w:tc>
          <w:tcPr>
            <w:tcW w:w="9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874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CYP2C19</w:t>
            </w:r>
          </w:p>
          <w:p w14:paraId="1B9B10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inhibitor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77D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---</w:t>
            </w:r>
          </w:p>
        </w:tc>
        <w:tc>
          <w:tcPr>
            <w:tcW w:w="9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1B6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993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F9E4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  <w:jc w:val="center"/>
        </w:trPr>
        <w:tc>
          <w:tcPr>
            <w:tcW w:w="4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D17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284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Human intestinal</w:t>
            </w:r>
          </w:p>
          <w:p w14:paraId="17494C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absorption (HIA)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821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+++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D09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The </w:t>
            </w:r>
          </w:p>
          <w:p w14:paraId="1FBED5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fraction</w:t>
            </w:r>
          </w:p>
          <w:p w14:paraId="6DEC6A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unbound in </w:t>
            </w:r>
          </w:p>
          <w:p w14:paraId="3D9132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blood</w:t>
            </w:r>
          </w:p>
          <w:p w14:paraId="085D13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plasmas </w:t>
            </w:r>
          </w:p>
          <w:p w14:paraId="3E9058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(Fu)</w:t>
            </w:r>
          </w:p>
        </w:tc>
        <w:tc>
          <w:tcPr>
            <w:tcW w:w="9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751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59.522</w:t>
            </w:r>
          </w:p>
        </w:tc>
        <w:tc>
          <w:tcPr>
            <w:tcW w:w="9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B1F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CYP2C9</w:t>
            </w:r>
          </w:p>
          <w:p w14:paraId="5359DB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inhibitor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A53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---</w:t>
            </w:r>
          </w:p>
        </w:tc>
        <w:tc>
          <w:tcPr>
            <w:tcW w:w="9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BA3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573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7414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4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9A347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5C0F5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QED value (a measure of drug </w:t>
            </w:r>
          </w:p>
          <w:p w14:paraId="35AB58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likeness) </w:t>
            </w:r>
          </w:p>
          <w:p w14:paraId="220D94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Attractive&gt;</w:t>
            </w:r>
          </w:p>
          <w:p w14:paraId="6D939B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0.67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3409E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0.15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5BA93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BE080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6F49A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60101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F1113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EA1DF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</w:pPr>
          </w:p>
        </w:tc>
      </w:tr>
    </w:tbl>
    <w:p w14:paraId="05798AF5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ote: For the classification endpoints , the prediction probability values are transformed into six symbols: 0-0.1 (---), 0.1-0.3 (--), 0.3-0.5 (-), 0.5-0.7 (+), 0.7-0.9 (++), and 0.9-1.0 (+++).</w:t>
      </w:r>
    </w:p>
    <w:p w14:paraId="42D15A08">
      <w:pPr>
        <w:rPr>
          <w:color w:val="auto"/>
        </w:rPr>
      </w:pPr>
    </w:p>
    <w:p w14:paraId="2C744305">
      <w:pPr>
        <w:rPr>
          <w:color w:val="auto"/>
        </w:rPr>
      </w:pPr>
    </w:p>
    <w:p w14:paraId="03FA8D9F">
      <w:pPr>
        <w:rPr>
          <w:color w:val="auto"/>
        </w:rPr>
      </w:pPr>
    </w:p>
    <w:p w14:paraId="74E0AB14">
      <w:pPr>
        <w:rPr>
          <w:color w:val="auto"/>
        </w:rPr>
      </w:pPr>
    </w:p>
    <w:p w14:paraId="35DBA69C">
      <w:pP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</w:pPr>
    </w:p>
    <w:p w14:paraId="0A20956B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  <w:t>Table S</w:t>
      </w:r>
      <w:r>
        <w:rPr>
          <w:rFonts w:hint="eastAsia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  <w:t>3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. </w:t>
      </w:r>
      <w:r>
        <w:rPr>
          <w:rFonts w:hint="default" w:ascii="Times New Roman" w:hAnsi="Times New Roman" w:eastAsia="TimesNewRomanPS-BoldMT" w:cs="Times New Roman"/>
          <w:b w:val="0"/>
          <w:bCs w:val="0"/>
          <w:color w:val="auto"/>
          <w:kern w:val="0"/>
          <w:sz w:val="24"/>
          <w:szCs w:val="24"/>
          <w:vertAlign w:val="baseline"/>
          <w:lang w:val="en-US" w:eastAsia="zh-CN" w:bidi="ar"/>
        </w:rPr>
        <w:t>Predicted values of pharmacokinetics, ADME</w:t>
      </w:r>
      <w:r>
        <w:rPr>
          <w:rFonts w:hint="eastAsia" w:ascii="Times New Roman" w:hAnsi="Times New Roman" w:eastAsia="TimesNewRomanPS-BoldMT" w:cs="Times New Roman"/>
          <w:b w:val="0"/>
          <w:bCs w:val="0"/>
          <w:color w:val="auto"/>
          <w:kern w:val="0"/>
          <w:sz w:val="24"/>
          <w:szCs w:val="24"/>
          <w:vertAlign w:val="baseline"/>
          <w:lang w:val="en-US" w:eastAsia="zh-CN" w:bidi="ar"/>
        </w:rPr>
        <w:t>T</w:t>
      </w:r>
      <w:r>
        <w:rPr>
          <w:rFonts w:hint="default" w:ascii="Times New Roman" w:hAnsi="Times New Roman" w:eastAsia="TimesNewRomanPS-BoldMT" w:cs="Times New Roman"/>
          <w:b w:val="0"/>
          <w:bCs w:val="0"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properties and drug similarity of </w:t>
      </w:r>
      <w:r>
        <w:rPr>
          <w:rFonts w:hint="eastAsia" w:ascii="Times New Roman" w:hAnsi="Times New Roman" w:eastAsia="TimesNewRomanPS-BoldMT" w:cs="Times New Roman"/>
          <w:b w:val="0"/>
          <w:bCs w:val="0"/>
          <w:color w:val="auto"/>
          <w:kern w:val="0"/>
          <w:sz w:val="24"/>
          <w:szCs w:val="24"/>
          <w:vertAlign w:val="baseline"/>
          <w:lang w:val="en-US" w:eastAsia="zh-CN" w:bidi="ar"/>
        </w:rPr>
        <w:t>H</w:t>
      </w:r>
      <w:r>
        <w:rPr>
          <w:rFonts w:hint="eastAsia" w:ascii="Times New Roman" w:hAnsi="Times New Roman" w:eastAsia="TimesNewRomanPS-BoldMT" w:cs="Times New Roman"/>
          <w:b w:val="0"/>
          <w:bCs w:val="0"/>
          <w:color w:val="auto"/>
          <w:kern w:val="0"/>
          <w:sz w:val="24"/>
          <w:szCs w:val="24"/>
          <w:vertAlign w:val="subscript"/>
          <w:lang w:val="en-US" w:eastAsia="zh-CN" w:bidi="ar"/>
        </w:rPr>
        <w:t>3</w:t>
      </w:r>
      <w:r>
        <w:rPr>
          <w:rFonts w:hint="eastAsia" w:ascii="Times New Roman" w:hAnsi="Times New Roman" w:eastAsia="TimesNewRomanPS-BoldMT" w:cs="Times New Roman"/>
          <w:b w:val="0"/>
          <w:bCs w:val="0"/>
          <w:color w:val="auto"/>
          <w:kern w:val="0"/>
          <w:sz w:val="24"/>
          <w:szCs w:val="24"/>
          <w:vertAlign w:val="baseline"/>
          <w:lang w:val="en-US" w:eastAsia="zh-CN" w:bidi="ar"/>
        </w:rPr>
        <w:t>RESCA-FAPI</w:t>
      </w:r>
      <w:r>
        <w:rPr>
          <w:rFonts w:hint="default" w:ascii="Times New Roman" w:hAnsi="Times New Roman" w:eastAsia="TimesNewRomanPS-BoldMT" w:cs="Times New Roman"/>
          <w:b w:val="0"/>
          <w:bCs w:val="0"/>
          <w:color w:val="auto"/>
          <w:kern w:val="0"/>
          <w:sz w:val="24"/>
          <w:szCs w:val="24"/>
          <w:vertAlign w:val="baseline"/>
          <w:lang w:val="en-US" w:eastAsia="zh-CN" w:bidi="ar"/>
        </w:rPr>
        <w:t>:</w:t>
      </w:r>
    </w:p>
    <w:tbl>
      <w:tblPr>
        <w:tblStyle w:val="4"/>
        <w:tblpPr w:leftFromText="180" w:rightFromText="180" w:vertAnchor="text" w:horzAnchor="page" w:tblpX="1912" w:tblpY="34"/>
        <w:tblOverlap w:val="never"/>
        <w:tblW w:w="8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982"/>
        <w:gridCol w:w="1136"/>
        <w:gridCol w:w="982"/>
        <w:gridCol w:w="973"/>
        <w:gridCol w:w="961"/>
        <w:gridCol w:w="978"/>
        <w:gridCol w:w="955"/>
        <w:gridCol w:w="1045"/>
      </w:tblGrid>
      <w:tr w14:paraId="07A6C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43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0D3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URWPalladioL-Bold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S/N </w:t>
            </w:r>
          </w:p>
        </w:tc>
        <w:tc>
          <w:tcPr>
            <w:tcW w:w="2118" w:type="dxa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65E2D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URWPalladioL-Bold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Absorption </w:t>
            </w:r>
          </w:p>
        </w:tc>
        <w:tc>
          <w:tcPr>
            <w:tcW w:w="1955" w:type="dxa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69F0F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Distribution</w:t>
            </w:r>
          </w:p>
        </w:tc>
        <w:tc>
          <w:tcPr>
            <w:tcW w:w="1939" w:type="dxa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96A0E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Metabolism</w:t>
            </w:r>
          </w:p>
        </w:tc>
        <w:tc>
          <w:tcPr>
            <w:tcW w:w="2000" w:type="dxa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5B519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Excretion and Toxicity</w:t>
            </w:r>
          </w:p>
        </w:tc>
      </w:tr>
      <w:tr w14:paraId="61C7B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9E9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581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Water Solubility </w:t>
            </w:r>
          </w:p>
          <w:p w14:paraId="561B61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(Log S)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83B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  <w:p w14:paraId="353E6E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-2.327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C50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Volume</w:t>
            </w:r>
          </w:p>
          <w:p w14:paraId="1F066F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distribution </w:t>
            </w:r>
          </w:p>
          <w:p w14:paraId="6124C9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(VD)</w:t>
            </w:r>
          </w:p>
          <w:p w14:paraId="381195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of a drug in </w:t>
            </w:r>
          </w:p>
          <w:p w14:paraId="2ADF5F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blood</w:t>
            </w:r>
          </w:p>
          <w:p w14:paraId="32D947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plasmas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D26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-0.096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9CB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CYP2D6</w:t>
            </w:r>
          </w:p>
          <w:p w14:paraId="1613C5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inhibitor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19C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---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4B2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Total drug</w:t>
            </w:r>
          </w:p>
          <w:p w14:paraId="563A9C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clearance log</w:t>
            </w:r>
          </w:p>
          <w:p w14:paraId="2C1765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(CLtot)</w:t>
            </w:r>
          </w:p>
          <w:p w14:paraId="28FCA8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2A3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1.185</w:t>
            </w:r>
          </w:p>
        </w:tc>
      </w:tr>
      <w:tr w14:paraId="3C768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4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4F2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F5F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  <w:p w14:paraId="07FB42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Lipid Solubility </w:t>
            </w:r>
          </w:p>
          <w:p w14:paraId="631A04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(Log P)</w:t>
            </w:r>
          </w:p>
          <w:p w14:paraId="0472D7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A6A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-0.639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B02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21E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A49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CYP3A4</w:t>
            </w:r>
          </w:p>
          <w:p w14:paraId="5D95EC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inhibitor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BDE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---</w:t>
            </w:r>
          </w:p>
        </w:tc>
        <w:tc>
          <w:tcPr>
            <w:tcW w:w="9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936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  <w:p w14:paraId="1A163F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AMES </w:t>
            </w:r>
          </w:p>
          <w:p w14:paraId="137AD9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toxicity</w:t>
            </w:r>
          </w:p>
          <w:p w14:paraId="6BB33E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A2C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0.08</w:t>
            </w:r>
          </w:p>
        </w:tc>
      </w:tr>
      <w:tr w14:paraId="1A1D7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173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677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Caco-2 </w:t>
            </w:r>
          </w:p>
          <w:p w14:paraId="31E220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Permeability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B85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-5.626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CB2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Plasma </w:t>
            </w:r>
          </w:p>
          <w:p w14:paraId="69B8BF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protein</w:t>
            </w:r>
          </w:p>
          <w:p w14:paraId="338C34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binding </w:t>
            </w:r>
          </w:p>
          <w:p w14:paraId="434C47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(PPB)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61F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68.838</w:t>
            </w:r>
          </w:p>
        </w:tc>
        <w:tc>
          <w:tcPr>
            <w:tcW w:w="9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A31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CYP1A2</w:t>
            </w:r>
          </w:p>
          <w:p w14:paraId="42AC75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inhibitor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E87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---</w:t>
            </w:r>
          </w:p>
        </w:tc>
        <w:tc>
          <w:tcPr>
            <w:tcW w:w="9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B7A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hERG 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  <w:t xml:space="preserve"> Blockers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CA3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0.983</w:t>
            </w:r>
          </w:p>
        </w:tc>
      </w:tr>
      <w:tr w14:paraId="68A62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D99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3BD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  <w:t>MDCK</w:t>
            </w:r>
          </w:p>
          <w:p w14:paraId="2B0BE1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permeability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455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-4.994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722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BBB </w:t>
            </w:r>
          </w:p>
          <w:p w14:paraId="3A9079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per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eability</w:t>
            </w:r>
          </w:p>
          <w:p w14:paraId="5AF1D5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4B4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---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5A9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CYP2C19</w:t>
            </w:r>
          </w:p>
          <w:p w14:paraId="12CC39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inhibitor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C8A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---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2F5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3FC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A614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141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BED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Human intestinal</w:t>
            </w:r>
          </w:p>
          <w:p w14:paraId="0C2D18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absorption (HIA)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3C4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--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599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The </w:t>
            </w:r>
          </w:p>
          <w:p w14:paraId="43FE85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fraction</w:t>
            </w:r>
          </w:p>
          <w:p w14:paraId="6F1D60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unbound in </w:t>
            </w:r>
          </w:p>
          <w:p w14:paraId="0A3BDD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blood</w:t>
            </w:r>
          </w:p>
          <w:p w14:paraId="724936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plasmas </w:t>
            </w:r>
          </w:p>
          <w:p w14:paraId="564954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(Fu)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94C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27.905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FE7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CYP2C9</w:t>
            </w:r>
          </w:p>
          <w:p w14:paraId="6B5504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inhibitor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946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---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70A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814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62A0F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4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42E26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4EE8B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QED value (a measure of drug </w:t>
            </w:r>
          </w:p>
          <w:p w14:paraId="023167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 xml:space="preserve">likeness) </w:t>
            </w:r>
          </w:p>
          <w:p w14:paraId="232B25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Attractive&gt;</w:t>
            </w:r>
          </w:p>
          <w:p w14:paraId="35C23E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</w:rPr>
              <w:t>0.67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D5ADA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0.119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58F1C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887D0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886CF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0F2BC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B4598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BA006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auto"/>
                <w:sz w:val="15"/>
                <w:szCs w:val="15"/>
                <w:lang w:val="en-US" w:eastAsia="zh-CN"/>
              </w:rPr>
            </w:pPr>
          </w:p>
        </w:tc>
      </w:tr>
    </w:tbl>
    <w:p w14:paraId="79199DEA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ote: For the classification endpoints , the prediction probability values are transformed into six symbols: 0-0.1 (---), 0.1-0.3 (--), 0.3-0.5 (-), 0.5-0.7 (+), 0.7-0.9 (++), and 0.9-1.0 (+++).</w:t>
      </w:r>
    </w:p>
    <w:p w14:paraId="32F6D5BB"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66F73BD2"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414C851D"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447F654A"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O=C(N1CCN(CCCOC2=CC=C3N=CC=C(C(NCC(N4[C@H](C#N)CC(F)(F)C4)=O)=O)C3=C2)CC1)CN5CCN(CC(O)=O)CCN(CC(O)=O)CCN(CC(O)=O)CC5</w:t>
      </w:r>
    </w:p>
    <w:p w14:paraId="58E04A6D">
      <w:pPr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eastAsia" w:ascii="Times New Roman" w:hAnsi="Times New Roman" w:eastAsia="MyriadPro-Semibold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Text S1.</w:t>
      </w:r>
      <w:r>
        <w:rPr>
          <w:rFonts w:hint="eastAsia" w:ascii="Times New Roman" w:hAnsi="Times New Roman" w:eastAsia="MyriadPro-Semibold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MyriadPro-Semibold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>The SMILES format of</w:t>
      </w:r>
      <w:r>
        <w:rPr>
          <w:rFonts w:hint="eastAsia" w:ascii="Times New Roman" w:hAnsi="Times New Roman" w:eastAsia="MyriadPro-Semibold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DOTA-FAPI-04.</w:t>
      </w:r>
    </w:p>
    <w:p w14:paraId="1D51C1A0"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213E68E0"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191FACC5"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O=C(C1=CC=NC2=CC=C(OCCCN3CCN(C(CC4=CC=C(CN([C@@H]5CCCC[C@H]5N(CC(O)=O)CC(O)=O)CC(O)=O)C=C4)=O)CC3)C=C12)NCC(N6[C@H](C#N)CC(F)(F)C6)=O</w:t>
      </w:r>
    </w:p>
    <w:p w14:paraId="77FC29CE">
      <w:pP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MyriadPro-Semibold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Text S2.</w:t>
      </w:r>
      <w:r>
        <w:rPr>
          <w:rFonts w:hint="eastAsia" w:ascii="Times New Roman" w:hAnsi="Times New Roman" w:eastAsia="MyriadPro-Semibold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MyriadPro-Semibold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>The SMILES format of</w:t>
      </w:r>
      <w:r>
        <w:rPr>
          <w:rFonts w:hint="eastAsia" w:ascii="Times New Roman" w:hAnsi="Times New Roman" w:eastAsia="MyriadPro-Semibold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H</w:t>
      </w:r>
      <w:r>
        <w:rPr>
          <w:rFonts w:hint="eastAsia" w:ascii="Times New Roman" w:hAnsi="Times New Roman" w:eastAsia="MyriadPro-Semibold" w:cs="Times New Roman"/>
          <w:b w:val="0"/>
          <w:bCs w:val="0"/>
          <w:color w:val="auto"/>
          <w:kern w:val="0"/>
          <w:sz w:val="24"/>
          <w:szCs w:val="24"/>
          <w:vertAlign w:val="subscript"/>
          <w:lang w:val="en-US" w:eastAsia="zh-CN" w:bidi="ar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RESCA-FAPI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.</w:t>
      </w:r>
    </w:p>
    <w:p w14:paraId="0E499DE3">
      <w:pPr>
        <w:ind w:left="0" w:leftChars="0" w:right="0" w:rightChars="0" w:firstLine="0" w:firstLineChars="0"/>
        <w:jc w:val="both"/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</w:pPr>
    </w:p>
    <w:p w14:paraId="08C38908">
      <w:pPr>
        <w:ind w:left="0" w:leftChars="0" w:right="0" w:rightChars="0" w:firstLine="0" w:firstLineChars="0"/>
        <w:jc w:val="both"/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</w:pPr>
    </w:p>
    <w:p w14:paraId="2E6AC913">
      <w:pPr>
        <w:ind w:left="0" w:leftChars="0" w:right="0" w:rightChars="0" w:firstLine="0" w:firstLineChars="0"/>
        <w:jc w:val="both"/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8595" cy="5575300"/>
            <wp:effectExtent l="0" t="0" r="1905" b="0"/>
            <wp:docPr id="1" name="图片 1" descr="LC-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C-M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F9E27">
      <w:pPr>
        <w:ind w:left="0" w:leftChars="0" w:right="0" w:rightChars="0" w:firstLine="0" w:firstLineChars="0"/>
        <w:jc w:val="both"/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i w:val="0"/>
          <w:color w:val="auto"/>
          <w:kern w:val="2"/>
          <w:sz w:val="24"/>
          <w:szCs w:val="24"/>
          <w:lang w:val="en-US" w:eastAsia="zh-CN" w:bidi="ar-SA"/>
        </w:rPr>
        <w:t>Figure S1.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 xml:space="preserve">  LC-MS spectrometry for H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subscript"/>
          <w:lang w:val="en-US" w:eastAsia="zh-CN" w:bidi="ar-SA"/>
        </w:rPr>
        <w:t>3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 xml:space="preserve">RESCA-FAPI. </w:t>
      </w:r>
      <w:r>
        <w:rPr>
          <w:rFonts w:hint="default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 xml:space="preserve">                 </w:t>
      </w:r>
    </w:p>
    <w:p w14:paraId="2CC93E8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auto"/>
        </w:rPr>
      </w:pPr>
    </w:p>
    <w:p w14:paraId="5395E38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  <w:r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  <w:t xml:space="preserve">  </w:t>
      </w:r>
      <w:r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  <w:drawing>
          <wp:inline distT="0" distB="0" distL="114300" distR="114300">
            <wp:extent cx="4268470" cy="6858000"/>
            <wp:effectExtent l="0" t="0" r="11430" b="0"/>
            <wp:docPr id="2" name="图片 2" descr="冷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冷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847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F5C2D">
      <w:pPr>
        <w:widowControl/>
        <w:rPr>
          <w:rFonts w:hint="default" w:ascii="Times New Roman" w:hAnsi="Times New Roman" w:eastAsia="宋体" w:cs="Times New Roman"/>
          <w:color w:val="auto"/>
          <w:kern w:val="0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i w:val="0"/>
          <w:color w:val="auto"/>
          <w:kern w:val="2"/>
          <w:sz w:val="24"/>
          <w:szCs w:val="24"/>
          <w:lang w:val="en-US" w:eastAsia="zh-CN" w:bidi="ar-SA"/>
        </w:rPr>
        <w:t>Figure S2.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 xml:space="preserve">  HPLC spectrometry for H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subscript"/>
          <w:lang w:val="en-US" w:eastAsia="zh-CN" w:bidi="ar-SA"/>
        </w:rPr>
        <w:t>3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>RESCA-FAPI (A) and reaction solution for chelating reaction with AlCl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subscript"/>
          <w:lang w:val="en-US" w:eastAsia="zh-CN" w:bidi="ar-SA"/>
        </w:rPr>
        <w:t xml:space="preserve">3 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baseline"/>
          <w:lang w:val="en-US" w:eastAsia="zh-CN" w:bidi="ar-SA"/>
        </w:rPr>
        <w:t>(B) and continue to add that reaction solution of K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superscript"/>
          <w:lang w:val="en-US" w:eastAsia="zh-CN" w:bidi="ar-SA"/>
        </w:rPr>
        <w:t>19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baseline"/>
          <w:lang w:val="en-US" w:eastAsia="zh-CN" w:bidi="ar-SA"/>
        </w:rPr>
        <w:t>F for fluorination reaction (C)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>. HPLC condition serve as the method for quality control.</w:t>
      </w:r>
    </w:p>
    <w:p w14:paraId="03A208A8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 xml:space="preserve"> </w:t>
      </w:r>
    </w:p>
    <w:p w14:paraId="76AE80D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  <w:r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  <w:drawing>
          <wp:inline distT="0" distB="0" distL="114300" distR="114300">
            <wp:extent cx="5271135" cy="5617845"/>
            <wp:effectExtent l="0" t="0" r="12065" b="8255"/>
            <wp:docPr id="4" name="图片 4" descr="热标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热标记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61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8473C">
      <w:pPr>
        <w:widowControl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i w:val="0"/>
          <w:color w:val="auto"/>
          <w:kern w:val="2"/>
          <w:sz w:val="24"/>
          <w:szCs w:val="24"/>
          <w:lang w:val="en-US" w:eastAsia="zh-CN" w:bidi="ar-SA"/>
        </w:rPr>
        <w:t>Figure S3.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 xml:space="preserve">  Radio-HPLC spectrometry for [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superscript"/>
          <w:lang w:val="en-US" w:eastAsia="zh-CN" w:bidi="ar-SA"/>
        </w:rPr>
        <w:t>18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>F]AlF-H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subscript"/>
          <w:lang w:val="en-US" w:eastAsia="zh-CN" w:bidi="ar-SA"/>
        </w:rPr>
        <w:t>3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>RESCA-FAPI (A) and HPLC spectrometry for [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superscript"/>
          <w:lang w:val="en-US" w:eastAsia="zh-CN" w:bidi="ar-SA"/>
        </w:rPr>
        <w:t>18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>F]AlF-H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subscript"/>
          <w:lang w:val="en-US" w:eastAsia="zh-CN" w:bidi="ar-SA"/>
        </w:rPr>
        <w:t>3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>RESCA-FAPI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lang w:val="en-US" w:eastAsia="zh-CN" w:bidi="ar"/>
        </w:rPr>
        <w:t xml:space="preserve"> at a wavelength of 254 nm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subscript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baseline"/>
          <w:lang w:val="en-US" w:eastAsia="zh-CN" w:bidi="ar-SA"/>
        </w:rPr>
        <w:t>(B)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 xml:space="preserve">. </w:t>
      </w:r>
      <w:r>
        <w:rPr>
          <w:rFonts w:hint="default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 xml:space="preserve"> </w:t>
      </w:r>
    </w:p>
    <w:p w14:paraId="2858A4C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15DBEB2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1B2CF53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4DAAB08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03F53B3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2C034D1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3E8EFE0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43AC9CB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11651F5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1229573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075F856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36B8360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16B09B6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61FA9823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URWPalladioL-Roma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URWPalladioL-Roma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Table S4.</w:t>
      </w:r>
      <w:r>
        <w:rPr>
          <w:rFonts w:hint="eastAsia" w:ascii="Times New Roman" w:hAnsi="Times New Roman" w:eastAsia="URWPalladioL-Roma" w:cs="Times New Roman"/>
          <w:color w:val="auto"/>
          <w:kern w:val="0"/>
          <w:sz w:val="24"/>
          <w:szCs w:val="24"/>
          <w:lang w:val="en-US" w:eastAsia="zh-CN" w:bidi="ar"/>
        </w:rPr>
        <w:t xml:space="preserve"> Radiolabling yield at real-time temperature and under different reaction </w:t>
      </w:r>
    </w:p>
    <w:p w14:paraId="521C389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URWPalladioL-Roma" w:cs="Times New Roman"/>
          <w:color w:val="auto"/>
          <w:kern w:val="0"/>
          <w:sz w:val="24"/>
          <w:szCs w:val="24"/>
          <w:lang w:val="en-US" w:eastAsia="zh-CN" w:bidi="ar"/>
        </w:rPr>
        <w:t>conditions (including pH of buffer, AlCl</w:t>
      </w:r>
      <w:r>
        <w:rPr>
          <w:rFonts w:hint="eastAsia" w:ascii="Times New Roman" w:hAnsi="Times New Roman" w:eastAsia="URWPalladioL-Roma" w:cs="Times New Roman"/>
          <w:color w:val="auto"/>
          <w:kern w:val="0"/>
          <w:sz w:val="24"/>
          <w:szCs w:val="24"/>
          <w:vertAlign w:val="subscript"/>
          <w:lang w:val="en-US" w:eastAsia="zh-CN" w:bidi="ar"/>
        </w:rPr>
        <w:t>3</w:t>
      </w:r>
      <w:r>
        <w:rPr>
          <w:rFonts w:hint="eastAsia" w:ascii="Times New Roman" w:hAnsi="Times New Roman" w:eastAsia="URWPalladioL-Roma" w:cs="Times New Roman"/>
          <w:color w:val="auto"/>
          <w:kern w:val="0"/>
          <w:sz w:val="24"/>
          <w:szCs w:val="24"/>
          <w:lang w:val="en-US" w:eastAsia="zh-CN" w:bidi="ar"/>
        </w:rPr>
        <w:t xml:space="preserve"> and precursor dosage).</w:t>
      </w:r>
    </w:p>
    <w:tbl>
      <w:tblPr>
        <w:tblStyle w:val="4"/>
        <w:tblW w:w="0" w:type="auto"/>
        <w:tblInd w:w="94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055"/>
        <w:gridCol w:w="1989"/>
        <w:gridCol w:w="1789"/>
        <w:gridCol w:w="2522"/>
      </w:tblGrid>
      <w:tr w14:paraId="49134CF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tcBorders>
              <w:left w:val="nil"/>
              <w:bottom w:val="single" w:color="auto" w:sz="4" w:space="0"/>
            </w:tcBorders>
            <w:vAlign w:val="top"/>
          </w:tcPr>
          <w:p w14:paraId="04EBDA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t (℃)</w:t>
            </w:r>
          </w:p>
        </w:tc>
        <w:tc>
          <w:tcPr>
            <w:tcW w:w="1055" w:type="dxa"/>
            <w:tcBorders>
              <w:bottom w:val="single" w:color="auto" w:sz="4" w:space="0"/>
            </w:tcBorders>
            <w:vAlign w:val="top"/>
          </w:tcPr>
          <w:p w14:paraId="09D901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H</w:t>
            </w:r>
          </w:p>
        </w:tc>
        <w:tc>
          <w:tcPr>
            <w:tcW w:w="1989" w:type="dxa"/>
            <w:tcBorders>
              <w:bottom w:val="single" w:color="auto" w:sz="4" w:space="0"/>
            </w:tcBorders>
            <w:vAlign w:val="top"/>
          </w:tcPr>
          <w:p w14:paraId="416408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subscript"/>
                <w:lang w:val="en-US" w:eastAsia="zh-CN" w:bidi="ar"/>
              </w:rPr>
              <w:t>(AlCl3)</w:t>
            </w: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:n</w:t>
            </w: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subscript"/>
                <w:lang w:val="en-US" w:eastAsia="zh-CN" w:bidi="ar"/>
              </w:rPr>
              <w:t>(precursor)</w:t>
            </w:r>
          </w:p>
        </w:tc>
        <w:tc>
          <w:tcPr>
            <w:tcW w:w="1789" w:type="dxa"/>
            <w:tcBorders>
              <w:bottom w:val="single" w:color="auto" w:sz="4" w:space="0"/>
            </w:tcBorders>
            <w:vAlign w:val="top"/>
          </w:tcPr>
          <w:p w14:paraId="73FEFF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subscript"/>
                <w:lang w:val="en-US" w:eastAsia="zh-CN" w:bidi="ar"/>
              </w:rPr>
              <w:t>(precursor)</w:t>
            </w: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(μg)</w:t>
            </w:r>
          </w:p>
        </w:tc>
        <w:tc>
          <w:tcPr>
            <w:tcW w:w="2522" w:type="dxa"/>
            <w:tcBorders>
              <w:bottom w:val="single" w:color="auto" w:sz="4" w:space="0"/>
              <w:right w:val="nil"/>
            </w:tcBorders>
            <w:vAlign w:val="top"/>
          </w:tcPr>
          <w:p w14:paraId="71F3CD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Radiolabling yield (%)</w:t>
            </w:r>
          </w:p>
        </w:tc>
      </w:tr>
      <w:tr w14:paraId="5053CC9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tcBorders>
              <w:top w:val="single" w:color="auto" w:sz="4" w:space="0"/>
              <w:left w:val="nil"/>
            </w:tcBorders>
            <w:vAlign w:val="top"/>
          </w:tcPr>
          <w:p w14:paraId="00BDBBB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055" w:type="dxa"/>
            <w:tcBorders>
              <w:top w:val="single" w:color="auto" w:sz="4" w:space="0"/>
            </w:tcBorders>
            <w:vAlign w:val="top"/>
          </w:tcPr>
          <w:p w14:paraId="71A075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4.0</w:t>
            </w:r>
          </w:p>
        </w:tc>
        <w:tc>
          <w:tcPr>
            <w:tcW w:w="1989" w:type="dxa"/>
            <w:tcBorders>
              <w:top w:val="single" w:color="auto" w:sz="4" w:space="0"/>
            </w:tcBorders>
            <w:vAlign w:val="top"/>
          </w:tcPr>
          <w:p w14:paraId="3FCDCE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0.58</w:t>
            </w:r>
          </w:p>
        </w:tc>
        <w:tc>
          <w:tcPr>
            <w:tcW w:w="1789" w:type="dxa"/>
            <w:tcBorders>
              <w:top w:val="single" w:color="auto" w:sz="4" w:space="0"/>
            </w:tcBorders>
            <w:vAlign w:val="top"/>
          </w:tcPr>
          <w:p w14:paraId="24D51D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2522" w:type="dxa"/>
            <w:tcBorders>
              <w:top w:val="single" w:color="auto" w:sz="4" w:space="0"/>
              <w:right w:val="nil"/>
            </w:tcBorders>
            <w:vAlign w:val="top"/>
          </w:tcPr>
          <w:p w14:paraId="4D7BF3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22.38</w:t>
            </w:r>
          </w:p>
        </w:tc>
      </w:tr>
      <w:tr w14:paraId="489CA78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tcBorders>
              <w:left w:val="nil"/>
            </w:tcBorders>
            <w:vAlign w:val="top"/>
          </w:tcPr>
          <w:p w14:paraId="20A8A9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055" w:type="dxa"/>
            <w:vAlign w:val="top"/>
          </w:tcPr>
          <w:p w14:paraId="66E5B7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4.5</w:t>
            </w:r>
          </w:p>
        </w:tc>
        <w:tc>
          <w:tcPr>
            <w:tcW w:w="1989" w:type="dxa"/>
            <w:vAlign w:val="top"/>
          </w:tcPr>
          <w:p w14:paraId="3F8C4F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0.58</w:t>
            </w:r>
          </w:p>
        </w:tc>
        <w:tc>
          <w:tcPr>
            <w:tcW w:w="1789" w:type="dxa"/>
            <w:vAlign w:val="top"/>
          </w:tcPr>
          <w:p w14:paraId="3B14EB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2522" w:type="dxa"/>
            <w:tcBorders>
              <w:right w:val="nil"/>
            </w:tcBorders>
            <w:vAlign w:val="top"/>
          </w:tcPr>
          <w:p w14:paraId="01FB65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48.81</w:t>
            </w:r>
          </w:p>
        </w:tc>
      </w:tr>
      <w:tr w14:paraId="1452C76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tcBorders>
              <w:left w:val="nil"/>
            </w:tcBorders>
            <w:vAlign w:val="top"/>
          </w:tcPr>
          <w:p w14:paraId="648007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055" w:type="dxa"/>
            <w:vAlign w:val="top"/>
          </w:tcPr>
          <w:p w14:paraId="55D2B8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5.0</w:t>
            </w:r>
          </w:p>
        </w:tc>
        <w:tc>
          <w:tcPr>
            <w:tcW w:w="1989" w:type="dxa"/>
            <w:vAlign w:val="top"/>
          </w:tcPr>
          <w:p w14:paraId="2A9ECF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0.58</w:t>
            </w:r>
          </w:p>
        </w:tc>
        <w:tc>
          <w:tcPr>
            <w:tcW w:w="1789" w:type="dxa"/>
            <w:vAlign w:val="top"/>
          </w:tcPr>
          <w:p w14:paraId="56D8E0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2522" w:type="dxa"/>
            <w:tcBorders>
              <w:right w:val="nil"/>
            </w:tcBorders>
            <w:vAlign w:val="top"/>
          </w:tcPr>
          <w:p w14:paraId="692F0C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91.88</w:t>
            </w:r>
          </w:p>
        </w:tc>
      </w:tr>
      <w:tr w14:paraId="1F00AD2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tcBorders>
              <w:left w:val="nil"/>
            </w:tcBorders>
            <w:vAlign w:val="top"/>
          </w:tcPr>
          <w:p w14:paraId="6E666B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055" w:type="dxa"/>
            <w:vAlign w:val="top"/>
          </w:tcPr>
          <w:p w14:paraId="4459719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5.5</w:t>
            </w:r>
          </w:p>
        </w:tc>
        <w:tc>
          <w:tcPr>
            <w:tcW w:w="1989" w:type="dxa"/>
            <w:vAlign w:val="top"/>
          </w:tcPr>
          <w:p w14:paraId="58DCBA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0.58</w:t>
            </w:r>
          </w:p>
        </w:tc>
        <w:tc>
          <w:tcPr>
            <w:tcW w:w="1789" w:type="dxa"/>
            <w:vAlign w:val="top"/>
          </w:tcPr>
          <w:p w14:paraId="332EF6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2522" w:type="dxa"/>
            <w:tcBorders>
              <w:right w:val="nil"/>
            </w:tcBorders>
            <w:vAlign w:val="top"/>
          </w:tcPr>
          <w:p w14:paraId="00B43C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97.63</w:t>
            </w:r>
          </w:p>
        </w:tc>
      </w:tr>
      <w:tr w14:paraId="08E9E6C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tcBorders>
              <w:left w:val="nil"/>
            </w:tcBorders>
            <w:vAlign w:val="top"/>
          </w:tcPr>
          <w:p w14:paraId="45CCDD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055" w:type="dxa"/>
            <w:vAlign w:val="top"/>
          </w:tcPr>
          <w:p w14:paraId="3C89E1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6.0</w:t>
            </w:r>
          </w:p>
        </w:tc>
        <w:tc>
          <w:tcPr>
            <w:tcW w:w="1989" w:type="dxa"/>
            <w:vAlign w:val="top"/>
          </w:tcPr>
          <w:p w14:paraId="662ED1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0.58</w:t>
            </w:r>
          </w:p>
        </w:tc>
        <w:tc>
          <w:tcPr>
            <w:tcW w:w="1789" w:type="dxa"/>
            <w:vAlign w:val="top"/>
          </w:tcPr>
          <w:p w14:paraId="77B141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2522" w:type="dxa"/>
            <w:tcBorders>
              <w:right w:val="nil"/>
            </w:tcBorders>
            <w:vAlign w:val="top"/>
          </w:tcPr>
          <w:p w14:paraId="149250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0.00</w:t>
            </w:r>
          </w:p>
        </w:tc>
      </w:tr>
      <w:tr w14:paraId="477ED8B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tcBorders>
              <w:left w:val="nil"/>
            </w:tcBorders>
            <w:vAlign w:val="top"/>
          </w:tcPr>
          <w:p w14:paraId="2A02FB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1055" w:type="dxa"/>
            <w:vAlign w:val="top"/>
          </w:tcPr>
          <w:p w14:paraId="7B24F0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5.0</w:t>
            </w:r>
          </w:p>
        </w:tc>
        <w:tc>
          <w:tcPr>
            <w:tcW w:w="1989" w:type="dxa"/>
            <w:vAlign w:val="top"/>
          </w:tcPr>
          <w:p w14:paraId="11006B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0.58</w:t>
            </w:r>
          </w:p>
        </w:tc>
        <w:tc>
          <w:tcPr>
            <w:tcW w:w="1789" w:type="dxa"/>
            <w:vAlign w:val="top"/>
          </w:tcPr>
          <w:p w14:paraId="0A0D6C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2522" w:type="dxa"/>
            <w:tcBorders>
              <w:right w:val="nil"/>
            </w:tcBorders>
            <w:vAlign w:val="top"/>
          </w:tcPr>
          <w:p w14:paraId="77DAD4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94.56</w:t>
            </w:r>
          </w:p>
        </w:tc>
      </w:tr>
      <w:tr w14:paraId="22A4C0B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tcBorders>
              <w:left w:val="nil"/>
            </w:tcBorders>
            <w:vAlign w:val="top"/>
          </w:tcPr>
          <w:p w14:paraId="771FE3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1055" w:type="dxa"/>
            <w:vAlign w:val="top"/>
          </w:tcPr>
          <w:p w14:paraId="62263A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5.0</w:t>
            </w:r>
          </w:p>
        </w:tc>
        <w:tc>
          <w:tcPr>
            <w:tcW w:w="1989" w:type="dxa"/>
            <w:vAlign w:val="top"/>
          </w:tcPr>
          <w:p w14:paraId="784AC76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0.60</w:t>
            </w:r>
          </w:p>
        </w:tc>
        <w:tc>
          <w:tcPr>
            <w:tcW w:w="1789" w:type="dxa"/>
            <w:vAlign w:val="top"/>
          </w:tcPr>
          <w:p w14:paraId="650238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2522" w:type="dxa"/>
            <w:tcBorders>
              <w:right w:val="nil"/>
            </w:tcBorders>
            <w:vAlign w:val="top"/>
          </w:tcPr>
          <w:p w14:paraId="0F56EC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81.82</w:t>
            </w:r>
          </w:p>
        </w:tc>
      </w:tr>
      <w:tr w14:paraId="2D1C2F7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tcBorders>
              <w:left w:val="nil"/>
            </w:tcBorders>
            <w:vAlign w:val="top"/>
          </w:tcPr>
          <w:p w14:paraId="0657C4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55" w:type="dxa"/>
            <w:vAlign w:val="top"/>
          </w:tcPr>
          <w:p w14:paraId="1F36DC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5.0</w:t>
            </w:r>
          </w:p>
        </w:tc>
        <w:tc>
          <w:tcPr>
            <w:tcW w:w="1989" w:type="dxa"/>
            <w:vAlign w:val="top"/>
          </w:tcPr>
          <w:p w14:paraId="3CFD6B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0.58</w:t>
            </w:r>
          </w:p>
        </w:tc>
        <w:tc>
          <w:tcPr>
            <w:tcW w:w="1789" w:type="dxa"/>
            <w:vAlign w:val="top"/>
          </w:tcPr>
          <w:p w14:paraId="6EC4C4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2522" w:type="dxa"/>
            <w:tcBorders>
              <w:right w:val="nil"/>
            </w:tcBorders>
            <w:vAlign w:val="top"/>
          </w:tcPr>
          <w:p w14:paraId="3A552D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72.32</w:t>
            </w:r>
          </w:p>
        </w:tc>
      </w:tr>
      <w:tr w14:paraId="4B1560E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tcBorders>
              <w:left w:val="nil"/>
            </w:tcBorders>
            <w:vAlign w:val="top"/>
          </w:tcPr>
          <w:p w14:paraId="54A344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55" w:type="dxa"/>
            <w:vAlign w:val="top"/>
          </w:tcPr>
          <w:p w14:paraId="731B27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5.0</w:t>
            </w:r>
          </w:p>
        </w:tc>
        <w:tc>
          <w:tcPr>
            <w:tcW w:w="1989" w:type="dxa"/>
            <w:vAlign w:val="top"/>
          </w:tcPr>
          <w:p w14:paraId="078262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0.58</w:t>
            </w:r>
          </w:p>
        </w:tc>
        <w:tc>
          <w:tcPr>
            <w:tcW w:w="1789" w:type="dxa"/>
            <w:vAlign w:val="top"/>
          </w:tcPr>
          <w:p w14:paraId="4C3E73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2522" w:type="dxa"/>
            <w:tcBorders>
              <w:right w:val="nil"/>
            </w:tcBorders>
            <w:vAlign w:val="top"/>
          </w:tcPr>
          <w:p w14:paraId="2810EB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96.68</w:t>
            </w:r>
          </w:p>
        </w:tc>
      </w:tr>
      <w:tr w14:paraId="1933600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tcBorders>
              <w:left w:val="nil"/>
            </w:tcBorders>
            <w:vAlign w:val="top"/>
          </w:tcPr>
          <w:p w14:paraId="7E864F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55" w:type="dxa"/>
            <w:vAlign w:val="top"/>
          </w:tcPr>
          <w:p w14:paraId="314308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5.0</w:t>
            </w:r>
          </w:p>
        </w:tc>
        <w:tc>
          <w:tcPr>
            <w:tcW w:w="1989" w:type="dxa"/>
            <w:vAlign w:val="top"/>
          </w:tcPr>
          <w:p w14:paraId="13CC23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0.58</w:t>
            </w:r>
          </w:p>
        </w:tc>
        <w:tc>
          <w:tcPr>
            <w:tcW w:w="1789" w:type="dxa"/>
            <w:vAlign w:val="top"/>
          </w:tcPr>
          <w:p w14:paraId="4491C4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2522" w:type="dxa"/>
            <w:tcBorders>
              <w:right w:val="nil"/>
            </w:tcBorders>
            <w:vAlign w:val="top"/>
          </w:tcPr>
          <w:p w14:paraId="64D4C1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85.87</w:t>
            </w:r>
          </w:p>
        </w:tc>
      </w:tr>
    </w:tbl>
    <w:p w14:paraId="1B95245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24"/>
          <w:szCs w:val="24"/>
          <w:lang w:val="en-US" w:eastAsia="zh-CN" w:bidi="ar"/>
        </w:rPr>
      </w:pPr>
    </w:p>
    <w:p w14:paraId="68A9617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03B3C8C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19"/>
          <w:szCs w:val="19"/>
          <w:lang w:val="en-US" w:eastAsia="zh-CN" w:bidi="ar"/>
        </w:rPr>
      </w:pPr>
    </w:p>
    <w:p w14:paraId="46DFF4F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URWPalladioL-Roma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URWPalladioL-Roma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Table S5.</w:t>
      </w:r>
      <w:r>
        <w:rPr>
          <w:rFonts w:hint="eastAsia" w:ascii="Times New Roman" w:hAnsi="Times New Roman" w:eastAsia="URWPalladioL-Roma" w:cs="Times New Roman"/>
          <w:color w:val="auto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lang w:val="en-US" w:eastAsia="zh-CN" w:bidi="ar"/>
        </w:rPr>
        <w:t>The blood drug concentration (%ID/g) in normal mice at 1 min, 2 min, 5 min, 10 min, 20 min, 30 min, 60 min, 90 min and 120 min (n=3).</w:t>
      </w:r>
    </w:p>
    <w:tbl>
      <w:tblPr>
        <w:tblStyle w:val="4"/>
        <w:tblW w:w="0" w:type="auto"/>
        <w:tblInd w:w="94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6289"/>
      </w:tblGrid>
      <w:tr w14:paraId="4AEEFEB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tcBorders>
              <w:left w:val="nil"/>
              <w:bottom w:val="single" w:color="000000" w:themeColor="text1" w:sz="4" w:space="0"/>
            </w:tcBorders>
            <w:vAlign w:val="top"/>
          </w:tcPr>
          <w:p w14:paraId="43E088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time (min)</w:t>
            </w:r>
          </w:p>
        </w:tc>
        <w:tc>
          <w:tcPr>
            <w:tcW w:w="6289" w:type="dxa"/>
            <w:tcBorders>
              <w:bottom w:val="single" w:color="000000" w:themeColor="text1" w:sz="4" w:space="0"/>
              <w:right w:val="nil"/>
            </w:tcBorders>
            <w:vAlign w:val="top"/>
          </w:tcPr>
          <w:p w14:paraId="11DBD02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%ID/g</w:t>
            </w:r>
          </w:p>
        </w:tc>
      </w:tr>
      <w:tr w14:paraId="0D8E6EC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tcBorders>
              <w:top w:val="single" w:color="000000" w:themeColor="text1" w:sz="4" w:space="0"/>
              <w:left w:val="nil"/>
              <w:bottom w:val="nil"/>
            </w:tcBorders>
            <w:vAlign w:val="top"/>
          </w:tcPr>
          <w:p w14:paraId="2C81B26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6289" w:type="dxa"/>
            <w:tcBorders>
              <w:top w:val="single" w:color="000000" w:themeColor="text1" w:sz="4" w:space="0"/>
              <w:bottom w:val="nil"/>
              <w:right w:val="nil"/>
            </w:tcBorders>
            <w:vAlign w:val="center"/>
          </w:tcPr>
          <w:p w14:paraId="2EA7E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10.71 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0.70</w:t>
            </w:r>
          </w:p>
        </w:tc>
      </w:tr>
      <w:tr w14:paraId="0501344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tcBorders>
              <w:top w:val="nil"/>
              <w:left w:val="nil"/>
              <w:bottom w:val="nil"/>
            </w:tcBorders>
            <w:vAlign w:val="top"/>
          </w:tcPr>
          <w:p w14:paraId="4FBFAB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6289" w:type="dxa"/>
            <w:tcBorders>
              <w:top w:val="nil"/>
              <w:bottom w:val="nil"/>
              <w:right w:val="nil"/>
            </w:tcBorders>
            <w:vAlign w:val="center"/>
          </w:tcPr>
          <w:p w14:paraId="6FA8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7.14 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1.68</w:t>
            </w:r>
          </w:p>
        </w:tc>
      </w:tr>
      <w:tr w14:paraId="1A12274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tcBorders>
              <w:top w:val="nil"/>
              <w:left w:val="nil"/>
              <w:bottom w:val="nil"/>
            </w:tcBorders>
            <w:vAlign w:val="top"/>
          </w:tcPr>
          <w:p w14:paraId="268898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6289" w:type="dxa"/>
            <w:tcBorders>
              <w:top w:val="nil"/>
              <w:bottom w:val="nil"/>
              <w:right w:val="nil"/>
            </w:tcBorders>
            <w:vAlign w:val="center"/>
          </w:tcPr>
          <w:p w14:paraId="324C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4.61 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0.66</w:t>
            </w:r>
          </w:p>
        </w:tc>
      </w:tr>
      <w:tr w14:paraId="52A9274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tcBorders>
              <w:top w:val="nil"/>
              <w:left w:val="nil"/>
              <w:bottom w:val="nil"/>
            </w:tcBorders>
            <w:vAlign w:val="top"/>
          </w:tcPr>
          <w:p w14:paraId="4EE918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6289" w:type="dxa"/>
            <w:tcBorders>
              <w:top w:val="nil"/>
              <w:bottom w:val="nil"/>
              <w:right w:val="nil"/>
            </w:tcBorders>
            <w:vAlign w:val="center"/>
          </w:tcPr>
          <w:p w14:paraId="320A7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4.31 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0.69</w:t>
            </w:r>
          </w:p>
        </w:tc>
      </w:tr>
      <w:tr w14:paraId="4A7348A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tcBorders>
              <w:top w:val="nil"/>
              <w:left w:val="nil"/>
              <w:bottom w:val="nil"/>
            </w:tcBorders>
            <w:vAlign w:val="top"/>
          </w:tcPr>
          <w:p w14:paraId="79CC44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6289" w:type="dxa"/>
            <w:tcBorders>
              <w:top w:val="nil"/>
              <w:bottom w:val="nil"/>
              <w:right w:val="nil"/>
            </w:tcBorders>
            <w:vAlign w:val="center"/>
          </w:tcPr>
          <w:p w14:paraId="6114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3.74 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0.36</w:t>
            </w:r>
          </w:p>
        </w:tc>
      </w:tr>
      <w:tr w14:paraId="5D39F64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tcBorders>
              <w:top w:val="nil"/>
              <w:left w:val="nil"/>
              <w:bottom w:val="nil"/>
            </w:tcBorders>
            <w:vAlign w:val="top"/>
          </w:tcPr>
          <w:p w14:paraId="6869236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6289" w:type="dxa"/>
            <w:tcBorders>
              <w:top w:val="nil"/>
              <w:bottom w:val="nil"/>
              <w:right w:val="nil"/>
            </w:tcBorders>
            <w:vAlign w:val="center"/>
          </w:tcPr>
          <w:p w14:paraId="1E6D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4.27 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0.90</w:t>
            </w:r>
          </w:p>
        </w:tc>
      </w:tr>
      <w:tr w14:paraId="380530F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tcBorders>
              <w:top w:val="nil"/>
              <w:left w:val="nil"/>
              <w:bottom w:val="nil"/>
            </w:tcBorders>
            <w:vAlign w:val="top"/>
          </w:tcPr>
          <w:p w14:paraId="2EE042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6289" w:type="dxa"/>
            <w:tcBorders>
              <w:top w:val="nil"/>
              <w:bottom w:val="nil"/>
              <w:right w:val="nil"/>
            </w:tcBorders>
            <w:vAlign w:val="center"/>
          </w:tcPr>
          <w:p w14:paraId="469CA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4.16 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1.45</w:t>
            </w:r>
          </w:p>
        </w:tc>
      </w:tr>
      <w:tr w14:paraId="6F056FF4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tcBorders>
              <w:top w:val="nil"/>
              <w:left w:val="nil"/>
              <w:bottom w:val="nil"/>
            </w:tcBorders>
            <w:vAlign w:val="top"/>
          </w:tcPr>
          <w:p w14:paraId="2E7B13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90</w:t>
            </w:r>
          </w:p>
        </w:tc>
        <w:tc>
          <w:tcPr>
            <w:tcW w:w="6289" w:type="dxa"/>
            <w:tcBorders>
              <w:top w:val="nil"/>
              <w:bottom w:val="nil"/>
              <w:right w:val="nil"/>
            </w:tcBorders>
            <w:vAlign w:val="center"/>
          </w:tcPr>
          <w:p w14:paraId="43F8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2.77 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0.10</w:t>
            </w:r>
          </w:p>
        </w:tc>
      </w:tr>
      <w:tr w14:paraId="14280C0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tcBorders>
              <w:top w:val="nil"/>
              <w:left w:val="nil"/>
              <w:bottom w:val="single" w:color="000000" w:themeColor="text1" w:sz="12" w:space="0"/>
            </w:tcBorders>
            <w:vAlign w:val="top"/>
          </w:tcPr>
          <w:p w14:paraId="1B7480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6289" w:type="dxa"/>
            <w:tcBorders>
              <w:top w:val="nil"/>
              <w:bottom w:val="single" w:color="000000" w:themeColor="text1" w:sz="12" w:space="0"/>
              <w:right w:val="nil"/>
            </w:tcBorders>
            <w:vAlign w:val="center"/>
          </w:tcPr>
          <w:p w14:paraId="132DD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URWPalladioL-Roma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1.86 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0.37</w:t>
            </w:r>
          </w:p>
        </w:tc>
      </w:tr>
    </w:tbl>
    <w:p w14:paraId="4B1AEB31">
      <w:pPr>
        <w:rPr>
          <w:rFonts w:hint="default" w:hAnsi="Cambria Math" w:cs="Cambria Math"/>
          <w:i w:val="0"/>
          <w:color w:val="auto"/>
          <w:kern w:val="2"/>
          <w:sz w:val="24"/>
          <w:szCs w:val="24"/>
          <w:lang w:val="en-US" w:eastAsia="zh-CN" w:bidi="ar-SA"/>
        </w:rPr>
      </w:pPr>
    </w:p>
    <w:p w14:paraId="64B05E7D">
      <w:pPr>
        <w:rPr>
          <w:rFonts w:hint="default" w:hAnsi="Cambria Math" w:cs="Cambria Math"/>
          <w:i w:val="0"/>
          <w:color w:val="auto"/>
          <w:kern w:val="2"/>
          <w:sz w:val="24"/>
          <w:szCs w:val="24"/>
          <w:lang w:val="en-US" w:eastAsia="zh-CN" w:bidi="ar-SA"/>
        </w:rPr>
      </w:pPr>
    </w:p>
    <w:p w14:paraId="6200786C">
      <w:pPr>
        <w:jc w:val="both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lang w:val="en-US" w:eastAsia="zh-CN" w:bidi="ar"/>
        </w:rPr>
        <w:t xml:space="preserve">Table S6.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vertAlign w:val="baseline"/>
          <w:lang w:val="en-US" w:eastAsia="zh-CN" w:bidi="ar"/>
        </w:rPr>
        <w:t>Tumor to tissue ratio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lang w:val="en-US" w:eastAsia="zh-CN" w:bidi="ar"/>
        </w:rPr>
        <w:t xml:space="preserve"> of 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>[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superscript"/>
          <w:lang w:val="en-US" w:eastAsia="zh-CN" w:bidi="ar-SA"/>
        </w:rPr>
        <w:t>18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>F]AlF-H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subscript"/>
          <w:lang w:val="en-US" w:eastAsia="zh-CN" w:bidi="ar-SA"/>
        </w:rPr>
        <w:t>3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>RESCA-FAPI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lang w:val="en-US" w:eastAsia="zh-CN" w:bidi="ar"/>
        </w:rPr>
        <w:t xml:space="preserve"> co-injected with competitor DOTA-FAPI-04 (0.5 mg/mouse, blocking) in U87MG xenografts female mice (n = 3) for 60 min p.i. and selected organ of biodistribution in U87MG xenografts model mice (n = 3) administered with 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>[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superscript"/>
          <w:lang w:val="en-US" w:eastAsia="zh-CN" w:bidi="ar-SA"/>
        </w:rPr>
        <w:t>18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>F]AlF-H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vertAlign w:val="subscript"/>
          <w:lang w:val="en-US" w:eastAsia="zh-CN" w:bidi="ar-SA"/>
        </w:rPr>
        <w:t>3</w:t>
      </w:r>
      <w:r>
        <w:rPr>
          <w:rFonts w:hint="eastAsia" w:ascii="Times New Roman" w:hAnsi="Times New Roman" w:cs="Times New Roman"/>
          <w:i w:val="0"/>
          <w:color w:val="auto"/>
          <w:kern w:val="2"/>
          <w:sz w:val="24"/>
          <w:szCs w:val="24"/>
          <w:lang w:val="en-US" w:eastAsia="zh-CN" w:bidi="ar-SA"/>
        </w:rPr>
        <w:t>RESCA-FAPI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lang w:val="en-US" w:eastAsia="zh-CN" w:bidi="ar"/>
        </w:rPr>
        <w:t xml:space="preserve"> for 60 min p.i.</w:t>
      </w:r>
    </w:p>
    <w:tbl>
      <w:tblPr>
        <w:tblStyle w:val="4"/>
        <w:tblW w:w="0" w:type="auto"/>
        <w:tblInd w:w="141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3456"/>
        <w:gridCol w:w="3361"/>
      </w:tblGrid>
      <w:tr w14:paraId="0D9E78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53" w:type="dxa"/>
            <w:vMerge w:val="restart"/>
          </w:tcPr>
          <w:p w14:paraId="5351A0F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</w:p>
        </w:tc>
        <w:tc>
          <w:tcPr>
            <w:tcW w:w="6817" w:type="dxa"/>
            <w:gridSpan w:val="2"/>
            <w:tcBorders>
              <w:bottom w:val="single" w:color="auto" w:sz="6" w:space="0"/>
            </w:tcBorders>
          </w:tcPr>
          <w:p w14:paraId="506AFF9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  <w:t xml:space="preserve">Tumor to tissue ratio  </w:t>
            </w:r>
          </w:p>
        </w:tc>
      </w:tr>
      <w:tr w14:paraId="455178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53" w:type="dxa"/>
            <w:vMerge w:val="continue"/>
            <w:tcBorders>
              <w:bottom w:val="single" w:color="auto" w:sz="6" w:space="0"/>
            </w:tcBorders>
          </w:tcPr>
          <w:p w14:paraId="471D7563">
            <w:pPr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bottom w:val="single" w:color="auto" w:sz="6" w:space="0"/>
            </w:tcBorders>
          </w:tcPr>
          <w:p w14:paraId="465532A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  <w:t>60 min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  <w:t xml:space="preserve"> unblocking</w:t>
            </w:r>
          </w:p>
        </w:tc>
        <w:tc>
          <w:tcPr>
            <w:tcW w:w="3361" w:type="dxa"/>
            <w:tcBorders>
              <w:bottom w:val="single" w:color="auto" w:sz="6" w:space="0"/>
            </w:tcBorders>
          </w:tcPr>
          <w:p w14:paraId="329AEF1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  <w:t>60 min block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  <w:t>ing</w:t>
            </w:r>
          </w:p>
        </w:tc>
      </w:tr>
      <w:tr w14:paraId="56DA61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3A912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Blood</w:t>
            </w:r>
          </w:p>
        </w:tc>
        <w:tc>
          <w:tcPr>
            <w:tcW w:w="3456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26A37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1.18</w:t>
            </w:r>
          </w:p>
        </w:tc>
        <w:tc>
          <w:tcPr>
            <w:tcW w:w="336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55BD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0.27</w:t>
            </w:r>
          </w:p>
        </w:tc>
      </w:tr>
      <w:tr w14:paraId="37CFD8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1D332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Muscle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541C9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0.71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07DA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0.67</w:t>
            </w:r>
          </w:p>
        </w:tc>
      </w:tr>
      <w:tr w14:paraId="1D6A81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768C9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Liver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6D1A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0.01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1C02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0.05</w:t>
            </w:r>
          </w:p>
        </w:tc>
      </w:tr>
      <w:tr w14:paraId="5D7EA9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145C2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Kidney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2D5D8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0.69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77FE5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0.08</w:t>
            </w:r>
          </w:p>
        </w:tc>
      </w:tr>
      <w:tr w14:paraId="16E251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6A734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Bone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05F4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0.03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11AC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0.01</w:t>
            </w:r>
          </w:p>
        </w:tc>
      </w:tr>
      <w:tr w14:paraId="3C4743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53F7E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Intetine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1FDE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10.97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1355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0.91</w:t>
            </w:r>
          </w:p>
        </w:tc>
      </w:tr>
    </w:tbl>
    <w:p w14:paraId="4FE3098C">
      <w:pPr>
        <w:rPr>
          <w:rFonts w:hint="default" w:hAnsi="Cambria Math" w:cs="Cambria Math"/>
          <w:i w:val="0"/>
          <w:color w:val="auto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PalladioL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PalladioL-Rom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hZjA1ZDliNTg4MmRjNDUxNDUyOTYxODViNGQ2MjgifQ=="/>
  </w:docVars>
  <w:rsids>
    <w:rsidRoot w:val="00000000"/>
    <w:rsid w:val="00BD2F5D"/>
    <w:rsid w:val="00D869EC"/>
    <w:rsid w:val="00F9257D"/>
    <w:rsid w:val="018E7169"/>
    <w:rsid w:val="01E26CAA"/>
    <w:rsid w:val="02B01361"/>
    <w:rsid w:val="02B80216"/>
    <w:rsid w:val="02CF7A3A"/>
    <w:rsid w:val="0394658D"/>
    <w:rsid w:val="03A13012"/>
    <w:rsid w:val="03AF33C7"/>
    <w:rsid w:val="03B1713F"/>
    <w:rsid w:val="03C54999"/>
    <w:rsid w:val="03CF75C5"/>
    <w:rsid w:val="044264BB"/>
    <w:rsid w:val="0455262A"/>
    <w:rsid w:val="05373674"/>
    <w:rsid w:val="05B41169"/>
    <w:rsid w:val="05B76B94"/>
    <w:rsid w:val="06A0349B"/>
    <w:rsid w:val="06BC14B2"/>
    <w:rsid w:val="073F4A62"/>
    <w:rsid w:val="075E313A"/>
    <w:rsid w:val="07B23486"/>
    <w:rsid w:val="081B102B"/>
    <w:rsid w:val="08417C5F"/>
    <w:rsid w:val="0858402D"/>
    <w:rsid w:val="085B1D6F"/>
    <w:rsid w:val="089E3A0A"/>
    <w:rsid w:val="092B34F0"/>
    <w:rsid w:val="09D33122"/>
    <w:rsid w:val="0AD47A1A"/>
    <w:rsid w:val="0AF52007"/>
    <w:rsid w:val="0B662F05"/>
    <w:rsid w:val="0B970BBE"/>
    <w:rsid w:val="0B9720B7"/>
    <w:rsid w:val="0BC83814"/>
    <w:rsid w:val="0BF802BC"/>
    <w:rsid w:val="0C5C7717"/>
    <w:rsid w:val="0C5C7E64"/>
    <w:rsid w:val="0C871385"/>
    <w:rsid w:val="0CBB2DDD"/>
    <w:rsid w:val="0CE2480D"/>
    <w:rsid w:val="0D3A01A5"/>
    <w:rsid w:val="0D4D6BD9"/>
    <w:rsid w:val="0DA73361"/>
    <w:rsid w:val="0E7435BB"/>
    <w:rsid w:val="0EA7186A"/>
    <w:rsid w:val="10C04E65"/>
    <w:rsid w:val="12BA652F"/>
    <w:rsid w:val="13390EFF"/>
    <w:rsid w:val="13765CAF"/>
    <w:rsid w:val="14065285"/>
    <w:rsid w:val="144933C4"/>
    <w:rsid w:val="14A625C4"/>
    <w:rsid w:val="155E1D4C"/>
    <w:rsid w:val="16353C00"/>
    <w:rsid w:val="16377978"/>
    <w:rsid w:val="167C5745"/>
    <w:rsid w:val="16C4316D"/>
    <w:rsid w:val="16E27549"/>
    <w:rsid w:val="173739A8"/>
    <w:rsid w:val="174165D4"/>
    <w:rsid w:val="17463BEB"/>
    <w:rsid w:val="17496608"/>
    <w:rsid w:val="179D1A5D"/>
    <w:rsid w:val="17E86A50"/>
    <w:rsid w:val="18E11D8C"/>
    <w:rsid w:val="19287A4C"/>
    <w:rsid w:val="193A32DB"/>
    <w:rsid w:val="198F5FA2"/>
    <w:rsid w:val="1A0B441C"/>
    <w:rsid w:val="1B013245"/>
    <w:rsid w:val="1BCF41AF"/>
    <w:rsid w:val="1BD2505C"/>
    <w:rsid w:val="1BD82256"/>
    <w:rsid w:val="1C2C33AF"/>
    <w:rsid w:val="1CDB31CC"/>
    <w:rsid w:val="1D0467B4"/>
    <w:rsid w:val="1D2324E9"/>
    <w:rsid w:val="1E9A4F48"/>
    <w:rsid w:val="1ED010F2"/>
    <w:rsid w:val="1F024013"/>
    <w:rsid w:val="1FEF6BCD"/>
    <w:rsid w:val="203942EC"/>
    <w:rsid w:val="20B54D31"/>
    <w:rsid w:val="20FA1CCE"/>
    <w:rsid w:val="212A6AE0"/>
    <w:rsid w:val="213B4094"/>
    <w:rsid w:val="21EE1107"/>
    <w:rsid w:val="22192FA4"/>
    <w:rsid w:val="221B014E"/>
    <w:rsid w:val="2228286B"/>
    <w:rsid w:val="22A74473"/>
    <w:rsid w:val="22E856D1"/>
    <w:rsid w:val="23377209"/>
    <w:rsid w:val="23447230"/>
    <w:rsid w:val="234A1547"/>
    <w:rsid w:val="23DA1943"/>
    <w:rsid w:val="24C30629"/>
    <w:rsid w:val="254E083A"/>
    <w:rsid w:val="255A0F8D"/>
    <w:rsid w:val="255F47F5"/>
    <w:rsid w:val="2561056D"/>
    <w:rsid w:val="258A1146"/>
    <w:rsid w:val="25B763DF"/>
    <w:rsid w:val="26413EFB"/>
    <w:rsid w:val="26C863CA"/>
    <w:rsid w:val="27351CB2"/>
    <w:rsid w:val="27475541"/>
    <w:rsid w:val="27C748D4"/>
    <w:rsid w:val="28A16ED3"/>
    <w:rsid w:val="28A6273B"/>
    <w:rsid w:val="29491A44"/>
    <w:rsid w:val="296F6FD1"/>
    <w:rsid w:val="29873AF0"/>
    <w:rsid w:val="29AD7D6B"/>
    <w:rsid w:val="2A426494"/>
    <w:rsid w:val="2A81520E"/>
    <w:rsid w:val="2A9948C9"/>
    <w:rsid w:val="2B786611"/>
    <w:rsid w:val="2BED4DB0"/>
    <w:rsid w:val="2D2F7E73"/>
    <w:rsid w:val="2E2465DC"/>
    <w:rsid w:val="2E9B1507"/>
    <w:rsid w:val="2F454A5C"/>
    <w:rsid w:val="2FB026FE"/>
    <w:rsid w:val="2FB73266"/>
    <w:rsid w:val="30032221"/>
    <w:rsid w:val="3029587C"/>
    <w:rsid w:val="30823A8E"/>
    <w:rsid w:val="30893C43"/>
    <w:rsid w:val="308C0468"/>
    <w:rsid w:val="30C45E54"/>
    <w:rsid w:val="31102E48"/>
    <w:rsid w:val="313F28B9"/>
    <w:rsid w:val="317258B0"/>
    <w:rsid w:val="31847402"/>
    <w:rsid w:val="31A114FE"/>
    <w:rsid w:val="31F462C5"/>
    <w:rsid w:val="31FD176B"/>
    <w:rsid w:val="331E22B4"/>
    <w:rsid w:val="335F60E6"/>
    <w:rsid w:val="33E8058A"/>
    <w:rsid w:val="33F71C96"/>
    <w:rsid w:val="33FC0F19"/>
    <w:rsid w:val="346E7A8F"/>
    <w:rsid w:val="35976AAC"/>
    <w:rsid w:val="35EA010B"/>
    <w:rsid w:val="360311CD"/>
    <w:rsid w:val="364551BB"/>
    <w:rsid w:val="36794FEB"/>
    <w:rsid w:val="36E7289C"/>
    <w:rsid w:val="37313B18"/>
    <w:rsid w:val="37425D25"/>
    <w:rsid w:val="37661A13"/>
    <w:rsid w:val="376C4DC8"/>
    <w:rsid w:val="382C4A0B"/>
    <w:rsid w:val="3881462B"/>
    <w:rsid w:val="389E3062"/>
    <w:rsid w:val="391D07F7"/>
    <w:rsid w:val="3B4F6156"/>
    <w:rsid w:val="3BC54A47"/>
    <w:rsid w:val="3C522566"/>
    <w:rsid w:val="3CCF005B"/>
    <w:rsid w:val="3D514E5D"/>
    <w:rsid w:val="3DC7281A"/>
    <w:rsid w:val="3EA55BD9"/>
    <w:rsid w:val="3EA77CF8"/>
    <w:rsid w:val="3F51257F"/>
    <w:rsid w:val="3FF85F15"/>
    <w:rsid w:val="401C13CE"/>
    <w:rsid w:val="40753D8A"/>
    <w:rsid w:val="40AF442B"/>
    <w:rsid w:val="40E85247"/>
    <w:rsid w:val="40E92BE7"/>
    <w:rsid w:val="40ED4F53"/>
    <w:rsid w:val="414C1C7A"/>
    <w:rsid w:val="41F00111"/>
    <w:rsid w:val="42206C63"/>
    <w:rsid w:val="42417305"/>
    <w:rsid w:val="42707BEA"/>
    <w:rsid w:val="42BF022A"/>
    <w:rsid w:val="431A1904"/>
    <w:rsid w:val="43423544"/>
    <w:rsid w:val="45A34284"/>
    <w:rsid w:val="46146ADE"/>
    <w:rsid w:val="468F312C"/>
    <w:rsid w:val="46C36B78"/>
    <w:rsid w:val="470A398F"/>
    <w:rsid w:val="47523D62"/>
    <w:rsid w:val="481555F9"/>
    <w:rsid w:val="483B47F6"/>
    <w:rsid w:val="485458B8"/>
    <w:rsid w:val="494A49E8"/>
    <w:rsid w:val="495612C1"/>
    <w:rsid w:val="49584F34"/>
    <w:rsid w:val="495A5150"/>
    <w:rsid w:val="495B760C"/>
    <w:rsid w:val="499A5D62"/>
    <w:rsid w:val="4A361719"/>
    <w:rsid w:val="4A39325E"/>
    <w:rsid w:val="4A851D59"/>
    <w:rsid w:val="4AF34F14"/>
    <w:rsid w:val="4BAF31CC"/>
    <w:rsid w:val="4C5365B2"/>
    <w:rsid w:val="4C871CAA"/>
    <w:rsid w:val="4C9444D5"/>
    <w:rsid w:val="4CA74208"/>
    <w:rsid w:val="4CBE1552"/>
    <w:rsid w:val="4D554464"/>
    <w:rsid w:val="4D700A9E"/>
    <w:rsid w:val="4DAC634B"/>
    <w:rsid w:val="4E641618"/>
    <w:rsid w:val="4E65767F"/>
    <w:rsid w:val="4EEA2AD2"/>
    <w:rsid w:val="4FDC68BF"/>
    <w:rsid w:val="503E0C4B"/>
    <w:rsid w:val="503E1327"/>
    <w:rsid w:val="508B3E41"/>
    <w:rsid w:val="511B51C5"/>
    <w:rsid w:val="51851ED3"/>
    <w:rsid w:val="51A0391C"/>
    <w:rsid w:val="51ED1E0A"/>
    <w:rsid w:val="528154FB"/>
    <w:rsid w:val="529D64E9"/>
    <w:rsid w:val="52C35B14"/>
    <w:rsid w:val="52D21649"/>
    <w:rsid w:val="52D56A83"/>
    <w:rsid w:val="53346A12"/>
    <w:rsid w:val="534D53DE"/>
    <w:rsid w:val="540E1B43"/>
    <w:rsid w:val="54684BC5"/>
    <w:rsid w:val="546B0C7C"/>
    <w:rsid w:val="547F3CBD"/>
    <w:rsid w:val="551C037A"/>
    <w:rsid w:val="55782BE6"/>
    <w:rsid w:val="55D9578F"/>
    <w:rsid w:val="566E5D97"/>
    <w:rsid w:val="56B02D0B"/>
    <w:rsid w:val="56BA5480"/>
    <w:rsid w:val="56F049FE"/>
    <w:rsid w:val="57055D98"/>
    <w:rsid w:val="5711262A"/>
    <w:rsid w:val="57931F59"/>
    <w:rsid w:val="580C5867"/>
    <w:rsid w:val="5829466B"/>
    <w:rsid w:val="584A0389"/>
    <w:rsid w:val="59480B21"/>
    <w:rsid w:val="59723DF0"/>
    <w:rsid w:val="59AD4E28"/>
    <w:rsid w:val="59BE0DE3"/>
    <w:rsid w:val="5A3572F7"/>
    <w:rsid w:val="5A4412E8"/>
    <w:rsid w:val="5A7E2261"/>
    <w:rsid w:val="5ADC7773"/>
    <w:rsid w:val="5AEB3E5A"/>
    <w:rsid w:val="5B2568B5"/>
    <w:rsid w:val="5BE663CF"/>
    <w:rsid w:val="5C384E7D"/>
    <w:rsid w:val="5C6043D4"/>
    <w:rsid w:val="5CBF19E4"/>
    <w:rsid w:val="5DAF5613"/>
    <w:rsid w:val="5E4A70E9"/>
    <w:rsid w:val="5E700472"/>
    <w:rsid w:val="5EDA6176"/>
    <w:rsid w:val="5F8B1768"/>
    <w:rsid w:val="5FE4471A"/>
    <w:rsid w:val="601856F1"/>
    <w:rsid w:val="605B3830"/>
    <w:rsid w:val="606A2878"/>
    <w:rsid w:val="60853036"/>
    <w:rsid w:val="60A41288"/>
    <w:rsid w:val="61534EC5"/>
    <w:rsid w:val="61FA4982"/>
    <w:rsid w:val="62257C51"/>
    <w:rsid w:val="62913539"/>
    <w:rsid w:val="6342609A"/>
    <w:rsid w:val="63750765"/>
    <w:rsid w:val="638B1439"/>
    <w:rsid w:val="639F1C85"/>
    <w:rsid w:val="63AB687C"/>
    <w:rsid w:val="63DE4777"/>
    <w:rsid w:val="64063AB3"/>
    <w:rsid w:val="64BD0615"/>
    <w:rsid w:val="65674A25"/>
    <w:rsid w:val="65D2618B"/>
    <w:rsid w:val="65D57BE0"/>
    <w:rsid w:val="65FC032E"/>
    <w:rsid w:val="66A8411A"/>
    <w:rsid w:val="67144738"/>
    <w:rsid w:val="67627252"/>
    <w:rsid w:val="67CE2B39"/>
    <w:rsid w:val="681A5D7E"/>
    <w:rsid w:val="68550227"/>
    <w:rsid w:val="68D423D1"/>
    <w:rsid w:val="69FF522C"/>
    <w:rsid w:val="6A9E4A45"/>
    <w:rsid w:val="6AF74155"/>
    <w:rsid w:val="6B603C89"/>
    <w:rsid w:val="6B68299F"/>
    <w:rsid w:val="6BDE269C"/>
    <w:rsid w:val="6C343A69"/>
    <w:rsid w:val="6C3F4006"/>
    <w:rsid w:val="6CBD4F2A"/>
    <w:rsid w:val="6CCD7863"/>
    <w:rsid w:val="6D2F5E28"/>
    <w:rsid w:val="6D716441"/>
    <w:rsid w:val="6D765805"/>
    <w:rsid w:val="6DD3085F"/>
    <w:rsid w:val="6F0A2265"/>
    <w:rsid w:val="6F674DA1"/>
    <w:rsid w:val="6F6B5112"/>
    <w:rsid w:val="6F857F81"/>
    <w:rsid w:val="6FC565D0"/>
    <w:rsid w:val="6FC96806"/>
    <w:rsid w:val="6FF05FF8"/>
    <w:rsid w:val="712832BA"/>
    <w:rsid w:val="7226275B"/>
    <w:rsid w:val="729D136E"/>
    <w:rsid w:val="72AC3A77"/>
    <w:rsid w:val="72EF1D7D"/>
    <w:rsid w:val="734939BC"/>
    <w:rsid w:val="737456F6"/>
    <w:rsid w:val="73822EF3"/>
    <w:rsid w:val="739F35DC"/>
    <w:rsid w:val="73C6500C"/>
    <w:rsid w:val="7428537F"/>
    <w:rsid w:val="746C5BB4"/>
    <w:rsid w:val="749E5641"/>
    <w:rsid w:val="74EA773E"/>
    <w:rsid w:val="7538135D"/>
    <w:rsid w:val="75FC4D15"/>
    <w:rsid w:val="760E2FFD"/>
    <w:rsid w:val="76267C11"/>
    <w:rsid w:val="76732F2B"/>
    <w:rsid w:val="76790114"/>
    <w:rsid w:val="76A564F2"/>
    <w:rsid w:val="76EB7AAA"/>
    <w:rsid w:val="77732DB5"/>
    <w:rsid w:val="777F5BFE"/>
    <w:rsid w:val="77F75794"/>
    <w:rsid w:val="78393FFF"/>
    <w:rsid w:val="78570929"/>
    <w:rsid w:val="78D930EC"/>
    <w:rsid w:val="794030C4"/>
    <w:rsid w:val="79496739"/>
    <w:rsid w:val="794B155E"/>
    <w:rsid w:val="797975C3"/>
    <w:rsid w:val="7ABE6A3D"/>
    <w:rsid w:val="7AC81521"/>
    <w:rsid w:val="7B312E6E"/>
    <w:rsid w:val="7C013085"/>
    <w:rsid w:val="7C2D5C29"/>
    <w:rsid w:val="7C383FDF"/>
    <w:rsid w:val="7CA852AF"/>
    <w:rsid w:val="7CD267D0"/>
    <w:rsid w:val="7D9A5540"/>
    <w:rsid w:val="7DC0487A"/>
    <w:rsid w:val="7DC83ADC"/>
    <w:rsid w:val="7DDB761E"/>
    <w:rsid w:val="7DFD7E57"/>
    <w:rsid w:val="7E7F64E4"/>
    <w:rsid w:val="7E924469"/>
    <w:rsid w:val="7F8C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705</Words>
  <Characters>3961</Characters>
  <Lines>0</Lines>
  <Paragraphs>0</Paragraphs>
  <TotalTime>3</TotalTime>
  <ScaleCrop>false</ScaleCrop>
  <LinksUpToDate>false</LinksUpToDate>
  <CharactersWithSpaces>4425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2024-03-20T11:20:00Z</dcterms:created>
  <dc:creator>86195</dc:creator>
  <cp:lastModifiedBy>Charles</cp:lastModifiedBy>
  <dcterms:modified xsi:type="dcterms:W3CDTF">2024-10-15T14:11:28Z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A79F8E9405DA41B1A2159C97801F8050_12</vt:lpwstr>
  </property>
</Properties>
</file>