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B155FB" w14:textId="21B442FF" w:rsidR="00CF0E7B" w:rsidRPr="00F873F7" w:rsidRDefault="00000000" w:rsidP="00E6413A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sz w:val="20"/>
          <w:szCs w:val="20"/>
          <w:lang w:bidi="ar"/>
        </w:rPr>
      </w:pP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>Supplementary material</w:t>
      </w:r>
    </w:p>
    <w:p w14:paraId="0D3C6D28" w14:textId="77777777" w:rsidR="00CF0E7B" w:rsidRPr="00F873F7" w:rsidRDefault="00000000" w:rsidP="00E6413A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sz w:val="20"/>
          <w:szCs w:val="20"/>
          <w:lang w:bidi="ar"/>
        </w:rPr>
      </w:pP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>Supplementary methods</w:t>
      </w:r>
    </w:p>
    <w:p w14:paraId="62344B74" w14:textId="77777777" w:rsidR="00CF0E7B" w:rsidRPr="00F873F7" w:rsidRDefault="00000000" w:rsidP="00E6413A">
      <w:pPr>
        <w:pStyle w:val="a7"/>
        <w:widowControl/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i/>
          <w:iCs/>
          <w:sz w:val="20"/>
          <w:szCs w:val="20"/>
        </w:rPr>
      </w:pPr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Plasmids, virus constructs, and retroviral infection</w:t>
      </w:r>
    </w:p>
    <w:p w14:paraId="0B3F9CA0" w14:textId="1185E7D0" w:rsidR="00CF0E7B" w:rsidRPr="00F873F7" w:rsidRDefault="00000000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873F7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pMSCV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>-puro-retro vector (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Clontech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 xml:space="preserve">, Beijing, China) was utilized to clone the human DYNLT1 cDNA, which was amplified by PCR. Transheep Bio (Shanghai, China) supplied two DYNLT1-targeting 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shRNAs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 xml:space="preserve"> in pLKO.1-puro vector. Subsequently, Lipofectamine 3000 reagent (Invitrogen, Carlsbad, CA) was used as guided by the manufacturer to transfect plasmids. Retroviruses produced using 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pMSCV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>-puro-cDNAs or lentiviruses produced from pLKO.1-puro-shRNAs were used to infect cells (2×10</w:t>
      </w:r>
      <w:r w:rsidRPr="00F873F7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F873F7">
        <w:rPr>
          <w:rFonts w:ascii="Times New Roman" w:hAnsi="Times New Roman" w:cs="Times New Roman"/>
          <w:sz w:val="20"/>
          <w:szCs w:val="20"/>
        </w:rPr>
        <w:t>) for 3 days. Then, 0.5 g/ml puromycin was utilized to select stable cell lines for seven days</w:t>
      </w:r>
      <w:r w:rsidR="00811025" w:rsidRPr="00F873F7">
        <w:rPr>
          <w:rFonts w:ascii="Times New Roman" w:hAnsi="Times New Roman" w:cs="Times New Roman"/>
          <w:sz w:val="20"/>
          <w:szCs w:val="20"/>
        </w:rPr>
        <w:t>.</w:t>
      </w:r>
    </w:p>
    <w:p w14:paraId="226866CA" w14:textId="77777777" w:rsidR="00CF0E7B" w:rsidRPr="00F873F7" w:rsidRDefault="00000000" w:rsidP="00E6413A">
      <w:pPr>
        <w:pStyle w:val="a7"/>
        <w:widowControl/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i/>
          <w:iCs/>
          <w:sz w:val="20"/>
          <w:szCs w:val="20"/>
        </w:rPr>
      </w:pPr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RNA isolation, reverse transcription, and quantitative real-time PCR (</w:t>
      </w:r>
      <w:bookmarkStart w:id="0" w:name="OLE_LINK53"/>
      <w:proofErr w:type="spellStart"/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qRT</w:t>
      </w:r>
      <w:proofErr w:type="spellEnd"/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-PCR</w:t>
      </w:r>
      <w:bookmarkEnd w:id="0"/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)</w:t>
      </w:r>
    </w:p>
    <w:p w14:paraId="1A3C23DC" w14:textId="77777777" w:rsidR="00CF0E7B" w:rsidRPr="00F873F7" w:rsidRDefault="00000000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FF"/>
          <w:sz w:val="20"/>
          <w:szCs w:val="20"/>
        </w:rPr>
      </w:pPr>
      <w:r w:rsidRPr="00F873F7">
        <w:rPr>
          <w:rFonts w:ascii="Times New Roman" w:hAnsi="Times New Roman" w:cs="Times New Roman"/>
          <w:sz w:val="20"/>
          <w:szCs w:val="20"/>
        </w:rPr>
        <w:t xml:space="preserve">The breast tissues and cells were subjected to total RNA isolation utilizing 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Trizol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 xml:space="preserve"> reagent (Invitrogen), after which M-MLV Reverse Transcriptase (Promega) was utilized to reverse-transcribe the isolated RNA into cDNA following the directions stipulated by the manufacturer. Subsequently, TB Green Fast qPCR Mix (Takara) was utilized for 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>-PCR analysis on a CFX96 Real-Time System C1000 Cycler (Bio-Rad Laboratories). We used GAPDH as an internal gene to normalize the mRNA expression data. We determined the target genes' relative expression levels using 2</w:t>
      </w:r>
      <w:proofErr w:type="gramStart"/>
      <w:r w:rsidRPr="00F873F7">
        <w:rPr>
          <w:rFonts w:ascii="Times New Roman" w:hAnsi="Times New Roman" w:cs="Times New Roman"/>
          <w:sz w:val="20"/>
          <w:szCs w:val="20"/>
          <w:vertAlign w:val="superscript"/>
        </w:rPr>
        <w:t>-[</w:t>
      </w:r>
      <w:proofErr w:type="gramEnd"/>
      <w:r w:rsidRPr="00F873F7">
        <w:rPr>
          <w:rFonts w:ascii="Times New Roman" w:hAnsi="Times New Roman" w:cs="Times New Roman"/>
          <w:sz w:val="20"/>
          <w:szCs w:val="20"/>
          <w:vertAlign w:val="superscript"/>
        </w:rPr>
        <w:t>(Ct of gene) - (Ct of GAPDH)]</w:t>
      </w:r>
      <w:r w:rsidRPr="00F873F7">
        <w:rPr>
          <w:rFonts w:ascii="Times New Roman" w:hAnsi="Times New Roman" w:cs="Times New Roman"/>
          <w:sz w:val="20"/>
          <w:szCs w:val="20"/>
        </w:rPr>
        <w:t xml:space="preserve">, whereby, each transcript's threshold cycle is denoted by Ct. The 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 xml:space="preserve">-PCR primers designed for </w:t>
      </w:r>
      <w:bookmarkStart w:id="1" w:name="OLE_LINK33"/>
      <w:r w:rsidRPr="00F873F7">
        <w:rPr>
          <w:rFonts w:ascii="Times New Roman" w:hAnsi="Times New Roman" w:cs="Times New Roman"/>
          <w:sz w:val="20"/>
          <w:szCs w:val="20"/>
        </w:rPr>
        <w:t xml:space="preserve">DYNLT1 </w:t>
      </w:r>
      <w:bookmarkEnd w:id="1"/>
      <w:r w:rsidRPr="00F873F7">
        <w:rPr>
          <w:rFonts w:ascii="Times New Roman" w:hAnsi="Times New Roman" w:cs="Times New Roman"/>
          <w:sz w:val="20"/>
          <w:szCs w:val="20"/>
        </w:rPr>
        <w:t xml:space="preserve">are the forward primer: AGCCAACTCACCAAGCTGGGAA, and the reverse primer: CTGTCCCAGAAGCAGGAACTTG. PGR, forward primer: GTCGCCTTAGAAAGTGCTGTCAG, and the reverse primer: GCTTGGCTTTCATTTGGAACGCC. TFF1, forward primer: CCAGTGTGCAAATAAGGGCTGC, and the reverse primer: AGGCAGATCCCTGCAGAAGTGT. </w:t>
      </w:r>
      <w:r w:rsidRPr="00F873F7">
        <w:rPr>
          <w:rFonts w:ascii="Times New Roman" w:hAnsi="Times New Roman" w:cs="Times New Roman"/>
          <w:i/>
          <w:iCs/>
          <w:sz w:val="20"/>
          <w:szCs w:val="20"/>
        </w:rPr>
        <w:t>GAPDH</w:t>
      </w:r>
      <w:r w:rsidRPr="00F873F7">
        <w:rPr>
          <w:rFonts w:ascii="Times New Roman" w:hAnsi="Times New Roman" w:cs="Times New Roman"/>
          <w:sz w:val="20"/>
          <w:szCs w:val="20"/>
        </w:rPr>
        <w:t>, forward primer: TCTCCTCTGACTTCAACAGCG, and the reverse primer: CACCCTGTTGCTGTAGCCAA.</w:t>
      </w:r>
    </w:p>
    <w:p w14:paraId="1038658C" w14:textId="77777777" w:rsidR="00CF0E7B" w:rsidRPr="00F873F7" w:rsidRDefault="00000000" w:rsidP="00E6413A">
      <w:pPr>
        <w:pStyle w:val="a7"/>
        <w:widowControl/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i/>
          <w:iCs/>
          <w:sz w:val="20"/>
          <w:szCs w:val="20"/>
        </w:rPr>
      </w:pPr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Western blotting analysis</w:t>
      </w:r>
    </w:p>
    <w:p w14:paraId="5E9C6F4B" w14:textId="1E03835B" w:rsidR="00CF0E7B" w:rsidRPr="00F873F7" w:rsidRDefault="00000000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873F7">
        <w:rPr>
          <w:rFonts w:ascii="Times New Roman" w:hAnsi="Times New Roman" w:cs="Times New Roman"/>
          <w:sz w:val="20"/>
          <w:szCs w:val="20"/>
        </w:rPr>
        <w:t xml:space="preserve">We used the methods previously published to carry out the Western blotting analysis </w:t>
      </w:r>
      <w:r w:rsidRPr="00F873F7">
        <w:rPr>
          <w:rFonts w:ascii="Times New Roman" w:hAnsi="Times New Roman" w:cs="Times New Roman"/>
          <w:sz w:val="20"/>
          <w:szCs w:val="20"/>
        </w:rPr>
        <w:fldChar w:fldCharType="begin"/>
      </w:r>
      <w:r w:rsidR="00F873F7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&lt;EndNote&gt;&lt;Cite&gt;&lt;Author&gt;Li&lt;/Author&gt;&lt;Year&gt;2021&lt;/Year&gt;&lt;RecNum&gt;465&lt;/RecNum&gt;&lt;DisplayText&gt;[1]&lt;/DisplayText&gt;&lt;record&gt;&lt;rec-number&gt;465&lt;/rec-number&gt;&lt;foreign-keys&gt;&lt;key app="EN" db-id="dtpsztda5srev4evvxwxeeparv5as5rv2s9v" timestamp="1617592617"&gt;465&lt;/key&gt;&lt;/foreign-keys&gt;&lt;ref-type name="Journal Article"&gt;17&lt;/ref-type&gt;&lt;contributors&gt;&lt;authors&gt;&lt;author&gt;Li, Qiji&lt;/author&gt;&lt;author&gt;Wang, Min&lt;/author&gt;&lt;author&gt;Hu, Yanqing&lt;/author&gt;&lt;author&gt;Zhao, Ensi&lt;/author&gt;&lt;author&gt;Li, Jun&lt;/author&gt;&lt;author&gt;Ren, Liangliang&lt;/author&gt;&lt;author&gt;Wang, Meng&lt;/author&gt;&lt;author&gt;Xu, Yuandong&lt;/author&gt;&lt;author&gt;Liang, Qian&lt;/author&gt;&lt;author&gt;Zhang, Di&lt;/author&gt;&lt;author&gt;Lai, Yingrong&lt;/author&gt;&lt;author&gt;Liu, Shaoyu&lt;/author&gt;&lt;author&gt;Peng, Xinsheng&lt;/author&gt;&lt;author&gt;Zhu, Chengming&lt;/author&gt;&lt;author&gt;Ye, Liping&lt;/author&gt;&lt;/authors&gt;&lt;/contributors&gt;&lt;titles&gt;&lt;title&gt;MYBL2 disrupts the Hippo-YAP pathway and confers castration resistance and metastatic potential in prostate cancer&lt;/title&gt;&lt;secondary-title&gt;Theranostics&lt;/secondary-title&gt;&lt;/titles&gt;&lt;periodical&gt;&lt;full-title&gt;Theranostics&lt;/full-title&gt;&lt;/periodical&gt;&lt;pages&gt;5794-5812&lt;/pages&gt;&lt;volume&gt;11&lt;/volume&gt;&lt;number&gt;12&lt;/number&gt;&lt;dates&gt;&lt;year&gt;2021&lt;/year&gt;&lt;/dates&gt;&lt;publisher&gt;Ivyspring International Publisher&lt;/publisher&gt;&lt;isbn&gt;1838-7640&lt;/isbn&gt;&lt;work-type&gt;Research Paper&lt;/work-type&gt;&lt;urls&gt;&lt;related-urls&gt;&lt;url&gt;https://www.thno.org/v11p5794.htm&lt;/url&gt;&lt;/related-urls&gt;&lt;/urls&gt;&lt;electronic-resource-num&gt;10.7150/thno.56604&lt;/electronic-resource-num&gt;&lt;/record&gt;&lt;/Cite&gt;&lt;/EndNote&gt;</w:instrText>
      </w:r>
      <w:r w:rsidRPr="00F873F7">
        <w:rPr>
          <w:rFonts w:ascii="Times New Roman" w:hAnsi="Times New Roman" w:cs="Times New Roman"/>
          <w:sz w:val="20"/>
          <w:szCs w:val="20"/>
        </w:rPr>
        <w:fldChar w:fldCharType="separate"/>
      </w:r>
      <w:r w:rsidR="00F873F7">
        <w:rPr>
          <w:rFonts w:ascii="Times New Roman" w:hAnsi="Times New Roman" w:cs="Times New Roman"/>
          <w:noProof/>
          <w:sz w:val="20"/>
          <w:szCs w:val="20"/>
        </w:rPr>
        <w:t>[1]</w:t>
      </w:r>
      <w:r w:rsidRPr="00F873F7">
        <w:rPr>
          <w:rFonts w:ascii="Times New Roman" w:hAnsi="Times New Roman" w:cs="Times New Roman"/>
          <w:sz w:val="20"/>
          <w:szCs w:val="20"/>
        </w:rPr>
        <w:fldChar w:fldCharType="end"/>
      </w:r>
      <w:r w:rsidRPr="00F873F7">
        <w:rPr>
          <w:rFonts w:ascii="Times New Roman" w:hAnsi="Times New Roman" w:cs="Times New Roman"/>
          <w:sz w:val="20"/>
          <w:szCs w:val="20"/>
        </w:rPr>
        <w:t>. Then, a bicinchoninic acid (BCA) assay (#23225; Pierce, Rockford, IL, USA) was performed as instructed by the manufacturer to assess the protein concentration. Anti-DYNLT1 (Tctex1) rabbit antibody (sc-365567; Santa Cruz Biotechnology, Inc.) was used.</w:t>
      </w:r>
    </w:p>
    <w:p w14:paraId="32667C5E" w14:textId="77777777" w:rsidR="00CF0E7B" w:rsidRPr="00F873F7" w:rsidRDefault="00000000" w:rsidP="00E6413A">
      <w:pPr>
        <w:pStyle w:val="a7"/>
        <w:widowControl/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i/>
          <w:iCs/>
          <w:sz w:val="20"/>
          <w:szCs w:val="20"/>
        </w:rPr>
      </w:pPr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Cell viability assay</w:t>
      </w:r>
    </w:p>
    <w:p w14:paraId="20BE001C" w14:textId="77777777" w:rsidR="00CF0E7B" w:rsidRPr="00F873F7" w:rsidRDefault="00000000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873F7">
        <w:rPr>
          <w:rFonts w:ascii="Times New Roman" w:hAnsi="Times New Roman" w:cs="Times New Roman"/>
          <w:sz w:val="20"/>
          <w:szCs w:val="20"/>
        </w:rPr>
        <w:t>Each well of 96-well plates was seeded with 2.0 × 10</w:t>
      </w:r>
      <w:r w:rsidRPr="00F873F7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873F7">
        <w:rPr>
          <w:rFonts w:ascii="Times New Roman" w:hAnsi="Times New Roman" w:cs="Times New Roman"/>
          <w:sz w:val="20"/>
          <w:szCs w:val="20"/>
        </w:rPr>
        <w:t xml:space="preserve"> breast cancer cells for the cell viability experiment. </w:t>
      </w:r>
      <w:r w:rsidRPr="00F873F7">
        <w:rPr>
          <w:rFonts w:ascii="Times New Roman" w:hAnsi="Times New Roman" w:cs="Times New Roman"/>
          <w:sz w:val="20"/>
          <w:szCs w:val="20"/>
        </w:rPr>
        <w:lastRenderedPageBreak/>
        <w:t>This CCK8 Cell Proliferation and Cytotoxicity Assay Kit (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Beyotime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>, Shanghai, China) was employed to determine the proliferative rate. Succinctly, the cell culture medium was supplemented with the CCK8 test reagent, followed by incubation for an hour. Following a minute of shaking to mix the contents, the absorbance at 450 nm was recorded to ascertain the formazan dye produced.</w:t>
      </w:r>
    </w:p>
    <w:p w14:paraId="34170378" w14:textId="77777777" w:rsidR="00CF0E7B" w:rsidRPr="00F873F7" w:rsidRDefault="00000000" w:rsidP="00E6413A">
      <w:pPr>
        <w:pStyle w:val="a7"/>
        <w:widowControl/>
        <w:adjustRightInd w:val="0"/>
        <w:snapToGrid w:val="0"/>
        <w:spacing w:line="480" w:lineRule="auto"/>
        <w:ind w:firstLineChars="0" w:firstLine="0"/>
        <w:rPr>
          <w:rFonts w:ascii="Times New Roman" w:hAnsi="Times New Roman" w:cs="Times New Roman"/>
          <w:i/>
          <w:iCs/>
          <w:sz w:val="20"/>
          <w:szCs w:val="20"/>
        </w:rPr>
      </w:pPr>
      <w:r w:rsidRPr="00F873F7">
        <w:rPr>
          <w:rFonts w:ascii="Times New Roman" w:hAnsi="Times New Roman" w:cs="Times New Roman"/>
          <w:b/>
          <w:bCs/>
          <w:i/>
          <w:iCs/>
          <w:sz w:val="20"/>
          <w:szCs w:val="20"/>
        </w:rPr>
        <w:t>Colony formation assay</w:t>
      </w:r>
    </w:p>
    <w:p w14:paraId="6E80189E" w14:textId="71C6D05C" w:rsidR="00CF0E7B" w:rsidRPr="00F873F7" w:rsidRDefault="00000000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873F7">
        <w:rPr>
          <w:rFonts w:ascii="Times New Roman" w:hAnsi="Times New Roman" w:cs="Times New Roman"/>
          <w:sz w:val="20"/>
          <w:szCs w:val="20"/>
        </w:rPr>
        <w:t>The viability of the cells was verified utilizing a colony formation assay. Subsequently, 6-well plates were seeded with indicated cells (1 x 10</w:t>
      </w:r>
      <w:r w:rsidRPr="00F873F7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873F7">
        <w:rPr>
          <w:rFonts w:ascii="Times New Roman" w:hAnsi="Times New Roman" w:cs="Times New Roman"/>
          <w:sz w:val="20"/>
          <w:szCs w:val="20"/>
        </w:rPr>
        <w:t>). The colonies that managed to survive after two weeks were then fixed, treated with crystal violet dye, and counted.</w:t>
      </w:r>
      <w:r w:rsidRPr="00F873F7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433D49F4" w14:textId="77777777" w:rsidR="00CF0E7B" w:rsidRPr="00F873F7" w:rsidRDefault="00000000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873F7">
        <w:rPr>
          <w:rFonts w:ascii="Times New Roman" w:hAnsi="Times New Roman" w:cs="Times New Roman"/>
          <w:b/>
          <w:bCs/>
          <w:sz w:val="20"/>
          <w:szCs w:val="20"/>
        </w:rPr>
        <w:lastRenderedPageBreak/>
        <w:t>References</w:t>
      </w:r>
    </w:p>
    <w:p w14:paraId="0E3D572B" w14:textId="0C0C5009" w:rsidR="00F873F7" w:rsidRPr="00F873F7" w:rsidRDefault="00000000" w:rsidP="00F873F7">
      <w:pPr>
        <w:pStyle w:val="EndNoteBibliography"/>
        <w:spacing w:line="480" w:lineRule="auto"/>
        <w:rPr>
          <w:rFonts w:ascii="Times New Roman" w:hAnsi="Times New Roman"/>
        </w:rPr>
      </w:pPr>
      <w:r w:rsidRPr="00F873F7">
        <w:rPr>
          <w:rFonts w:ascii="Times New Roman" w:eastAsiaTheme="minorEastAsia" w:hAnsi="Times New Roman"/>
          <w:bCs/>
          <w:szCs w:val="20"/>
        </w:rPr>
        <w:fldChar w:fldCharType="begin"/>
      </w:r>
      <w:r w:rsidRPr="00F873F7">
        <w:rPr>
          <w:rFonts w:ascii="Times New Roman" w:hAnsi="Times New Roman"/>
          <w:bCs/>
          <w:szCs w:val="20"/>
        </w:rPr>
        <w:instrText xml:space="preserve"> ADDIN EN.REFLIST </w:instrText>
      </w:r>
      <w:r w:rsidRPr="00F873F7">
        <w:rPr>
          <w:rFonts w:ascii="Times New Roman" w:eastAsiaTheme="minorEastAsia" w:hAnsi="Times New Roman"/>
          <w:bCs/>
          <w:szCs w:val="20"/>
        </w:rPr>
        <w:fldChar w:fldCharType="separate"/>
      </w:r>
      <w:r w:rsidR="00F873F7" w:rsidRPr="00F873F7">
        <w:rPr>
          <w:rFonts w:ascii="Times New Roman" w:hAnsi="Times New Roman"/>
        </w:rPr>
        <w:t>1.</w:t>
      </w:r>
      <w:r w:rsidR="00F873F7" w:rsidRPr="00F873F7">
        <w:rPr>
          <w:rFonts w:ascii="Times New Roman" w:hAnsi="Times New Roman"/>
        </w:rPr>
        <w:tab/>
        <w:t xml:space="preserve">Li Q, Wang M, Hu Y, Zhao E, Li J, Ren L, Wang M, Xu Y, Liang Q, Zhang D, Lai Y, Liu S, Peng X, Zhu C, Ye L (2021) MYBL2 disrupts the Hippo-YAP pathway and confers castration resistance and metastatic potential in prostate cancer. Theranostics 11:5794-5812. </w:t>
      </w:r>
      <w:hyperlink r:id="rId6" w:history="1">
        <w:r w:rsidR="00F873F7" w:rsidRPr="00F873F7">
          <w:rPr>
            <w:rStyle w:val="a8"/>
            <w:rFonts w:ascii="Times New Roman" w:hAnsi="Times New Roman"/>
          </w:rPr>
          <w:t>https://doi.org/10.7150/thno.56604</w:t>
        </w:r>
      </w:hyperlink>
    </w:p>
    <w:p w14:paraId="517922E0" w14:textId="52652B5C" w:rsidR="00CF0E7B" w:rsidRPr="00F873F7" w:rsidRDefault="00000000" w:rsidP="00F873F7">
      <w:pPr>
        <w:adjustRightInd w:val="0"/>
        <w:snapToGrid w:val="0"/>
        <w:spacing w:line="480" w:lineRule="auto"/>
        <w:ind w:left="400" w:hangingChars="200" w:hanging="400"/>
        <w:jc w:val="left"/>
        <w:rPr>
          <w:rFonts w:ascii="Times New Roman" w:eastAsia="宋体" w:hAnsi="Times New Roman" w:cs="Times New Roman"/>
          <w:b/>
          <w:sz w:val="20"/>
          <w:szCs w:val="20"/>
          <w:lang w:bidi="ar"/>
        </w:rPr>
      </w:pPr>
      <w:r w:rsidRPr="00F873F7">
        <w:rPr>
          <w:rFonts w:ascii="Times New Roman" w:hAnsi="Times New Roman" w:cs="Times New Roman"/>
          <w:bCs/>
          <w:sz w:val="20"/>
          <w:szCs w:val="20"/>
        </w:rPr>
        <w:fldChar w:fldCharType="end"/>
      </w:r>
      <w:bookmarkStart w:id="2" w:name="OLE_LINK1"/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br w:type="page"/>
      </w:r>
    </w:p>
    <w:p w14:paraId="2F3BC092" w14:textId="77777777" w:rsidR="00CF0E7B" w:rsidRPr="00F873F7" w:rsidRDefault="00000000" w:rsidP="00E6413A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sz w:val="20"/>
          <w:szCs w:val="20"/>
          <w:lang w:bidi="ar"/>
        </w:rPr>
      </w:pP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lastRenderedPageBreak/>
        <w:t>Supplementary</w:t>
      </w:r>
      <w:bookmarkEnd w:id="2"/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 xml:space="preserve"> figures</w:t>
      </w:r>
    </w:p>
    <w:p w14:paraId="225768AC" w14:textId="77777777" w:rsidR="00CF0E7B" w:rsidRPr="00F873F7" w:rsidRDefault="00000000" w:rsidP="00E6413A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sz w:val="20"/>
          <w:szCs w:val="20"/>
          <w:lang w:bidi="ar"/>
        </w:rPr>
      </w:pPr>
      <w:r w:rsidRPr="00F873F7">
        <w:rPr>
          <w:rFonts w:ascii="Times New Roman" w:eastAsia="宋体" w:hAnsi="Times New Roman" w:cs="Times New Roman"/>
          <w:b/>
          <w:noProof/>
          <w:sz w:val="20"/>
          <w:szCs w:val="20"/>
          <w:lang w:bidi="ar"/>
        </w:rPr>
        <w:drawing>
          <wp:inline distT="0" distB="0" distL="114300" distR="114300" wp14:anchorId="63567364" wp14:editId="0695B3B9">
            <wp:extent cx="5267960" cy="3312160"/>
            <wp:effectExtent l="0" t="0" r="5080" b="10160"/>
            <wp:docPr id="1" name="图片 1" descr="Fig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1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548BA" w14:textId="1C25FEDD" w:rsidR="00CF0E7B" w:rsidRPr="00F873F7" w:rsidRDefault="00A8256D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 xml:space="preserve">Fig. </w:t>
      </w:r>
      <w:r w:rsidR="00E6413A" w:rsidRPr="00F873F7">
        <w:rPr>
          <w:rFonts w:ascii="Times New Roman" w:eastAsia="宋体" w:hAnsi="Times New Roman" w:cs="Times New Roman" w:hint="eastAsia"/>
          <w:b/>
          <w:sz w:val="20"/>
          <w:szCs w:val="20"/>
          <w:lang w:bidi="ar"/>
        </w:rPr>
        <w:t>S</w:t>
      </w: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 xml:space="preserve">1 </w:t>
      </w:r>
      <w:r w:rsidRPr="00F873F7">
        <w:rPr>
          <w:rFonts w:ascii="Times New Roman" w:eastAsia="宋体" w:hAnsi="Times New Roman" w:cs="Times New Roman"/>
          <w:sz w:val="20"/>
          <w:szCs w:val="20"/>
        </w:rPr>
        <w:t>The h</w:t>
      </w:r>
      <w:r w:rsidRPr="00F873F7">
        <w:rPr>
          <w:rFonts w:ascii="Times New Roman" w:hAnsi="Times New Roman" w:cs="Times New Roman"/>
          <w:sz w:val="20"/>
          <w:szCs w:val="20"/>
        </w:rPr>
        <w:t xml:space="preserve">igh expression of DYNLT1 predicts unfavorable clinical RFS outcomes in breast cancer patients. </w:t>
      </w: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>A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 xml:space="preserve"> </w:t>
      </w:r>
      <w:r w:rsidRPr="00F873F7">
        <w:rPr>
          <w:rFonts w:ascii="Times New Roman" w:hAnsi="Times New Roman" w:cs="Times New Roman"/>
          <w:bCs/>
          <w:sz w:val="20"/>
          <w:szCs w:val="20"/>
        </w:rPr>
        <w:t xml:space="preserve">Kaplan–Meier (KM) plotter analysis of the correlation between DYNLT1 expression and relapse-free survival (RFS), distant metastasis-free survival (DMFS), and overall survival (OS) </w:t>
      </w:r>
      <w:r w:rsidRPr="00F873F7">
        <w:rPr>
          <w:rFonts w:ascii="Times New Roman" w:eastAsia="宋体" w:hAnsi="Times New Roman" w:cs="Times New Roman"/>
          <w:bCs/>
          <w:sz w:val="20"/>
          <w:szCs w:val="20"/>
          <w:shd w:val="clear" w:color="auto" w:fill="FFFFFF"/>
        </w:rPr>
        <w:t>in all breast cancer cases</w:t>
      </w:r>
      <w:r w:rsidRPr="00F873F7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>B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 xml:space="preserve"> </w:t>
      </w:r>
      <w:r w:rsidRPr="00F873F7">
        <w:rPr>
          <w:rFonts w:ascii="Times New Roman" w:hAnsi="Times New Roman" w:cs="Times New Roman"/>
          <w:bCs/>
          <w:sz w:val="20"/>
          <w:szCs w:val="20"/>
        </w:rPr>
        <w:t>Kaplan–Meier (KM) plotter analysis of the correlation between DYNLT1 expression and RFS in patients with Luminal A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 xml:space="preserve">, </w:t>
      </w:r>
      <w:r w:rsidRPr="00F873F7">
        <w:rPr>
          <w:rFonts w:ascii="Times New Roman" w:eastAsia="宋体" w:hAnsi="Times New Roman" w:cs="Times New Roman"/>
          <w:bCs/>
          <w:sz w:val="20"/>
          <w:szCs w:val="20"/>
        </w:rPr>
        <w:t>L</w:t>
      </w:r>
      <w:r w:rsidRPr="00F873F7">
        <w:rPr>
          <w:rFonts w:ascii="Times New Roman" w:hAnsi="Times New Roman" w:cs="Times New Roman"/>
          <w:bCs/>
          <w:sz w:val="20"/>
          <w:szCs w:val="20"/>
        </w:rPr>
        <w:t>uminal B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, H</w:t>
      </w:r>
      <w:r w:rsidRPr="00F873F7">
        <w:rPr>
          <w:rFonts w:ascii="Times New Roman" w:hAnsi="Times New Roman" w:cs="Times New Roman"/>
          <w:bCs/>
          <w:sz w:val="20"/>
          <w:szCs w:val="20"/>
        </w:rPr>
        <w:t>ER2-E and Basal breast cancer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, respectively</w:t>
      </w:r>
      <w:r w:rsidRPr="00F873F7">
        <w:rPr>
          <w:rFonts w:ascii="Times New Roman" w:hAnsi="Times New Roman" w:cs="Times New Roman"/>
          <w:bCs/>
          <w:sz w:val="20"/>
          <w:szCs w:val="20"/>
        </w:rPr>
        <w:t>. All data were assessed using the Kaplan–Meier technique with a log-rank test (auto-select best cutoff).</w:t>
      </w:r>
    </w:p>
    <w:p w14:paraId="7623B8B8" w14:textId="77777777" w:rsidR="00CF0E7B" w:rsidRPr="00F873F7" w:rsidRDefault="00000000" w:rsidP="00E6413A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sz w:val="20"/>
          <w:szCs w:val="20"/>
          <w:lang w:bidi="ar"/>
        </w:rPr>
      </w:pPr>
      <w:r w:rsidRPr="00F873F7">
        <w:rPr>
          <w:rFonts w:ascii="Times New Roman" w:eastAsia="宋体" w:hAnsi="Times New Roman" w:cs="Times New Roman"/>
          <w:b/>
          <w:noProof/>
          <w:sz w:val="20"/>
          <w:szCs w:val="20"/>
          <w:lang w:bidi="ar"/>
        </w:rPr>
        <w:drawing>
          <wp:inline distT="0" distB="0" distL="114300" distR="114300" wp14:anchorId="381C855E" wp14:editId="393533BA">
            <wp:extent cx="5271770" cy="2838450"/>
            <wp:effectExtent l="0" t="0" r="1270" b="11430"/>
            <wp:docPr id="2" name="图片 2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A6C6B" w14:textId="0E0D6264" w:rsidR="00CF0E7B" w:rsidRPr="00F873F7" w:rsidRDefault="00A8256D" w:rsidP="00E6413A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Cs/>
          <w:sz w:val="20"/>
          <w:szCs w:val="20"/>
          <w:lang w:bidi="ar"/>
        </w:rPr>
      </w:pP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lastRenderedPageBreak/>
        <w:t xml:space="preserve">Fig. </w:t>
      </w:r>
      <w:r w:rsidR="00E6413A" w:rsidRPr="00F873F7">
        <w:rPr>
          <w:rFonts w:ascii="Times New Roman" w:eastAsia="宋体" w:hAnsi="Times New Roman" w:cs="Times New Roman" w:hint="eastAsia"/>
          <w:b/>
          <w:sz w:val="20"/>
          <w:szCs w:val="20"/>
          <w:lang w:bidi="ar"/>
        </w:rPr>
        <w:t>S</w:t>
      </w: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 xml:space="preserve">2 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 xml:space="preserve">The relationship between m6A regulators and </w:t>
      </w:r>
      <w:r w:rsidRPr="00F873F7">
        <w:rPr>
          <w:rFonts w:ascii="Times New Roman" w:hAnsi="Times New Roman" w:cs="Times New Roman"/>
          <w:bCs/>
          <w:sz w:val="20"/>
          <w:szCs w:val="20"/>
        </w:rPr>
        <w:t xml:space="preserve">DYNLT1. </w:t>
      </w:r>
      <w:r w:rsidRPr="00F873F7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F873F7">
        <w:rPr>
          <w:rFonts w:ascii="Times New Roman" w:hAnsi="Times New Roman" w:cs="Times New Roman"/>
          <w:sz w:val="20"/>
          <w:szCs w:val="20"/>
        </w:rPr>
        <w:t xml:space="preserve"> The correlation between the expression </w:t>
      </w:r>
      <w:r w:rsidRPr="00F873F7">
        <w:rPr>
          <w:rStyle w:val="fontstyle01"/>
          <w:rFonts w:ascii="Times New Roman" w:hAnsi="Times New Roman" w:cs="Times New Roman"/>
          <w:sz w:val="20"/>
          <w:szCs w:val="20"/>
        </w:rPr>
        <w:t>levels</w:t>
      </w:r>
      <w:r w:rsidRPr="00F873F7">
        <w:rPr>
          <w:rFonts w:ascii="Times New Roman" w:hAnsi="Times New Roman" w:cs="Times New Roman"/>
          <w:sz w:val="20"/>
          <w:szCs w:val="20"/>
        </w:rPr>
        <w:t xml:space="preserve"> of m6A regulators (WTAP, METTL5, HNRNPC) and DYNLT1 was explored </w:t>
      </w:r>
      <w:r w:rsidRPr="00F873F7">
        <w:rPr>
          <w:rStyle w:val="fontstyle01"/>
          <w:rFonts w:ascii="Times New Roman" w:hAnsi="Times New Roman" w:cs="Times New Roman"/>
          <w:sz w:val="20"/>
          <w:szCs w:val="20"/>
        </w:rPr>
        <w:t>using</w:t>
      </w:r>
      <w:r w:rsidRPr="00F873F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873F7">
        <w:rPr>
          <w:rFonts w:ascii="Times New Roman" w:hAnsi="Times New Roman" w:cs="Times New Roman"/>
          <w:sz w:val="20"/>
          <w:szCs w:val="20"/>
        </w:rPr>
        <w:t>cBioPortal</w:t>
      </w:r>
      <w:proofErr w:type="spellEnd"/>
      <w:r w:rsidRPr="00F873F7">
        <w:rPr>
          <w:rFonts w:ascii="Times New Roman" w:hAnsi="Times New Roman" w:cs="Times New Roman"/>
          <w:sz w:val="20"/>
          <w:szCs w:val="20"/>
        </w:rPr>
        <w:t xml:space="preserve"> in the breast cancer tissues 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(n = 960)</w:t>
      </w:r>
      <w:r w:rsidRPr="00F873F7">
        <w:rPr>
          <w:rFonts w:ascii="Times New Roman" w:hAnsi="Times New Roman" w:cs="Times New Roman"/>
          <w:sz w:val="20"/>
          <w:szCs w:val="20"/>
        </w:rPr>
        <w:t xml:space="preserve">. </w:t>
      </w: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>B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 xml:space="preserve"> The </w:t>
      </w:r>
      <w:r w:rsidRPr="00F873F7">
        <w:rPr>
          <w:rStyle w:val="fontstyle01"/>
          <w:rFonts w:ascii="Times New Roman" w:hAnsi="Times New Roman" w:cs="Times New Roman"/>
          <w:sz w:val="20"/>
          <w:szCs w:val="20"/>
        </w:rPr>
        <w:t>possible</w:t>
      </w:r>
      <w:r w:rsidRPr="00F873F7">
        <w:rPr>
          <w:rFonts w:ascii="Times New Roman" w:hAnsi="Times New Roman" w:cs="Times New Roman"/>
          <w:sz w:val="20"/>
          <w:szCs w:val="20"/>
        </w:rPr>
        <w:t xml:space="preserve"> interactions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 xml:space="preserve"> </w:t>
      </w:r>
      <w:r w:rsidRPr="00F873F7">
        <w:rPr>
          <w:rStyle w:val="fontstyle01"/>
          <w:rFonts w:ascii="Times New Roman" w:hAnsi="Times New Roman" w:cs="Times New Roman"/>
          <w:sz w:val="20"/>
          <w:szCs w:val="20"/>
        </w:rPr>
        <w:t>between</w:t>
      </w:r>
      <w:r w:rsidRPr="00F873F7">
        <w:rPr>
          <w:rFonts w:ascii="Times New Roman" w:hAnsi="Times New Roman" w:cs="Times New Roman"/>
          <w:sz w:val="20"/>
          <w:szCs w:val="20"/>
        </w:rPr>
        <w:t xml:space="preserve"> 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RBPs (ELAVL1</w:t>
      </w:r>
      <w:r w:rsidRPr="00F873F7">
        <w:rPr>
          <w:rFonts w:ascii="Times New Roman" w:hAnsi="Times New Roman" w:cs="Times New Roman"/>
          <w:sz w:val="20"/>
          <w:szCs w:val="20"/>
        </w:rPr>
        <w:t>, WTAP, METTL5, and HNRNPC) and DYNLT1 mRNA supported by CLIP-seq data from ENCORI.</w:t>
      </w:r>
    </w:p>
    <w:p w14:paraId="1C0E2CF3" w14:textId="77777777" w:rsidR="00CF0E7B" w:rsidRPr="00F873F7" w:rsidRDefault="00000000" w:rsidP="00E6413A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Cs/>
          <w:sz w:val="20"/>
          <w:szCs w:val="20"/>
          <w:lang w:bidi="ar"/>
        </w:rPr>
      </w:pPr>
      <w:r w:rsidRPr="00F873F7">
        <w:rPr>
          <w:rFonts w:ascii="Times New Roman" w:eastAsia="宋体" w:hAnsi="Times New Roman" w:cs="Times New Roman"/>
          <w:b/>
          <w:noProof/>
          <w:sz w:val="20"/>
          <w:szCs w:val="20"/>
          <w:lang w:bidi="ar"/>
        </w:rPr>
        <w:drawing>
          <wp:inline distT="0" distB="0" distL="114300" distR="114300" wp14:anchorId="490E3279" wp14:editId="40B325DF">
            <wp:extent cx="5274310" cy="4097655"/>
            <wp:effectExtent l="0" t="0" r="13970" b="1905"/>
            <wp:docPr id="3" name="图片 3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78BAE" w14:textId="1190BFD1" w:rsidR="00CF0E7B" w:rsidRPr="00F873F7" w:rsidRDefault="00A8256D" w:rsidP="00E6413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 xml:space="preserve">Fig. </w:t>
      </w:r>
      <w:r w:rsidR="00E6413A" w:rsidRPr="00F873F7">
        <w:rPr>
          <w:rFonts w:ascii="Times New Roman" w:eastAsia="宋体" w:hAnsi="Times New Roman" w:cs="Times New Roman" w:hint="eastAsia"/>
          <w:b/>
          <w:sz w:val="20"/>
          <w:szCs w:val="20"/>
          <w:lang w:bidi="ar"/>
        </w:rPr>
        <w:t>S</w:t>
      </w:r>
      <w:r w:rsidRPr="00F873F7">
        <w:rPr>
          <w:rFonts w:ascii="Times New Roman" w:eastAsia="宋体" w:hAnsi="Times New Roman" w:cs="Times New Roman"/>
          <w:b/>
          <w:sz w:val="20"/>
          <w:szCs w:val="20"/>
          <w:lang w:bidi="ar"/>
        </w:rPr>
        <w:t xml:space="preserve">3 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The ELAVL1/</w:t>
      </w:r>
      <w:proofErr w:type="spellStart"/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HuR</w:t>
      </w:r>
      <w:proofErr w:type="spellEnd"/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 xml:space="preserve"> </w:t>
      </w:r>
      <w:r w:rsidRPr="00F873F7">
        <w:rPr>
          <w:rFonts w:ascii="Times New Roman" w:hAnsi="Times New Roman" w:cs="Times New Roman"/>
          <w:bCs/>
          <w:sz w:val="20"/>
          <w:szCs w:val="20"/>
        </w:rPr>
        <w:t xml:space="preserve">expression correlates with response to tamoxifen therapy in Luminal B breast cancer. </w:t>
      </w:r>
      <w:r w:rsidRPr="00F873F7">
        <w:rPr>
          <w:rFonts w:ascii="Times New Roman" w:hAnsi="Times New Roman" w:cs="Times New Roman"/>
          <w:b/>
          <w:sz w:val="20"/>
          <w:szCs w:val="20"/>
        </w:rPr>
        <w:t>A</w:t>
      </w:r>
      <w:r w:rsidRPr="00F873F7">
        <w:rPr>
          <w:rFonts w:ascii="Times New Roman" w:hAnsi="Times New Roman" w:cs="Times New Roman"/>
          <w:bCs/>
          <w:sz w:val="20"/>
          <w:szCs w:val="20"/>
        </w:rPr>
        <w:t xml:space="preserve"> Kaplan–Meier (KM) plotter analysis of the correlation between 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ELAVL1/</w:t>
      </w:r>
      <w:proofErr w:type="spellStart"/>
      <w:r w:rsidRPr="00F873F7">
        <w:rPr>
          <w:rFonts w:ascii="Times New Roman" w:hAnsi="Times New Roman" w:cs="Times New Roman"/>
          <w:bCs/>
          <w:sz w:val="20"/>
          <w:szCs w:val="20"/>
        </w:rPr>
        <w:t>HuR</w:t>
      </w:r>
      <w:proofErr w:type="spellEnd"/>
      <w:r w:rsidRPr="00F873F7">
        <w:rPr>
          <w:rFonts w:ascii="Times New Roman" w:hAnsi="Times New Roman" w:cs="Times New Roman"/>
          <w:bCs/>
          <w:sz w:val="20"/>
          <w:szCs w:val="20"/>
        </w:rPr>
        <w:t xml:space="preserve"> expression and RFS in all breast cancer patients who received tamoxifen-only therapy, endocrine-include therapy, or endocrine-exclude therapy. </w:t>
      </w:r>
      <w:r w:rsidRPr="00F873F7">
        <w:rPr>
          <w:rFonts w:ascii="Times New Roman" w:hAnsi="Times New Roman" w:cs="Times New Roman"/>
          <w:b/>
          <w:sz w:val="20"/>
          <w:szCs w:val="20"/>
        </w:rPr>
        <w:t>B</w:t>
      </w:r>
      <w:r w:rsidRPr="00F873F7">
        <w:rPr>
          <w:rFonts w:ascii="Times New Roman" w:hAnsi="Times New Roman" w:cs="Times New Roman"/>
          <w:bCs/>
          <w:sz w:val="20"/>
          <w:szCs w:val="20"/>
        </w:rPr>
        <w:t xml:space="preserve"> Kaplan–Meier (KM) plotter analysis of the correlation between </w:t>
      </w:r>
      <w:r w:rsidRPr="00F873F7">
        <w:rPr>
          <w:rFonts w:ascii="Times New Roman" w:eastAsia="宋体" w:hAnsi="Times New Roman" w:cs="Times New Roman"/>
          <w:bCs/>
          <w:sz w:val="20"/>
          <w:szCs w:val="20"/>
          <w:lang w:bidi="ar"/>
        </w:rPr>
        <w:t>ELAVL1/</w:t>
      </w:r>
      <w:proofErr w:type="spellStart"/>
      <w:r w:rsidRPr="00F873F7">
        <w:rPr>
          <w:rFonts w:ascii="Times New Roman" w:hAnsi="Times New Roman" w:cs="Times New Roman"/>
          <w:bCs/>
          <w:sz w:val="20"/>
          <w:szCs w:val="20"/>
        </w:rPr>
        <w:t>HuR</w:t>
      </w:r>
      <w:proofErr w:type="spellEnd"/>
      <w:r w:rsidRPr="00F873F7">
        <w:rPr>
          <w:rFonts w:ascii="Times New Roman" w:hAnsi="Times New Roman" w:cs="Times New Roman"/>
          <w:bCs/>
          <w:sz w:val="20"/>
          <w:szCs w:val="20"/>
        </w:rPr>
        <w:t xml:space="preserve"> expression and RFS in Luminal B breast cancer patients who received tamoxifen-only therapy, endocrine-include therapy, or endocrine-exclude therapy. All data were assessed using the Kaplan–Meier technique with a log-rank test (auto-select best cutoff).</w:t>
      </w:r>
    </w:p>
    <w:sectPr w:rsidR="00CF0E7B" w:rsidRPr="00F873F7" w:rsidSect="00E6413A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07B983" w14:textId="77777777" w:rsidR="00575711" w:rsidRDefault="00575711" w:rsidP="00255850">
      <w:pPr>
        <w:rPr>
          <w:rFonts w:hint="eastAsia"/>
        </w:rPr>
      </w:pPr>
      <w:r>
        <w:separator/>
      </w:r>
    </w:p>
  </w:endnote>
  <w:endnote w:type="continuationSeparator" w:id="0">
    <w:p w14:paraId="5CDD96AA" w14:textId="77777777" w:rsidR="00575711" w:rsidRDefault="00575711" w:rsidP="002558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30619655"/>
      <w:docPartObj>
        <w:docPartGallery w:val="Page Numbers (Bottom of Page)"/>
        <w:docPartUnique/>
      </w:docPartObj>
    </w:sdtPr>
    <w:sdtContent>
      <w:p w14:paraId="395707A1" w14:textId="7140CEE9" w:rsidR="00A26272" w:rsidRDefault="00A26272">
        <w:pPr>
          <w:pStyle w:val="a3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161A32" w14:textId="77777777" w:rsidR="00A26272" w:rsidRDefault="00A26272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119937" w14:textId="77777777" w:rsidR="00575711" w:rsidRDefault="00575711" w:rsidP="00255850">
      <w:pPr>
        <w:rPr>
          <w:rFonts w:hint="eastAsia"/>
        </w:rPr>
      </w:pPr>
      <w:r>
        <w:separator/>
      </w:r>
    </w:p>
  </w:footnote>
  <w:footnote w:type="continuationSeparator" w:id="0">
    <w:p w14:paraId="26AC52F4" w14:textId="77777777" w:rsidR="00575711" w:rsidRDefault="00575711" w:rsidP="0025585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c3YzI1MGY3YmYzNjY2N2EyMzgwNWZhZTQ1NTU2YmU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reast Cancer Res Ther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905A4"/>
    <w:rsid w:val="00047B85"/>
    <w:rsid w:val="00056A3F"/>
    <w:rsid w:val="00255850"/>
    <w:rsid w:val="00263E6B"/>
    <w:rsid w:val="00276493"/>
    <w:rsid w:val="002F0CD8"/>
    <w:rsid w:val="0039241E"/>
    <w:rsid w:val="004064AD"/>
    <w:rsid w:val="004E373B"/>
    <w:rsid w:val="00575711"/>
    <w:rsid w:val="006D45F9"/>
    <w:rsid w:val="007114CD"/>
    <w:rsid w:val="00733148"/>
    <w:rsid w:val="007A5703"/>
    <w:rsid w:val="007F3702"/>
    <w:rsid w:val="00811025"/>
    <w:rsid w:val="0089570B"/>
    <w:rsid w:val="00954133"/>
    <w:rsid w:val="009905A4"/>
    <w:rsid w:val="009C3B25"/>
    <w:rsid w:val="00A26272"/>
    <w:rsid w:val="00A351A4"/>
    <w:rsid w:val="00A8256D"/>
    <w:rsid w:val="00AD0AE4"/>
    <w:rsid w:val="00B10970"/>
    <w:rsid w:val="00C02B9F"/>
    <w:rsid w:val="00C13E58"/>
    <w:rsid w:val="00CF0E7B"/>
    <w:rsid w:val="00D34CA4"/>
    <w:rsid w:val="00D3636C"/>
    <w:rsid w:val="00D9088D"/>
    <w:rsid w:val="00DC3A1C"/>
    <w:rsid w:val="00E6413A"/>
    <w:rsid w:val="00F00E27"/>
    <w:rsid w:val="00F72582"/>
    <w:rsid w:val="00F873F7"/>
    <w:rsid w:val="0A215782"/>
    <w:rsid w:val="0AD80B68"/>
    <w:rsid w:val="117A1046"/>
    <w:rsid w:val="15FE1E5F"/>
    <w:rsid w:val="189653DE"/>
    <w:rsid w:val="1CCA016F"/>
    <w:rsid w:val="254E11AE"/>
    <w:rsid w:val="28F73A57"/>
    <w:rsid w:val="2CEA48B8"/>
    <w:rsid w:val="2E993F0E"/>
    <w:rsid w:val="2FE17537"/>
    <w:rsid w:val="30056695"/>
    <w:rsid w:val="34E5049F"/>
    <w:rsid w:val="36381660"/>
    <w:rsid w:val="59F41FD8"/>
    <w:rsid w:val="6F0C76F3"/>
    <w:rsid w:val="72E6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A4A8C9"/>
  <w15:docId w15:val="{025280B3-4981-40E7-A698-DCA37C327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autoRedefine/>
    <w:qFormat/>
    <w:rPr>
      <w:rFonts w:ascii="TimesNewRomanPSMT" w:hAnsi="TimesNewRomanPSMT" w:hint="default"/>
      <w:color w:val="000000"/>
      <w:sz w:val="24"/>
      <w:szCs w:val="24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  <w:style w:type="paragraph" w:customStyle="1" w:styleId="EndNoteBibliographyTitle">
    <w:name w:val="EndNote Bibliography Title"/>
    <w:autoRedefine/>
    <w:qFormat/>
    <w:pPr>
      <w:jc w:val="center"/>
    </w:pPr>
    <w:rPr>
      <w:rFonts w:ascii="等线" w:eastAsia="等线" w:hAnsi="等线" w:cs="等线" w:hint="eastAsia"/>
      <w:kern w:val="2"/>
      <w:szCs w:val="24"/>
    </w:rPr>
  </w:style>
  <w:style w:type="paragraph" w:customStyle="1" w:styleId="EndNoteBibliography">
    <w:name w:val="EndNote Bibliography"/>
    <w:autoRedefine/>
    <w:qFormat/>
    <w:rsid w:val="007114CD"/>
    <w:pPr>
      <w:ind w:left="720" w:hanging="720"/>
      <w:jc w:val="both"/>
    </w:pPr>
    <w:rPr>
      <w:rFonts w:ascii="等线" w:eastAsia="等线" w:hAnsi="等线"/>
      <w:noProof/>
      <w:kern w:val="2"/>
      <w:szCs w:val="24"/>
    </w:rPr>
  </w:style>
  <w:style w:type="character" w:styleId="a8">
    <w:name w:val="Hyperlink"/>
    <w:basedOn w:val="a0"/>
    <w:uiPriority w:val="99"/>
    <w:unhideWhenUsed/>
    <w:rsid w:val="00F00E2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00E27"/>
    <w:rPr>
      <w:color w:val="605E5C"/>
      <w:shd w:val="clear" w:color="auto" w:fill="E1DFDD"/>
    </w:rPr>
  </w:style>
  <w:style w:type="character" w:styleId="aa">
    <w:name w:val="line number"/>
    <w:basedOn w:val="a0"/>
    <w:uiPriority w:val="99"/>
    <w:semiHidden/>
    <w:unhideWhenUsed/>
    <w:rsid w:val="00E641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7150/thno.56604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960</Words>
  <Characters>5476</Characters>
  <Application>Microsoft Office Word</Application>
  <DocSecurity>0</DocSecurity>
  <Lines>45</Lines>
  <Paragraphs>12</Paragraphs>
  <ScaleCrop>false</ScaleCrop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Liping</dc:creator>
  <cp:lastModifiedBy>xiaoting Sun</cp:lastModifiedBy>
  <cp:revision>26</cp:revision>
  <cp:lastPrinted>2024-07-12T02:42:00Z</cp:lastPrinted>
  <dcterms:created xsi:type="dcterms:W3CDTF">2023-07-11T09:39:00Z</dcterms:created>
  <dcterms:modified xsi:type="dcterms:W3CDTF">2024-10-19T15:22:00Z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BB66ACBA5C17468DAF2CDCDE5DC3E037_12</vt:lpwstr>
  </property>
</Properties>
</file>