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F1A19" w:rsidRDefault="009F1A19" w:rsidP="009F1A19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9F1A19">
        <w:rPr>
          <w:rFonts w:ascii="Times New Roman" w:hAnsi="Times New Roman" w:cs="Times New Roman"/>
          <w:b/>
          <w:bCs/>
          <w:sz w:val="32"/>
          <w:szCs w:val="36"/>
        </w:rPr>
        <w:t>Supplementary Figures</w:t>
      </w:r>
    </w:p>
    <w:p w:rsidR="009F1A19" w:rsidRPr="009F1A19" w:rsidRDefault="009F1A19" w:rsidP="009F1A19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 w:rsidR="00055988" w:rsidRDefault="009F1A19" w:rsidP="009F1A19">
      <w:pPr>
        <w:jc w:val="center"/>
      </w:pPr>
      <w:r>
        <w:rPr>
          <w:noProof/>
        </w:rPr>
        <w:drawing>
          <wp:inline distT="0" distB="0" distL="0" distR="0">
            <wp:extent cx="4141922" cy="5899718"/>
            <wp:effectExtent l="0" t="0" r="0" b="6350"/>
            <wp:docPr id="6024787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292" cy="5917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A19" w:rsidRPr="009F1A19" w:rsidRDefault="009F1A19" w:rsidP="009F1A19">
      <w:pPr>
        <w:rPr>
          <w:rFonts w:ascii="Times New Roman" w:hAnsi="Times New Roman" w:cs="Times New Roman" w:hint="eastAsia"/>
          <w:b/>
          <w:bCs/>
          <w:sz w:val="22"/>
        </w:rPr>
      </w:pPr>
      <w:r w:rsidRPr="009F1A19">
        <w:rPr>
          <w:rFonts w:ascii="Times New Roman" w:eastAsia="Times New Roman" w:hAnsi="Times New Roman" w:cs="Times New Roman"/>
          <w:b/>
          <w:bCs/>
          <w:sz w:val="22"/>
        </w:rPr>
        <w:t>Fig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.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</w:rPr>
        <w:t>S1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 Manhattan plots and </w:t>
      </w:r>
      <w:bookmarkStart w:id="0" w:name="OLE_LINK23"/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QQ plots </w:t>
      </w:r>
      <w:bookmarkEnd w:id="0"/>
      <w:r w:rsidRPr="009F1A19">
        <w:rPr>
          <w:rFonts w:ascii="Times New Roman" w:eastAsia="Times New Roman" w:hAnsi="Times New Roman" w:cs="Times New Roman"/>
          <w:b/>
          <w:bCs/>
          <w:sz w:val="22"/>
        </w:rPr>
        <w:t>of XWAS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with recessive effect </w:t>
      </w:r>
    </w:p>
    <w:p w:rsidR="009F1A19" w:rsidRDefault="009F1A19" w:rsidP="009F1A19">
      <w:pPr>
        <w:spacing w:afterLines="100" w:after="312"/>
        <w:rPr>
          <w:rFonts w:ascii="Times New Roman" w:hAnsi="Times New Roman" w:cs="Times New Roman"/>
          <w:sz w:val="22"/>
        </w:rPr>
      </w:pPr>
      <w:r w:rsidRPr="009F1A19">
        <w:rPr>
          <w:rFonts w:ascii="Times New Roman" w:eastAsia="Times New Roman" w:hAnsi="Times New Roman" w:cs="Times New Roman"/>
          <w:sz w:val="22"/>
        </w:rPr>
        <w:t xml:space="preserve">Manhattan plots (left) and QQ plots (right) were presented for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a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>)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 xml:space="preserve"> and b)</w:t>
      </w:r>
      <w:r w:rsidRPr="009F1A19">
        <w:rPr>
          <w:rFonts w:ascii="Times New Roman" w:eastAsia="Times New Roman" w:hAnsi="Times New Roman" w:cs="Times New Roman"/>
          <w:sz w:val="22"/>
        </w:rPr>
        <w:t xml:space="preserve"> XWAS meta-analysis combining the female- and male-specific summary statistics from the gender-specific XWAS</w:t>
      </w:r>
      <w:r w:rsidRPr="009F1A19">
        <w:rPr>
          <w:rFonts w:ascii="Times New Roman" w:eastAsia="宋体" w:hAnsi="Times New Roman" w:cs="Times New Roman"/>
          <w:sz w:val="22"/>
        </w:rPr>
        <w:t>,</w:t>
      </w:r>
      <w:r w:rsidRPr="009F1A19">
        <w:rPr>
          <w:rFonts w:ascii="Times New Roman" w:eastAsia="Times New Roman" w:hAnsi="Times New Roman" w:cs="Times New Roman"/>
          <w:sz w:val="22"/>
        </w:rPr>
        <w:t xml:space="preserve">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c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)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and d)</w:t>
      </w:r>
      <w:r w:rsidRPr="009F1A19">
        <w:rPr>
          <w:rFonts w:ascii="Times New Roman" w:eastAsia="宋体" w:hAnsi="Times New Roman" w:cs="Times New Roman"/>
          <w:sz w:val="22"/>
        </w:rPr>
        <w:t xml:space="preserve"> </w:t>
      </w:r>
      <w:r w:rsidRPr="009F1A19">
        <w:rPr>
          <w:rFonts w:ascii="Times New Roman" w:eastAsia="Times New Roman" w:hAnsi="Times New Roman" w:cs="Times New Roman"/>
          <w:sz w:val="22"/>
        </w:rPr>
        <w:t>female-specific XWAS</w:t>
      </w:r>
      <w:r w:rsidRPr="009F1A19">
        <w:rPr>
          <w:rFonts w:ascii="Times New Roman" w:eastAsia="宋体" w:hAnsi="Times New Roman" w:cs="Times New Roman"/>
          <w:sz w:val="22"/>
        </w:rPr>
        <w:t>,</w:t>
      </w:r>
      <w:r w:rsidRPr="009F1A19">
        <w:rPr>
          <w:rFonts w:ascii="Times New Roman" w:eastAsia="Times New Roman" w:hAnsi="Times New Roman" w:cs="Times New Roman"/>
          <w:sz w:val="22"/>
        </w:rPr>
        <w:t xml:space="preserve">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e) and f)</w:t>
      </w:r>
      <w:r w:rsidRPr="009F1A19">
        <w:rPr>
          <w:rFonts w:ascii="Times New Roman" w:eastAsia="Times New Roman" w:hAnsi="Times New Roman" w:cs="Times New Roman"/>
          <w:sz w:val="22"/>
        </w:rPr>
        <w:t xml:space="preserve"> and male-specific XWAS respectively. X axis represented the positions of the SNP distribution and Y axis for the -log</w:t>
      </w:r>
      <w:r w:rsidRPr="009F1A19">
        <w:rPr>
          <w:rFonts w:ascii="Times New Roman" w:eastAsia="Times New Roman" w:hAnsi="Times New Roman" w:cs="Times New Roman"/>
          <w:sz w:val="22"/>
          <w:vertAlign w:val="subscript"/>
        </w:rPr>
        <w:t>10</w:t>
      </w:r>
      <w:r w:rsidRPr="009F1A19">
        <w:rPr>
          <w:rFonts w:ascii="Times New Roman" w:eastAsia="Times New Roman" w:hAnsi="Times New Roman" w:cs="Times New Roman"/>
          <w:sz w:val="22"/>
        </w:rPr>
        <w:t>(P). Red scatter above the gray dash line represented those SNPs reached the X chromosome-wide significance threshold (P &lt; 10</w:t>
      </w:r>
      <w:r w:rsidRPr="009F1A19">
        <w:rPr>
          <w:rFonts w:ascii="Times New Roman" w:hAnsi="Times New Roman" w:cs="Times New Roman" w:hint="eastAsia"/>
          <w:sz w:val="22"/>
        </w:rPr>
        <w:t>e</w:t>
      </w:r>
      <w:r w:rsidRPr="009F1A19">
        <w:rPr>
          <w:rFonts w:ascii="Times New Roman" w:eastAsia="Times New Roman" w:hAnsi="Times New Roman" w:cs="Times New Roman"/>
          <w:sz w:val="22"/>
          <w:vertAlign w:val="superscript"/>
        </w:rPr>
        <w:t>-</w:t>
      </w:r>
      <w:r w:rsidRPr="009F1A19">
        <w:rPr>
          <w:rFonts w:ascii="Times New Roman" w:hAnsi="Times New Roman" w:cs="Times New Roman" w:hint="eastAsia"/>
          <w:sz w:val="22"/>
          <w:vertAlign w:val="superscript"/>
        </w:rPr>
        <w:t>5</w:t>
      </w:r>
      <w:r w:rsidRPr="009F1A19">
        <w:rPr>
          <w:rFonts w:ascii="Times New Roman" w:eastAsia="Times New Roman" w:hAnsi="Times New Roman" w:cs="Times New Roman"/>
          <w:sz w:val="22"/>
        </w:rPr>
        <w:t>). Each QQ plot represented the distribution of observed -log</w:t>
      </w:r>
      <w:r w:rsidRPr="009F1A19">
        <w:rPr>
          <w:rFonts w:ascii="Times New Roman" w:eastAsia="Times New Roman" w:hAnsi="Times New Roman" w:cs="Times New Roman"/>
          <w:sz w:val="22"/>
          <w:vertAlign w:val="subscript"/>
        </w:rPr>
        <w:t>10</w:t>
      </w:r>
      <w:r w:rsidRPr="009F1A19">
        <w:rPr>
          <w:rFonts w:ascii="Times New Roman" w:eastAsia="Times New Roman" w:hAnsi="Times New Roman" w:cs="Times New Roman"/>
          <w:sz w:val="22"/>
        </w:rPr>
        <w:t xml:space="preserve"> transformed P-values (X axis) compared to expected -log</w:t>
      </w:r>
      <w:r w:rsidRPr="009F1A19">
        <w:rPr>
          <w:rFonts w:ascii="Times New Roman" w:eastAsia="Times New Roman" w:hAnsi="Times New Roman" w:cs="Times New Roman"/>
          <w:sz w:val="22"/>
          <w:vertAlign w:val="subscript"/>
        </w:rPr>
        <w:t>10</w:t>
      </w:r>
      <w:r w:rsidRPr="009F1A19">
        <w:rPr>
          <w:rFonts w:ascii="Times New Roman" w:eastAsia="Times New Roman" w:hAnsi="Times New Roman" w:cs="Times New Roman"/>
          <w:sz w:val="22"/>
        </w:rPr>
        <w:t xml:space="preserve"> transformed P-values (Y axis) in each analysis.</w:t>
      </w:r>
    </w:p>
    <w:p w:rsidR="009F1A19" w:rsidRDefault="009F1A19" w:rsidP="009F1A19">
      <w:pPr>
        <w:spacing w:afterLines="100" w:after="312"/>
        <w:rPr>
          <w:rFonts w:ascii="Times New Roman" w:hAnsi="Times New Roman" w:cs="Times New Roman"/>
          <w:sz w:val="22"/>
        </w:rPr>
      </w:pPr>
    </w:p>
    <w:p w:rsidR="009F1A19" w:rsidRDefault="009F1A19" w:rsidP="009F1A19">
      <w:pPr>
        <w:spacing w:afterLines="100" w:after="312"/>
        <w:rPr>
          <w:rFonts w:ascii="Times New Roman" w:hAnsi="Times New Roman" w:cs="Times New Roman"/>
          <w:sz w:val="22"/>
        </w:rPr>
      </w:pPr>
    </w:p>
    <w:p w:rsidR="009F1A19" w:rsidRPr="009F1A19" w:rsidRDefault="009F1A19" w:rsidP="009F1A19">
      <w:pPr>
        <w:spacing w:afterLines="100" w:after="312"/>
        <w:jc w:val="center"/>
        <w:rPr>
          <w:rFonts w:ascii="Times New Roman" w:hAnsi="Times New Roman" w:cs="Arial" w:hint="eastAsia"/>
          <w:sz w:val="22"/>
        </w:rPr>
      </w:pPr>
      <w:r>
        <w:rPr>
          <w:noProof/>
        </w:rPr>
        <w:drawing>
          <wp:inline distT="0" distB="0" distL="0" distR="0">
            <wp:extent cx="4508448" cy="6307810"/>
            <wp:effectExtent l="0" t="0" r="6985" b="0"/>
            <wp:docPr id="20609378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263" cy="63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A19" w:rsidRPr="009F1A19" w:rsidRDefault="009F1A19" w:rsidP="009F1A19">
      <w:pPr>
        <w:rPr>
          <w:rFonts w:ascii="Times New Roman" w:hAnsi="Times New Roman" w:cs="Times New Roman" w:hint="eastAsia"/>
          <w:b/>
          <w:bCs/>
          <w:sz w:val="22"/>
        </w:rPr>
      </w:pPr>
      <w:r w:rsidRPr="009F1A19">
        <w:rPr>
          <w:rFonts w:ascii="Times New Roman" w:eastAsia="Times New Roman" w:hAnsi="Times New Roman" w:cs="Times New Roman"/>
          <w:b/>
          <w:bCs/>
          <w:sz w:val="22"/>
        </w:rPr>
        <w:t>Fig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.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2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 Manhattan plots and QQ plots of XWAS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with </w:t>
      </w:r>
      <w:r>
        <w:rPr>
          <w:rFonts w:ascii="Times New Roman" w:hAnsi="Times New Roman" w:cs="Times New Roman" w:hint="eastAsia"/>
          <w:b/>
          <w:bCs/>
          <w:sz w:val="22"/>
        </w:rPr>
        <w:t>dominant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effect </w:t>
      </w:r>
    </w:p>
    <w:p w:rsidR="009F1A19" w:rsidRDefault="009F1A19" w:rsidP="009F1A19">
      <w:pPr>
        <w:spacing w:afterLines="100" w:after="312"/>
        <w:rPr>
          <w:rFonts w:ascii="Times New Roman" w:hAnsi="Times New Roman" w:cs="Times New Roman"/>
          <w:sz w:val="22"/>
        </w:rPr>
      </w:pPr>
      <w:r w:rsidRPr="009F1A19">
        <w:rPr>
          <w:rFonts w:ascii="Times New Roman" w:eastAsia="Times New Roman" w:hAnsi="Times New Roman" w:cs="Times New Roman"/>
          <w:sz w:val="22"/>
        </w:rPr>
        <w:t xml:space="preserve">Manhattan plots (left) and QQ plots (right) were presented for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a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>)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 xml:space="preserve"> and b)</w:t>
      </w:r>
      <w:r w:rsidRPr="009F1A19">
        <w:rPr>
          <w:rFonts w:ascii="Times New Roman" w:eastAsia="Times New Roman" w:hAnsi="Times New Roman" w:cs="Times New Roman"/>
          <w:sz w:val="22"/>
        </w:rPr>
        <w:t xml:space="preserve"> XWAS meta-analysis combining the female- and male-specific summary statistics from the gender-specific XWAS</w:t>
      </w:r>
      <w:r w:rsidRPr="009F1A19">
        <w:rPr>
          <w:rFonts w:ascii="Times New Roman" w:eastAsia="宋体" w:hAnsi="Times New Roman" w:cs="Times New Roman"/>
          <w:sz w:val="22"/>
        </w:rPr>
        <w:t>,</w:t>
      </w:r>
      <w:r w:rsidRPr="009F1A19">
        <w:rPr>
          <w:rFonts w:ascii="Times New Roman" w:eastAsia="Times New Roman" w:hAnsi="Times New Roman" w:cs="Times New Roman"/>
          <w:sz w:val="22"/>
        </w:rPr>
        <w:t xml:space="preserve">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c</w:t>
      </w:r>
      <w:r w:rsidRPr="009F1A19">
        <w:rPr>
          <w:rFonts w:ascii="Times New Roman" w:eastAsia="Times New Roman" w:hAnsi="Times New Roman" w:cs="Times New Roman"/>
          <w:b/>
          <w:bCs/>
          <w:sz w:val="22"/>
        </w:rPr>
        <w:t xml:space="preserve">)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and d)</w:t>
      </w:r>
      <w:r w:rsidRPr="009F1A19">
        <w:rPr>
          <w:rFonts w:ascii="Times New Roman" w:eastAsia="宋体" w:hAnsi="Times New Roman" w:cs="Times New Roman"/>
          <w:sz w:val="22"/>
        </w:rPr>
        <w:t xml:space="preserve"> </w:t>
      </w:r>
      <w:r w:rsidRPr="009F1A19">
        <w:rPr>
          <w:rFonts w:ascii="Times New Roman" w:eastAsia="Times New Roman" w:hAnsi="Times New Roman" w:cs="Times New Roman"/>
          <w:sz w:val="22"/>
        </w:rPr>
        <w:t>female-specific XWAS</w:t>
      </w:r>
      <w:r w:rsidRPr="009F1A19">
        <w:rPr>
          <w:rFonts w:ascii="Times New Roman" w:eastAsia="宋体" w:hAnsi="Times New Roman" w:cs="Times New Roman"/>
          <w:sz w:val="22"/>
        </w:rPr>
        <w:t>,</w:t>
      </w:r>
      <w:r w:rsidRPr="009F1A19">
        <w:rPr>
          <w:rFonts w:ascii="Times New Roman" w:eastAsia="Times New Roman" w:hAnsi="Times New Roman" w:cs="Times New Roman"/>
          <w:sz w:val="22"/>
        </w:rPr>
        <w:t xml:space="preserve"> </w:t>
      </w:r>
      <w:r w:rsidRPr="009F1A19">
        <w:rPr>
          <w:rFonts w:ascii="Times New Roman" w:eastAsia="宋体" w:hAnsi="Times New Roman" w:cs="Times New Roman"/>
          <w:b/>
          <w:bCs/>
          <w:sz w:val="22"/>
        </w:rPr>
        <w:t>e) and f)</w:t>
      </w:r>
      <w:r w:rsidRPr="009F1A19">
        <w:rPr>
          <w:rFonts w:ascii="Times New Roman" w:eastAsia="Times New Roman" w:hAnsi="Times New Roman" w:cs="Times New Roman"/>
          <w:sz w:val="22"/>
        </w:rPr>
        <w:t xml:space="preserve"> and male-specific XWAS respectively. X axis represented the positions of the SNP distribution and Y axis for the -log</w:t>
      </w:r>
      <w:r w:rsidRPr="009F1A19">
        <w:rPr>
          <w:rFonts w:ascii="Times New Roman" w:eastAsia="Times New Roman" w:hAnsi="Times New Roman" w:cs="Times New Roman"/>
          <w:sz w:val="22"/>
          <w:vertAlign w:val="subscript"/>
        </w:rPr>
        <w:t>10</w:t>
      </w:r>
      <w:r w:rsidRPr="009F1A19">
        <w:rPr>
          <w:rFonts w:ascii="Times New Roman" w:eastAsia="Times New Roman" w:hAnsi="Times New Roman" w:cs="Times New Roman"/>
          <w:sz w:val="22"/>
        </w:rPr>
        <w:t>(P). Red scatter above the gray dash line represented those SNPs reached the X chromosome-wide significance threshold (P &lt; 10</w:t>
      </w:r>
      <w:r w:rsidRPr="009F1A19">
        <w:rPr>
          <w:rFonts w:ascii="Times New Roman" w:hAnsi="Times New Roman" w:cs="Times New Roman" w:hint="eastAsia"/>
          <w:sz w:val="22"/>
        </w:rPr>
        <w:t>e</w:t>
      </w:r>
      <w:r w:rsidRPr="009F1A19">
        <w:rPr>
          <w:rFonts w:ascii="Times New Roman" w:eastAsia="Times New Roman" w:hAnsi="Times New Roman" w:cs="Times New Roman"/>
          <w:sz w:val="22"/>
          <w:vertAlign w:val="superscript"/>
        </w:rPr>
        <w:t>-</w:t>
      </w:r>
      <w:r w:rsidRPr="009F1A19">
        <w:rPr>
          <w:rFonts w:ascii="Times New Roman" w:hAnsi="Times New Roman" w:cs="Times New Roman" w:hint="eastAsia"/>
          <w:sz w:val="22"/>
          <w:vertAlign w:val="superscript"/>
        </w:rPr>
        <w:t>5</w:t>
      </w:r>
      <w:r w:rsidRPr="009F1A19">
        <w:rPr>
          <w:rFonts w:ascii="Times New Roman" w:eastAsia="Times New Roman" w:hAnsi="Times New Roman" w:cs="Times New Roman"/>
          <w:sz w:val="22"/>
        </w:rPr>
        <w:t>). Each QQ plot represented the distribution of observed -log</w:t>
      </w:r>
      <w:r w:rsidRPr="009F1A19">
        <w:rPr>
          <w:rFonts w:ascii="Times New Roman" w:eastAsia="Times New Roman" w:hAnsi="Times New Roman" w:cs="Times New Roman"/>
          <w:sz w:val="22"/>
          <w:vertAlign w:val="subscript"/>
        </w:rPr>
        <w:t>10</w:t>
      </w:r>
      <w:r w:rsidRPr="009F1A19">
        <w:rPr>
          <w:rFonts w:ascii="Times New Roman" w:eastAsia="Times New Roman" w:hAnsi="Times New Roman" w:cs="Times New Roman"/>
          <w:sz w:val="22"/>
        </w:rPr>
        <w:t xml:space="preserve"> transformed P-values (X axis) compared to expected -log</w:t>
      </w:r>
      <w:r w:rsidRPr="009F1A19">
        <w:rPr>
          <w:rFonts w:ascii="Times New Roman" w:eastAsia="Times New Roman" w:hAnsi="Times New Roman" w:cs="Times New Roman"/>
          <w:sz w:val="22"/>
          <w:vertAlign w:val="subscript"/>
        </w:rPr>
        <w:t>10</w:t>
      </w:r>
      <w:r w:rsidRPr="009F1A19">
        <w:rPr>
          <w:rFonts w:ascii="Times New Roman" w:eastAsia="Times New Roman" w:hAnsi="Times New Roman" w:cs="Times New Roman"/>
          <w:sz w:val="22"/>
        </w:rPr>
        <w:t xml:space="preserve"> transformed P-values (Y axis) in each analysis.</w:t>
      </w:r>
    </w:p>
    <w:sectPr w:rsidR="009F1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A19"/>
    <w:rsid w:val="00055988"/>
    <w:rsid w:val="002D3C4E"/>
    <w:rsid w:val="00586D74"/>
    <w:rsid w:val="005B7777"/>
    <w:rsid w:val="00720CF1"/>
    <w:rsid w:val="009F1A19"/>
    <w:rsid w:val="00A2139A"/>
    <w:rsid w:val="00D008EF"/>
    <w:rsid w:val="00D3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0FCC3"/>
  <w15:chartTrackingRefBased/>
  <w15:docId w15:val="{DFCE24FD-398C-40A5-ABC0-D8DCE485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aliases w:val="ESRD目录"/>
    <w:basedOn w:val="a"/>
    <w:next w:val="a"/>
    <w:autoRedefine/>
    <w:uiPriority w:val="39"/>
    <w:unhideWhenUsed/>
    <w:qFormat/>
    <w:rsid w:val="005B7777"/>
    <w:pPr>
      <w:spacing w:line="360" w:lineRule="auto"/>
      <w:jc w:val="left"/>
    </w:pPr>
    <w:rPr>
      <w:rFonts w:ascii="Times New Roman" w:eastAsia="宋体" w:hAnsi="Times New Roman"/>
      <w:bCs/>
      <w:smallCap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xiaohong zhou</dc:creator>
  <cp:keywords/>
  <dc:description/>
  <cp:lastModifiedBy>xiaohong zhou</cp:lastModifiedBy>
  <cp:revision>2</cp:revision>
  <dcterms:created xsi:type="dcterms:W3CDTF">2024-10-18T09:18:00Z</dcterms:created>
  <dcterms:modified xsi:type="dcterms:W3CDTF">2024-10-18T09:29:00Z</dcterms:modified>
</cp:coreProperties>
</file>