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91A547" w14:textId="0456C841" w:rsidR="001270E6" w:rsidRPr="00C55766" w:rsidRDefault="00A8344E" w:rsidP="001270E6">
      <w:pPr>
        <w:tabs>
          <w:tab w:val="left" w:pos="720"/>
        </w:tabs>
        <w:spacing w:line="480" w:lineRule="auto"/>
        <w:ind w:left="540" w:hanging="540"/>
        <w:rPr>
          <w:rFonts w:ascii="Arial" w:eastAsia="Calibri" w:hAnsi="Arial" w:cs="Arial"/>
          <w:b/>
          <w:bCs/>
          <w:u w:val="single"/>
        </w:rPr>
      </w:pPr>
      <w:r>
        <w:rPr>
          <w:rFonts w:ascii="Arial" w:eastAsia="Calibri" w:hAnsi="Arial" w:cs="Arial"/>
          <w:b/>
          <w:bCs/>
          <w:u w:val="single"/>
        </w:rPr>
        <w:t>SUPPLEMENTARY MATERIALS</w:t>
      </w:r>
    </w:p>
    <w:p w14:paraId="060B7B9D" w14:textId="37467BF0" w:rsidR="00DE6824" w:rsidRPr="00A8344E" w:rsidRDefault="00DE6824" w:rsidP="00A8344E">
      <w:pPr>
        <w:spacing w:after="240" w:line="480" w:lineRule="auto"/>
        <w:rPr>
          <w:rFonts w:ascii="Arial" w:hAnsi="Arial" w:cs="Arial"/>
          <w:b/>
        </w:rPr>
      </w:pPr>
      <w:r w:rsidRPr="00A8344E">
        <w:rPr>
          <w:rFonts w:ascii="Arial" w:hAnsi="Arial" w:cs="Arial"/>
          <w:b/>
        </w:rPr>
        <w:t xml:space="preserve">Elevated salinity and water table drawdown significantly affect greenhouse gas emissions in soils from contrasting land-use practices in the </w:t>
      </w:r>
      <w:r w:rsidR="00FB6CF8">
        <w:rPr>
          <w:rFonts w:ascii="Arial" w:hAnsi="Arial" w:cs="Arial"/>
          <w:b/>
        </w:rPr>
        <w:t>p</w:t>
      </w:r>
      <w:r w:rsidRPr="00A8344E">
        <w:rPr>
          <w:rFonts w:ascii="Arial" w:hAnsi="Arial" w:cs="Arial"/>
          <w:b/>
        </w:rPr>
        <w:t xml:space="preserve">rairie </w:t>
      </w:r>
      <w:r w:rsidR="00FB6CF8">
        <w:rPr>
          <w:rFonts w:ascii="Arial" w:hAnsi="Arial" w:cs="Arial"/>
          <w:b/>
        </w:rPr>
        <w:t>p</w:t>
      </w:r>
      <w:r w:rsidRPr="00A8344E">
        <w:rPr>
          <w:rFonts w:ascii="Arial" w:hAnsi="Arial" w:cs="Arial"/>
          <w:b/>
        </w:rPr>
        <w:t xml:space="preserve">othole </w:t>
      </w:r>
      <w:r w:rsidR="00FB6CF8">
        <w:rPr>
          <w:rFonts w:ascii="Arial" w:hAnsi="Arial" w:cs="Arial"/>
          <w:b/>
        </w:rPr>
        <w:t>r</w:t>
      </w:r>
      <w:r w:rsidRPr="00A8344E">
        <w:rPr>
          <w:rFonts w:ascii="Arial" w:hAnsi="Arial" w:cs="Arial"/>
          <w:b/>
        </w:rPr>
        <w:t xml:space="preserve">egion </w:t>
      </w:r>
    </w:p>
    <w:p w14:paraId="57B37C69" w14:textId="77777777" w:rsidR="00DE6824" w:rsidRPr="00C55766" w:rsidRDefault="00DE6824" w:rsidP="00DE6824">
      <w:pPr>
        <w:spacing w:after="0" w:line="480" w:lineRule="auto"/>
        <w:rPr>
          <w:rFonts w:ascii="Arial" w:eastAsia="Calibri" w:hAnsi="Arial" w:cs="Arial"/>
        </w:rPr>
      </w:pPr>
      <w:r w:rsidRPr="00C55766">
        <w:rPr>
          <w:rFonts w:ascii="Arial" w:eastAsia="Calibri" w:hAnsi="Arial" w:cs="Arial"/>
        </w:rPr>
        <w:t>Shayeb Shahariar</w:t>
      </w:r>
      <w:r w:rsidRPr="00C55766">
        <w:rPr>
          <w:rFonts w:ascii="Arial" w:eastAsia="Calibri" w:hAnsi="Arial" w:cs="Arial"/>
          <w:vertAlign w:val="superscript"/>
        </w:rPr>
        <w:t>1</w:t>
      </w:r>
      <w:r w:rsidRPr="00C55766">
        <w:rPr>
          <w:rFonts w:ascii="Arial" w:eastAsia="Calibri" w:hAnsi="Arial" w:cs="Arial"/>
        </w:rPr>
        <w:t>*, Richard Farrell</w:t>
      </w:r>
      <w:r w:rsidRPr="00C55766">
        <w:rPr>
          <w:rFonts w:ascii="Arial" w:eastAsia="Calibri" w:hAnsi="Arial" w:cs="Arial"/>
          <w:vertAlign w:val="superscript"/>
        </w:rPr>
        <w:t>1</w:t>
      </w:r>
      <w:r w:rsidRPr="00C55766">
        <w:rPr>
          <w:rFonts w:ascii="Arial" w:eastAsia="Calibri" w:hAnsi="Arial" w:cs="Arial"/>
        </w:rPr>
        <w:t>, Raju Soolanayakanahally</w:t>
      </w:r>
      <w:r w:rsidRPr="00C55766">
        <w:rPr>
          <w:rFonts w:ascii="Arial" w:eastAsia="Calibri" w:hAnsi="Arial" w:cs="Arial"/>
          <w:vertAlign w:val="superscript"/>
        </w:rPr>
        <w:t>2</w:t>
      </w:r>
      <w:r w:rsidRPr="00C55766">
        <w:rPr>
          <w:rFonts w:ascii="Arial" w:eastAsia="Calibri" w:hAnsi="Arial" w:cs="Arial"/>
        </w:rPr>
        <w:t>, Angela Bedard-Haughn</w:t>
      </w:r>
      <w:r w:rsidRPr="00C55766">
        <w:rPr>
          <w:rFonts w:ascii="Arial" w:eastAsia="Calibri" w:hAnsi="Arial" w:cs="Arial"/>
          <w:vertAlign w:val="superscript"/>
        </w:rPr>
        <w:t>1</w:t>
      </w:r>
    </w:p>
    <w:p w14:paraId="1BB8A8F4" w14:textId="77777777" w:rsidR="00DE6824" w:rsidRPr="00C55766" w:rsidRDefault="00DE6824" w:rsidP="00DE6824">
      <w:pPr>
        <w:numPr>
          <w:ilvl w:val="0"/>
          <w:numId w:val="4"/>
        </w:numPr>
        <w:spacing w:after="0" w:line="480" w:lineRule="auto"/>
        <w:rPr>
          <w:rFonts w:ascii="Arial" w:eastAsia="Calibri" w:hAnsi="Arial" w:cs="Arial"/>
        </w:rPr>
      </w:pPr>
      <w:r w:rsidRPr="00C55766">
        <w:rPr>
          <w:rFonts w:ascii="Arial" w:eastAsia="Calibri" w:hAnsi="Arial" w:cs="Arial"/>
        </w:rPr>
        <w:t>Department of Soil Science, College of Agriculture and Bioresources, University of Saskatchewan, 51 Campus Drive, Saskatoon SK S7N 5A8 Canada</w:t>
      </w:r>
    </w:p>
    <w:p w14:paraId="3FFB3F91" w14:textId="2E57FA86" w:rsidR="00DE6824" w:rsidRPr="00C55766" w:rsidRDefault="00DE6824" w:rsidP="00A8344E">
      <w:pPr>
        <w:numPr>
          <w:ilvl w:val="0"/>
          <w:numId w:val="4"/>
        </w:numPr>
        <w:spacing w:after="240" w:line="480" w:lineRule="auto"/>
        <w:rPr>
          <w:rFonts w:ascii="Arial" w:eastAsia="Calibri" w:hAnsi="Arial" w:cs="Arial"/>
        </w:rPr>
      </w:pPr>
      <w:r w:rsidRPr="00C55766">
        <w:rPr>
          <w:rFonts w:ascii="Arial" w:eastAsia="Calibri" w:hAnsi="Arial" w:cs="Arial"/>
        </w:rPr>
        <w:t>Indian Head Research Farm, Agriculture and Agri-Food Canada, Indian Head SK S0G 2K0 Canada</w:t>
      </w:r>
    </w:p>
    <w:p w14:paraId="24C26862" w14:textId="77777777" w:rsidR="00DE6824" w:rsidRPr="00A332B4" w:rsidRDefault="00DE6824" w:rsidP="00DE6824">
      <w:pPr>
        <w:spacing w:after="0" w:line="480" w:lineRule="auto"/>
        <w:rPr>
          <w:rFonts w:ascii="Arial" w:eastAsia="Calibri" w:hAnsi="Arial" w:cs="Arial"/>
          <w:b/>
          <w:bCs/>
          <w:i/>
          <w:iCs/>
        </w:rPr>
      </w:pPr>
      <w:r w:rsidRPr="00A332B4">
        <w:rPr>
          <w:rFonts w:ascii="Arial" w:eastAsia="Calibri" w:hAnsi="Arial" w:cs="Arial"/>
          <w:b/>
          <w:bCs/>
          <w:i/>
          <w:iCs/>
        </w:rPr>
        <w:t>Corresponding Author Name and Address:</w:t>
      </w:r>
    </w:p>
    <w:p w14:paraId="00AD499B" w14:textId="26A90749" w:rsidR="00DE6824" w:rsidRPr="00C55766" w:rsidRDefault="00DE6824" w:rsidP="00DE6824">
      <w:pPr>
        <w:spacing w:after="0" w:line="480" w:lineRule="auto"/>
        <w:rPr>
          <w:rFonts w:ascii="Arial" w:eastAsia="Calibri" w:hAnsi="Arial" w:cs="Arial"/>
        </w:rPr>
      </w:pPr>
      <w:r w:rsidRPr="00C55766">
        <w:rPr>
          <w:rFonts w:ascii="Arial" w:eastAsia="Calibri" w:hAnsi="Arial" w:cs="Arial"/>
        </w:rPr>
        <w:t>Shayeb Shahariar</w:t>
      </w:r>
      <w:r w:rsidR="00C2152C">
        <w:rPr>
          <w:rFonts w:ascii="Arial" w:eastAsia="Calibri" w:hAnsi="Arial" w:cs="Arial"/>
        </w:rPr>
        <w:t xml:space="preserve">, </w:t>
      </w:r>
      <w:r w:rsidRPr="00C55766">
        <w:rPr>
          <w:rFonts w:ascii="Arial" w:eastAsia="Calibri" w:hAnsi="Arial" w:cs="Arial"/>
        </w:rPr>
        <w:t>Department of Soil Science, College of Agriculture and Bioresources, University of Saskatchewan, 51 Campus Drive, Saskatoon SK S7N 5A8 Canada</w:t>
      </w:r>
    </w:p>
    <w:p w14:paraId="74E0F560" w14:textId="77777777" w:rsidR="001C7AD6" w:rsidRPr="00C55766" w:rsidRDefault="00DE6824" w:rsidP="00C2152C">
      <w:pPr>
        <w:spacing w:after="240" w:line="480" w:lineRule="auto"/>
        <w:rPr>
          <w:rFonts w:ascii="Arial" w:eastAsia="Calibri" w:hAnsi="Arial" w:cs="Arial"/>
        </w:rPr>
      </w:pPr>
      <w:r w:rsidRPr="00C55766">
        <w:rPr>
          <w:rFonts w:ascii="Arial" w:eastAsia="Calibri" w:hAnsi="Arial" w:cs="Arial"/>
        </w:rPr>
        <w:t xml:space="preserve">E-mail: </w:t>
      </w:r>
      <w:hyperlink r:id="rId5" w:history="1">
        <w:r w:rsidRPr="00C55766">
          <w:rPr>
            <w:rFonts w:ascii="Arial" w:eastAsia="Calibri" w:hAnsi="Arial" w:cs="Arial"/>
            <w:color w:val="0563C1"/>
          </w:rPr>
          <w:t>shayeb.shahariar@usask.ca</w:t>
        </w:r>
      </w:hyperlink>
      <w:r w:rsidRPr="00C55766">
        <w:rPr>
          <w:rFonts w:ascii="Arial" w:eastAsia="Calibri" w:hAnsi="Arial" w:cs="Arial"/>
        </w:rPr>
        <w:t>; Phone: +1 306 966 4299</w:t>
      </w:r>
    </w:p>
    <w:p w14:paraId="70BB41D4" w14:textId="2BAD2F8B" w:rsidR="001C7AD6" w:rsidRPr="00A332B4" w:rsidRDefault="001C7AD6" w:rsidP="001C7AD6">
      <w:pPr>
        <w:spacing w:after="0" w:line="480" w:lineRule="auto"/>
        <w:rPr>
          <w:rFonts w:ascii="Arial" w:eastAsia="Calibri" w:hAnsi="Arial" w:cs="Arial"/>
          <w:b/>
          <w:bCs/>
          <w:i/>
          <w:iCs/>
        </w:rPr>
      </w:pPr>
      <w:r w:rsidRPr="00A332B4">
        <w:rPr>
          <w:rFonts w:ascii="Arial" w:eastAsia="Calibri" w:hAnsi="Arial" w:cs="Arial"/>
          <w:b/>
          <w:bCs/>
          <w:i/>
          <w:iCs/>
        </w:rPr>
        <w:t>Funding information</w:t>
      </w:r>
      <w:r w:rsidR="00A332B4" w:rsidRPr="00A332B4">
        <w:rPr>
          <w:rFonts w:ascii="Arial" w:eastAsia="Calibri" w:hAnsi="Arial" w:cs="Arial"/>
          <w:b/>
          <w:bCs/>
          <w:i/>
          <w:iCs/>
        </w:rPr>
        <w:t>:</w:t>
      </w:r>
    </w:p>
    <w:p w14:paraId="34D316FA" w14:textId="289538AB" w:rsidR="00656FDA" w:rsidRDefault="00F6668A" w:rsidP="001C7AD6">
      <w:pPr>
        <w:spacing w:after="0" w:line="480" w:lineRule="auto"/>
        <w:rPr>
          <w:rFonts w:ascii="Arial" w:eastAsia="Calibri" w:hAnsi="Arial" w:cs="Arial"/>
        </w:rPr>
      </w:pPr>
      <w:r w:rsidRPr="00F6668A">
        <w:rPr>
          <w:rFonts w:ascii="Arial" w:eastAsia="Calibri" w:hAnsi="Arial" w:cs="Arial"/>
        </w:rPr>
        <w:t>Natural Sciences and Engineering Research Council of Canada (NSERC)</w:t>
      </w:r>
    </w:p>
    <w:p w14:paraId="7FABB70F" w14:textId="41A8F24C" w:rsidR="00F6668A" w:rsidRPr="00F6668A" w:rsidRDefault="00A332B4" w:rsidP="001C7AD6">
      <w:pPr>
        <w:spacing w:after="0" w:line="480" w:lineRule="auto"/>
        <w:rPr>
          <w:rFonts w:ascii="Arial" w:eastAsia="Calibri" w:hAnsi="Arial" w:cs="Arial"/>
        </w:rPr>
      </w:pPr>
      <w:r w:rsidRPr="00A332B4">
        <w:rPr>
          <w:rFonts w:ascii="Arial" w:eastAsia="Calibri" w:hAnsi="Arial" w:cs="Arial"/>
        </w:rPr>
        <w:t>Agriculture and Agri-Food Canada (AAFC)</w:t>
      </w:r>
    </w:p>
    <w:p w14:paraId="77F27870" w14:textId="137453B0" w:rsidR="001C7AD6" w:rsidRPr="001C7AD6" w:rsidRDefault="001C7AD6" w:rsidP="001C7AD6">
      <w:pPr>
        <w:spacing w:after="0" w:line="480" w:lineRule="auto"/>
        <w:rPr>
          <w:rFonts w:ascii="Arial" w:eastAsia="Calibri" w:hAnsi="Arial" w:cs="Arial"/>
          <w:sz w:val="20"/>
          <w:szCs w:val="20"/>
        </w:rPr>
        <w:sectPr w:rsidR="001C7AD6" w:rsidRPr="001C7AD6" w:rsidSect="00FF50BC">
          <w:pgSz w:w="12240" w:h="15840"/>
          <w:pgMar w:top="1440" w:right="1440" w:bottom="1440" w:left="1440" w:header="709" w:footer="709" w:gutter="0"/>
          <w:lnNumType w:countBy="1" w:restart="continuous"/>
          <w:cols w:space="708"/>
          <w:docGrid w:linePitch="360"/>
        </w:sectPr>
      </w:pPr>
    </w:p>
    <w:p w14:paraId="1FC49AD6" w14:textId="77777777" w:rsidR="005F2699" w:rsidRPr="005F2699" w:rsidRDefault="005F2699" w:rsidP="005F2699">
      <w:pPr>
        <w:spacing w:line="480" w:lineRule="auto"/>
        <w:rPr>
          <w:rFonts w:ascii="Arial" w:eastAsia="Calibri" w:hAnsi="Arial" w:cs="Arial"/>
        </w:rPr>
      </w:pPr>
      <w:r w:rsidRPr="005F2699">
        <w:rPr>
          <w:rFonts w:ascii="Arial" w:eastAsia="Calibri" w:hAnsi="Arial" w:cs="Arial"/>
          <w:b/>
          <w:bCs/>
        </w:rPr>
        <w:lastRenderedPageBreak/>
        <w:t>Supplementary Table 1</w:t>
      </w:r>
      <w:r w:rsidRPr="005F2699">
        <w:rPr>
          <w:rFonts w:ascii="Arial" w:eastAsia="Calibri" w:hAnsi="Arial" w:cs="Arial"/>
        </w:rPr>
        <w:t xml:space="preserve"> Physicochemical characteristics of soil used for microcosm experiment. </w:t>
      </w:r>
    </w:p>
    <w:tbl>
      <w:tblPr>
        <w:tblW w:w="12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4A0" w:firstRow="1" w:lastRow="0" w:firstColumn="1" w:lastColumn="0" w:noHBand="0" w:noVBand="1"/>
      </w:tblPr>
      <w:tblGrid>
        <w:gridCol w:w="630"/>
        <w:gridCol w:w="810"/>
        <w:gridCol w:w="535"/>
        <w:gridCol w:w="540"/>
        <w:gridCol w:w="630"/>
        <w:gridCol w:w="630"/>
        <w:gridCol w:w="810"/>
        <w:gridCol w:w="985"/>
        <w:gridCol w:w="545"/>
        <w:gridCol w:w="630"/>
        <w:gridCol w:w="900"/>
        <w:gridCol w:w="630"/>
        <w:gridCol w:w="815"/>
        <w:gridCol w:w="810"/>
        <w:gridCol w:w="900"/>
        <w:gridCol w:w="540"/>
        <w:gridCol w:w="810"/>
        <w:gridCol w:w="810"/>
      </w:tblGrid>
      <w:tr w:rsidR="005F2699" w:rsidRPr="005F2699" w14:paraId="0EDA155A" w14:textId="77777777" w:rsidTr="005F2699">
        <w:trPr>
          <w:trHeight w:val="710"/>
          <w:jc w:val="center"/>
        </w:trPr>
        <w:tc>
          <w:tcPr>
            <w:tcW w:w="630" w:type="dxa"/>
            <w:tcBorders>
              <w:left w:val="nil"/>
              <w:bottom w:val="single" w:sz="4" w:space="0" w:color="auto"/>
              <w:right w:val="nil"/>
            </w:tcBorders>
            <w:shd w:val="clear" w:color="auto" w:fill="auto"/>
            <w:noWrap/>
            <w:hideMark/>
          </w:tcPr>
          <w:p w14:paraId="5474CAD9"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Site</w:t>
            </w:r>
          </w:p>
        </w:tc>
        <w:tc>
          <w:tcPr>
            <w:tcW w:w="810" w:type="dxa"/>
            <w:tcBorders>
              <w:left w:val="nil"/>
              <w:bottom w:val="single" w:sz="4" w:space="0" w:color="auto"/>
              <w:right w:val="nil"/>
            </w:tcBorders>
            <w:shd w:val="clear" w:color="auto" w:fill="auto"/>
            <w:noWrap/>
            <w:hideMark/>
          </w:tcPr>
          <w:p w14:paraId="1F96CF22"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Land-use </w:t>
            </w:r>
          </w:p>
          <w:p w14:paraId="77951F31"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practice</w:t>
            </w:r>
          </w:p>
        </w:tc>
        <w:tc>
          <w:tcPr>
            <w:tcW w:w="535" w:type="dxa"/>
            <w:tcBorders>
              <w:left w:val="nil"/>
              <w:bottom w:val="single" w:sz="4" w:space="0" w:color="auto"/>
              <w:right w:val="nil"/>
            </w:tcBorders>
            <w:shd w:val="clear" w:color="auto" w:fill="auto"/>
            <w:noWrap/>
            <w:hideMark/>
          </w:tcPr>
          <w:p w14:paraId="2EDAA4D2"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pH</w:t>
            </w:r>
          </w:p>
        </w:tc>
        <w:tc>
          <w:tcPr>
            <w:tcW w:w="540" w:type="dxa"/>
            <w:tcBorders>
              <w:left w:val="nil"/>
              <w:bottom w:val="single" w:sz="4" w:space="0" w:color="auto"/>
              <w:right w:val="nil"/>
            </w:tcBorders>
            <w:shd w:val="clear" w:color="auto" w:fill="auto"/>
            <w:noWrap/>
            <w:hideMark/>
          </w:tcPr>
          <w:p w14:paraId="14F1D63F"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EC </w:t>
            </w:r>
          </w:p>
          <w:p w14:paraId="1CB4ED14"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 xml:space="preserve">(mS </w:t>
            </w:r>
            <w:proofErr w:type="gramStart"/>
            <w:r w:rsidRPr="005F2699">
              <w:rPr>
                <w:rFonts w:ascii="Arial" w:eastAsia="Times New Roman" w:hAnsi="Arial" w:cs="Arial"/>
                <w:b/>
                <w:bCs/>
                <w:color w:val="000000"/>
                <w:sz w:val="16"/>
                <w:szCs w:val="16"/>
                <w:lang w:bidi="bn-BD"/>
              </w:rPr>
              <w:t>cm</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w:t>
            </w:r>
          </w:p>
        </w:tc>
        <w:tc>
          <w:tcPr>
            <w:tcW w:w="630" w:type="dxa"/>
            <w:tcBorders>
              <w:left w:val="nil"/>
              <w:bottom w:val="single" w:sz="4" w:space="0" w:color="auto"/>
              <w:right w:val="nil"/>
            </w:tcBorders>
            <w:shd w:val="clear" w:color="auto" w:fill="auto"/>
            <w:noWrap/>
            <w:hideMark/>
          </w:tcPr>
          <w:p w14:paraId="63F7E8F6"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Soil </w:t>
            </w:r>
          </w:p>
          <w:p w14:paraId="38B11742"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texture</w:t>
            </w:r>
          </w:p>
        </w:tc>
        <w:tc>
          <w:tcPr>
            <w:tcW w:w="630" w:type="dxa"/>
            <w:tcBorders>
              <w:left w:val="nil"/>
              <w:bottom w:val="single" w:sz="4" w:space="0" w:color="auto"/>
              <w:right w:val="nil"/>
            </w:tcBorders>
            <w:shd w:val="clear" w:color="auto" w:fill="auto"/>
            <w:noWrap/>
            <w:hideMark/>
          </w:tcPr>
          <w:p w14:paraId="7CD61C69"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Clay </w:t>
            </w:r>
          </w:p>
          <w:p w14:paraId="3D0CD564"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w:t>
            </w:r>
          </w:p>
        </w:tc>
        <w:tc>
          <w:tcPr>
            <w:tcW w:w="810" w:type="dxa"/>
            <w:tcBorders>
              <w:left w:val="nil"/>
              <w:bottom w:val="single" w:sz="4" w:space="0" w:color="auto"/>
              <w:right w:val="nil"/>
            </w:tcBorders>
            <w:shd w:val="clear" w:color="auto" w:fill="auto"/>
            <w:noWrap/>
            <w:hideMark/>
          </w:tcPr>
          <w:p w14:paraId="306330E0"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Bulk </w:t>
            </w:r>
          </w:p>
          <w:p w14:paraId="6856C927"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density </w:t>
            </w:r>
          </w:p>
          <w:p w14:paraId="646FDDD1"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(g </w:t>
            </w:r>
            <w:proofErr w:type="gramStart"/>
            <w:r w:rsidRPr="005F2699">
              <w:rPr>
                <w:rFonts w:ascii="Arial" w:eastAsia="Times New Roman" w:hAnsi="Arial" w:cs="Arial"/>
                <w:b/>
                <w:bCs/>
                <w:color w:val="000000"/>
                <w:sz w:val="16"/>
                <w:szCs w:val="16"/>
                <w:lang w:bidi="bn-BD"/>
              </w:rPr>
              <w:t>cm</w:t>
            </w:r>
            <w:r w:rsidRPr="005F2699">
              <w:rPr>
                <w:rFonts w:ascii="Arial" w:eastAsia="Times New Roman" w:hAnsi="Arial" w:cs="Arial"/>
                <w:b/>
                <w:bCs/>
                <w:color w:val="000000"/>
                <w:sz w:val="16"/>
                <w:szCs w:val="16"/>
                <w:vertAlign w:val="superscript"/>
                <w:lang w:bidi="bn-BD"/>
              </w:rPr>
              <w:t>-3</w:t>
            </w:r>
            <w:proofErr w:type="gramEnd"/>
            <w:r w:rsidRPr="005F2699">
              <w:rPr>
                <w:rFonts w:ascii="Arial" w:eastAsia="Times New Roman" w:hAnsi="Arial" w:cs="Arial"/>
                <w:b/>
                <w:bCs/>
                <w:color w:val="000000"/>
                <w:sz w:val="16"/>
                <w:szCs w:val="16"/>
                <w:lang w:bidi="bn-BD"/>
              </w:rPr>
              <w:t>)</w:t>
            </w:r>
          </w:p>
        </w:tc>
        <w:tc>
          <w:tcPr>
            <w:tcW w:w="985" w:type="dxa"/>
            <w:tcBorders>
              <w:left w:val="nil"/>
              <w:bottom w:val="single" w:sz="4" w:space="0" w:color="auto"/>
              <w:right w:val="nil"/>
            </w:tcBorders>
            <w:shd w:val="clear" w:color="auto" w:fill="auto"/>
            <w:noWrap/>
            <w:hideMark/>
          </w:tcPr>
          <w:p w14:paraId="329D9669"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CEC </w:t>
            </w:r>
          </w:p>
          <w:p w14:paraId="629FFACE"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w:t>
            </w:r>
            <w:proofErr w:type="spellStart"/>
            <w:r w:rsidRPr="005F2699">
              <w:rPr>
                <w:rFonts w:ascii="Arial" w:eastAsia="Times New Roman" w:hAnsi="Arial" w:cs="Arial"/>
                <w:b/>
                <w:bCs/>
                <w:color w:val="000000"/>
                <w:sz w:val="16"/>
                <w:szCs w:val="16"/>
                <w:lang w:bidi="bn-BD"/>
              </w:rPr>
              <w:t>cmol</w:t>
            </w:r>
            <w:r w:rsidRPr="005F2699">
              <w:rPr>
                <w:rFonts w:ascii="Arial" w:eastAsia="Times New Roman" w:hAnsi="Arial" w:cs="Arial"/>
                <w:b/>
                <w:bCs/>
                <w:color w:val="000000"/>
                <w:sz w:val="16"/>
                <w:szCs w:val="16"/>
                <w:vertAlign w:val="subscript"/>
                <w:lang w:bidi="bn-BD"/>
              </w:rPr>
              <w:t>c</w:t>
            </w:r>
            <w:proofErr w:type="spellEnd"/>
            <w:r w:rsidRPr="005F2699">
              <w:rPr>
                <w:rFonts w:ascii="Arial" w:eastAsia="Times New Roman" w:hAnsi="Arial" w:cs="Arial"/>
                <w:b/>
                <w:bCs/>
                <w:color w:val="000000"/>
                <w:sz w:val="16"/>
                <w:szCs w:val="16"/>
                <w:lang w:bidi="bn-BD"/>
              </w:rPr>
              <w:t xml:space="preserve"> </w:t>
            </w:r>
            <w:proofErr w:type="gramStart"/>
            <w:r w:rsidRPr="005F2699">
              <w:rPr>
                <w:rFonts w:ascii="Arial" w:eastAsia="Times New Roman" w:hAnsi="Arial" w:cs="Arial"/>
                <w:b/>
                <w:bCs/>
                <w:color w:val="000000"/>
                <w:sz w:val="16"/>
                <w:szCs w:val="16"/>
                <w:lang w:bidi="bn-BD"/>
              </w:rPr>
              <w:t>kg</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w:t>
            </w:r>
          </w:p>
        </w:tc>
        <w:tc>
          <w:tcPr>
            <w:tcW w:w="545" w:type="dxa"/>
            <w:tcBorders>
              <w:left w:val="nil"/>
              <w:bottom w:val="single" w:sz="4" w:space="0" w:color="auto"/>
              <w:right w:val="nil"/>
            </w:tcBorders>
            <w:shd w:val="clear" w:color="auto" w:fill="auto"/>
            <w:noWrap/>
            <w:hideMark/>
          </w:tcPr>
          <w:p w14:paraId="2E65A7AC"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TSC</w:t>
            </w:r>
          </w:p>
          <w:p w14:paraId="0CDE4E79"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w:t>
            </w:r>
          </w:p>
        </w:tc>
        <w:tc>
          <w:tcPr>
            <w:tcW w:w="630" w:type="dxa"/>
            <w:tcBorders>
              <w:left w:val="nil"/>
              <w:bottom w:val="single" w:sz="4" w:space="0" w:color="auto"/>
              <w:right w:val="nil"/>
            </w:tcBorders>
            <w:shd w:val="clear" w:color="auto" w:fill="auto"/>
            <w:noWrap/>
            <w:hideMark/>
          </w:tcPr>
          <w:p w14:paraId="47753B64"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SOC</w:t>
            </w:r>
          </w:p>
          <w:p w14:paraId="77745772"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w:t>
            </w:r>
          </w:p>
        </w:tc>
        <w:tc>
          <w:tcPr>
            <w:tcW w:w="900" w:type="dxa"/>
            <w:tcBorders>
              <w:left w:val="nil"/>
              <w:bottom w:val="single" w:sz="4" w:space="0" w:color="auto"/>
              <w:right w:val="nil"/>
            </w:tcBorders>
            <w:shd w:val="clear" w:color="auto" w:fill="auto"/>
            <w:noWrap/>
            <w:hideMark/>
          </w:tcPr>
          <w:p w14:paraId="454BB4BD"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WEOC </w:t>
            </w:r>
          </w:p>
          <w:p w14:paraId="0461881C"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 xml:space="preserve">(mg C </w:t>
            </w:r>
            <w:proofErr w:type="gramStart"/>
            <w:r w:rsidRPr="005F2699">
              <w:rPr>
                <w:rFonts w:ascii="Arial" w:eastAsia="Times New Roman" w:hAnsi="Arial" w:cs="Arial"/>
                <w:b/>
                <w:bCs/>
                <w:color w:val="000000"/>
                <w:sz w:val="16"/>
                <w:szCs w:val="16"/>
                <w:lang w:bidi="bn-BD"/>
              </w:rPr>
              <w:t>kg</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w:t>
            </w:r>
          </w:p>
        </w:tc>
        <w:tc>
          <w:tcPr>
            <w:tcW w:w="630" w:type="dxa"/>
            <w:tcBorders>
              <w:left w:val="nil"/>
              <w:bottom w:val="single" w:sz="4" w:space="0" w:color="auto"/>
              <w:right w:val="nil"/>
            </w:tcBorders>
            <w:shd w:val="clear" w:color="auto" w:fill="auto"/>
            <w:noWrap/>
            <w:hideMark/>
          </w:tcPr>
          <w:p w14:paraId="2CAF5EA8"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TN </w:t>
            </w:r>
          </w:p>
          <w:p w14:paraId="5ECF2D9E"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w:t>
            </w:r>
          </w:p>
        </w:tc>
        <w:tc>
          <w:tcPr>
            <w:tcW w:w="815" w:type="dxa"/>
            <w:tcBorders>
              <w:left w:val="nil"/>
              <w:bottom w:val="single" w:sz="4" w:space="0" w:color="auto"/>
              <w:right w:val="nil"/>
            </w:tcBorders>
            <w:shd w:val="clear" w:color="auto" w:fill="auto"/>
            <w:noWrap/>
            <w:hideMark/>
          </w:tcPr>
          <w:p w14:paraId="4D15F764"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NH</w:t>
            </w:r>
            <w:r w:rsidRPr="005F2699">
              <w:rPr>
                <w:rFonts w:ascii="Arial" w:eastAsia="Times New Roman" w:hAnsi="Arial" w:cs="Arial"/>
                <w:b/>
                <w:bCs/>
                <w:color w:val="000000"/>
                <w:sz w:val="16"/>
                <w:szCs w:val="16"/>
                <w:vertAlign w:val="subscript"/>
                <w:lang w:bidi="bn-BD"/>
              </w:rPr>
              <w:t>4</w:t>
            </w:r>
            <w:r w:rsidRPr="005F2699">
              <w:rPr>
                <w:rFonts w:ascii="Arial" w:eastAsia="Times New Roman" w:hAnsi="Arial" w:cs="Arial"/>
                <w:b/>
                <w:bCs/>
                <w:color w:val="000000"/>
                <w:sz w:val="16"/>
                <w:szCs w:val="16"/>
                <w:vertAlign w:val="superscript"/>
                <w:lang w:bidi="bn-BD"/>
              </w:rPr>
              <w:t>+</w:t>
            </w:r>
            <w:r w:rsidRPr="005F2699">
              <w:rPr>
                <w:rFonts w:ascii="Arial" w:eastAsia="Times New Roman" w:hAnsi="Arial" w:cs="Arial"/>
                <w:b/>
                <w:bCs/>
                <w:color w:val="000000"/>
                <w:sz w:val="16"/>
                <w:szCs w:val="16"/>
                <w:lang w:bidi="bn-BD"/>
              </w:rPr>
              <w:t xml:space="preserve">-N </w:t>
            </w:r>
          </w:p>
          <w:p w14:paraId="5EC08DDE"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 xml:space="preserve">(mg </w:t>
            </w:r>
            <w:proofErr w:type="gramStart"/>
            <w:r w:rsidRPr="005F2699">
              <w:rPr>
                <w:rFonts w:ascii="Arial" w:eastAsia="Times New Roman" w:hAnsi="Arial" w:cs="Arial"/>
                <w:b/>
                <w:bCs/>
                <w:color w:val="000000"/>
                <w:sz w:val="16"/>
                <w:szCs w:val="16"/>
                <w:lang w:bidi="bn-BD"/>
              </w:rPr>
              <w:t>kg</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w:t>
            </w:r>
          </w:p>
        </w:tc>
        <w:tc>
          <w:tcPr>
            <w:tcW w:w="810" w:type="dxa"/>
            <w:tcBorders>
              <w:left w:val="nil"/>
              <w:bottom w:val="single" w:sz="4" w:space="0" w:color="auto"/>
              <w:right w:val="nil"/>
            </w:tcBorders>
            <w:shd w:val="clear" w:color="auto" w:fill="auto"/>
            <w:noWrap/>
            <w:hideMark/>
          </w:tcPr>
          <w:p w14:paraId="1C0F75FC"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NO</w:t>
            </w:r>
            <w:r w:rsidRPr="005F2699">
              <w:rPr>
                <w:rFonts w:ascii="Arial" w:eastAsia="Times New Roman" w:hAnsi="Arial" w:cs="Arial"/>
                <w:b/>
                <w:bCs/>
                <w:color w:val="000000"/>
                <w:sz w:val="16"/>
                <w:szCs w:val="16"/>
                <w:vertAlign w:val="subscript"/>
                <w:lang w:bidi="bn-BD"/>
              </w:rPr>
              <w:t>3</w:t>
            </w:r>
            <w:r w:rsidRPr="005F2699">
              <w:rPr>
                <w:rFonts w:ascii="Arial" w:eastAsia="Times New Roman" w:hAnsi="Arial" w:cs="Arial"/>
                <w:b/>
                <w:bCs/>
                <w:color w:val="000000"/>
                <w:sz w:val="16"/>
                <w:szCs w:val="16"/>
                <w:vertAlign w:val="superscript"/>
                <w:lang w:bidi="bn-BD"/>
              </w:rPr>
              <w:t>-</w:t>
            </w:r>
            <w:r w:rsidRPr="005F2699">
              <w:rPr>
                <w:rFonts w:ascii="Arial" w:eastAsia="Times New Roman" w:hAnsi="Arial" w:cs="Arial"/>
                <w:b/>
                <w:bCs/>
                <w:color w:val="000000"/>
                <w:sz w:val="16"/>
                <w:szCs w:val="16"/>
                <w:lang w:bidi="bn-BD"/>
              </w:rPr>
              <w:t xml:space="preserve">-N </w:t>
            </w:r>
          </w:p>
          <w:p w14:paraId="182E1373"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 xml:space="preserve">(mg </w:t>
            </w:r>
            <w:proofErr w:type="gramStart"/>
            <w:r w:rsidRPr="005F2699">
              <w:rPr>
                <w:rFonts w:ascii="Arial" w:eastAsia="Times New Roman" w:hAnsi="Arial" w:cs="Arial"/>
                <w:b/>
                <w:bCs/>
                <w:color w:val="000000"/>
                <w:sz w:val="16"/>
                <w:szCs w:val="16"/>
                <w:lang w:bidi="bn-BD"/>
              </w:rPr>
              <w:t>kg</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w:t>
            </w:r>
          </w:p>
        </w:tc>
        <w:tc>
          <w:tcPr>
            <w:tcW w:w="900" w:type="dxa"/>
            <w:tcBorders>
              <w:left w:val="nil"/>
              <w:bottom w:val="single" w:sz="4" w:space="0" w:color="auto"/>
              <w:right w:val="nil"/>
            </w:tcBorders>
            <w:shd w:val="clear" w:color="auto" w:fill="auto"/>
            <w:noWrap/>
            <w:hideMark/>
          </w:tcPr>
          <w:p w14:paraId="3AACE085"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WEON </w:t>
            </w:r>
          </w:p>
          <w:p w14:paraId="152E1B92"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 xml:space="preserve">(mg N </w:t>
            </w:r>
            <w:proofErr w:type="gramStart"/>
            <w:r w:rsidRPr="005F2699">
              <w:rPr>
                <w:rFonts w:ascii="Arial" w:eastAsia="Times New Roman" w:hAnsi="Arial" w:cs="Arial"/>
                <w:b/>
                <w:bCs/>
                <w:color w:val="000000"/>
                <w:sz w:val="16"/>
                <w:szCs w:val="16"/>
                <w:lang w:bidi="bn-BD"/>
              </w:rPr>
              <w:t>kg</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w:t>
            </w:r>
          </w:p>
        </w:tc>
        <w:tc>
          <w:tcPr>
            <w:tcW w:w="540" w:type="dxa"/>
            <w:tcBorders>
              <w:left w:val="nil"/>
              <w:bottom w:val="single" w:sz="4" w:space="0" w:color="auto"/>
              <w:right w:val="nil"/>
            </w:tcBorders>
            <w:shd w:val="clear" w:color="auto" w:fill="auto"/>
            <w:noWrap/>
            <w:hideMark/>
          </w:tcPr>
          <w:p w14:paraId="24E46DEF"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 xml:space="preserve">C/N </w:t>
            </w:r>
          </w:p>
          <w:p w14:paraId="6A5A1EA5"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ratio</w:t>
            </w:r>
          </w:p>
        </w:tc>
        <w:tc>
          <w:tcPr>
            <w:tcW w:w="810" w:type="dxa"/>
            <w:tcBorders>
              <w:left w:val="nil"/>
              <w:bottom w:val="single" w:sz="4" w:space="0" w:color="auto"/>
              <w:right w:val="nil"/>
            </w:tcBorders>
            <w:shd w:val="clear" w:color="auto" w:fill="auto"/>
            <w:noWrap/>
            <w:hideMark/>
          </w:tcPr>
          <w:p w14:paraId="1E56A252" w14:textId="77777777" w:rsidR="005F2699" w:rsidRPr="005F2699" w:rsidRDefault="005F2699" w:rsidP="005F2699">
            <w:pPr>
              <w:spacing w:after="0" w:line="360" w:lineRule="auto"/>
              <w:rPr>
                <w:rFonts w:ascii="Arial" w:eastAsia="Times New Roman" w:hAnsi="Arial" w:cs="Arial"/>
                <w:b/>
                <w:bCs/>
                <w:color w:val="000000"/>
                <w:sz w:val="16"/>
                <w:szCs w:val="16"/>
                <w:lang w:bidi="bn-BD"/>
              </w:rPr>
            </w:pPr>
            <w:r w:rsidRPr="005F2699">
              <w:rPr>
                <w:rFonts w:ascii="Arial" w:eastAsia="Times New Roman" w:hAnsi="Arial" w:cs="Arial"/>
                <w:b/>
                <w:bCs/>
                <w:color w:val="000000"/>
                <w:sz w:val="16"/>
                <w:szCs w:val="16"/>
                <w:lang w:bidi="bn-BD"/>
              </w:rPr>
              <w:t>PO</w:t>
            </w:r>
            <w:r w:rsidRPr="005F2699">
              <w:rPr>
                <w:rFonts w:ascii="Arial" w:eastAsia="Times New Roman" w:hAnsi="Arial" w:cs="Arial"/>
                <w:b/>
                <w:bCs/>
                <w:color w:val="000000"/>
                <w:sz w:val="16"/>
                <w:szCs w:val="16"/>
                <w:vertAlign w:val="subscript"/>
                <w:lang w:bidi="bn-BD"/>
              </w:rPr>
              <w:t>4</w:t>
            </w:r>
            <w:r w:rsidRPr="005F2699">
              <w:rPr>
                <w:rFonts w:ascii="Arial" w:eastAsia="Times New Roman" w:hAnsi="Arial" w:cs="Arial"/>
                <w:b/>
                <w:bCs/>
                <w:color w:val="000000"/>
                <w:sz w:val="16"/>
                <w:szCs w:val="16"/>
                <w:vertAlign w:val="superscript"/>
                <w:lang w:bidi="bn-BD"/>
              </w:rPr>
              <w:t>3-</w:t>
            </w:r>
            <w:r w:rsidRPr="005F2699">
              <w:rPr>
                <w:rFonts w:ascii="Arial" w:eastAsia="Times New Roman" w:hAnsi="Arial" w:cs="Arial"/>
                <w:b/>
                <w:bCs/>
                <w:color w:val="000000"/>
                <w:sz w:val="16"/>
                <w:szCs w:val="16"/>
                <w:lang w:bidi="bn-BD"/>
              </w:rPr>
              <w:t xml:space="preserve">-P </w:t>
            </w:r>
          </w:p>
          <w:p w14:paraId="7C9DD95C"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bidi="bn-BD"/>
              </w:rPr>
              <w:t xml:space="preserve">(mg </w:t>
            </w:r>
            <w:proofErr w:type="gramStart"/>
            <w:r w:rsidRPr="005F2699">
              <w:rPr>
                <w:rFonts w:ascii="Arial" w:eastAsia="Times New Roman" w:hAnsi="Arial" w:cs="Arial"/>
                <w:b/>
                <w:bCs/>
                <w:color w:val="000000"/>
                <w:sz w:val="16"/>
                <w:szCs w:val="16"/>
                <w:lang w:bidi="bn-BD"/>
              </w:rPr>
              <w:t>kg</w:t>
            </w:r>
            <w:r w:rsidRPr="005F2699">
              <w:rPr>
                <w:rFonts w:ascii="Arial" w:eastAsia="Times New Roman" w:hAnsi="Arial" w:cs="Arial"/>
                <w:b/>
                <w:bCs/>
                <w:color w:val="000000"/>
                <w:sz w:val="16"/>
                <w:szCs w:val="16"/>
                <w:vertAlign w:val="superscript"/>
                <w:lang w:bidi="bn-BD"/>
              </w:rPr>
              <w:t>-1</w:t>
            </w:r>
            <w:proofErr w:type="gramEnd"/>
            <w:r w:rsidRPr="005F2699">
              <w:rPr>
                <w:rFonts w:ascii="Arial" w:eastAsia="Times New Roman" w:hAnsi="Arial" w:cs="Arial"/>
                <w:b/>
                <w:bCs/>
                <w:color w:val="000000"/>
                <w:sz w:val="16"/>
                <w:szCs w:val="16"/>
                <w:lang w:bidi="bn-BD"/>
              </w:rPr>
              <w:t xml:space="preserve">) </w:t>
            </w:r>
          </w:p>
        </w:tc>
        <w:tc>
          <w:tcPr>
            <w:tcW w:w="810" w:type="dxa"/>
            <w:tcBorders>
              <w:left w:val="nil"/>
              <w:bottom w:val="single" w:sz="4" w:space="0" w:color="auto"/>
              <w:right w:val="nil"/>
            </w:tcBorders>
            <w:shd w:val="clear" w:color="auto" w:fill="auto"/>
            <w:noWrap/>
            <w:hideMark/>
          </w:tcPr>
          <w:p w14:paraId="4EA899C1"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val="en-US" w:bidi="bn-BD"/>
              </w:rPr>
              <w:t>SO</w:t>
            </w:r>
            <w:r w:rsidRPr="005F2699">
              <w:rPr>
                <w:rFonts w:ascii="Arial" w:eastAsia="Times New Roman" w:hAnsi="Arial" w:cs="Arial"/>
                <w:b/>
                <w:bCs/>
                <w:color w:val="000000"/>
                <w:sz w:val="16"/>
                <w:szCs w:val="16"/>
                <w:vertAlign w:val="subscript"/>
                <w:lang w:val="en-US" w:bidi="bn-BD"/>
              </w:rPr>
              <w:t>4</w:t>
            </w:r>
            <w:r w:rsidRPr="005F2699">
              <w:rPr>
                <w:rFonts w:ascii="Arial" w:eastAsia="Times New Roman" w:hAnsi="Arial" w:cs="Arial"/>
                <w:b/>
                <w:bCs/>
                <w:color w:val="000000"/>
                <w:sz w:val="16"/>
                <w:szCs w:val="16"/>
                <w:vertAlign w:val="superscript"/>
                <w:lang w:val="en-US" w:bidi="bn-BD"/>
              </w:rPr>
              <w:t>2-</w:t>
            </w:r>
            <w:r w:rsidRPr="005F2699">
              <w:rPr>
                <w:rFonts w:ascii="Arial" w:eastAsia="Times New Roman" w:hAnsi="Arial" w:cs="Arial"/>
                <w:b/>
                <w:bCs/>
                <w:color w:val="000000"/>
                <w:sz w:val="16"/>
                <w:szCs w:val="16"/>
                <w:lang w:val="en-US" w:bidi="bn-BD"/>
              </w:rPr>
              <w:t xml:space="preserve">-S </w:t>
            </w:r>
          </w:p>
          <w:p w14:paraId="351F5A5B" w14:textId="77777777" w:rsidR="005F2699" w:rsidRPr="005F2699" w:rsidRDefault="005F2699" w:rsidP="005F2699">
            <w:pPr>
              <w:spacing w:after="0" w:line="360" w:lineRule="auto"/>
              <w:rPr>
                <w:rFonts w:ascii="Arial" w:eastAsia="Times New Roman" w:hAnsi="Arial" w:cs="Arial"/>
                <w:b/>
                <w:bCs/>
                <w:color w:val="000000"/>
                <w:sz w:val="16"/>
                <w:szCs w:val="16"/>
                <w:lang w:val="en-US" w:bidi="bn-BD"/>
              </w:rPr>
            </w:pPr>
            <w:r w:rsidRPr="005F2699">
              <w:rPr>
                <w:rFonts w:ascii="Arial" w:eastAsia="Times New Roman" w:hAnsi="Arial" w:cs="Arial"/>
                <w:b/>
                <w:bCs/>
                <w:color w:val="000000"/>
                <w:sz w:val="16"/>
                <w:szCs w:val="16"/>
                <w:lang w:val="en-US" w:bidi="bn-BD"/>
              </w:rPr>
              <w:t xml:space="preserve">(mg </w:t>
            </w:r>
            <w:proofErr w:type="gramStart"/>
            <w:r w:rsidRPr="005F2699">
              <w:rPr>
                <w:rFonts w:ascii="Arial" w:eastAsia="Times New Roman" w:hAnsi="Arial" w:cs="Arial"/>
                <w:b/>
                <w:bCs/>
                <w:color w:val="000000"/>
                <w:sz w:val="16"/>
                <w:szCs w:val="16"/>
                <w:lang w:val="en-US" w:bidi="bn-BD"/>
              </w:rPr>
              <w:t>kg</w:t>
            </w:r>
            <w:r w:rsidRPr="005F2699">
              <w:rPr>
                <w:rFonts w:ascii="Arial" w:eastAsia="Times New Roman" w:hAnsi="Arial" w:cs="Arial"/>
                <w:b/>
                <w:bCs/>
                <w:color w:val="000000"/>
                <w:sz w:val="16"/>
                <w:szCs w:val="16"/>
                <w:vertAlign w:val="superscript"/>
                <w:lang w:val="en-US" w:bidi="bn-BD"/>
              </w:rPr>
              <w:t>-1</w:t>
            </w:r>
            <w:proofErr w:type="gramEnd"/>
            <w:r w:rsidRPr="005F2699">
              <w:rPr>
                <w:rFonts w:ascii="Arial" w:eastAsia="Times New Roman" w:hAnsi="Arial" w:cs="Arial"/>
                <w:b/>
                <w:bCs/>
                <w:color w:val="000000"/>
                <w:sz w:val="16"/>
                <w:szCs w:val="16"/>
                <w:lang w:val="en-US" w:bidi="bn-BD"/>
              </w:rPr>
              <w:t xml:space="preserve">) </w:t>
            </w:r>
          </w:p>
        </w:tc>
      </w:tr>
      <w:tr w:rsidR="005F2699" w:rsidRPr="005F2699" w14:paraId="4F31AF78" w14:textId="77777777" w:rsidTr="005F2699">
        <w:trPr>
          <w:trHeight w:val="300"/>
          <w:jc w:val="center"/>
        </w:trPr>
        <w:tc>
          <w:tcPr>
            <w:tcW w:w="630" w:type="dxa"/>
            <w:vMerge w:val="restart"/>
            <w:tcBorders>
              <w:left w:val="nil"/>
              <w:bottom w:val="nil"/>
              <w:right w:val="nil"/>
            </w:tcBorders>
            <w:shd w:val="clear" w:color="auto" w:fill="auto"/>
            <w:noWrap/>
            <w:hideMark/>
          </w:tcPr>
          <w:p w14:paraId="5F71CB53"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Site A</w:t>
            </w:r>
          </w:p>
        </w:tc>
        <w:tc>
          <w:tcPr>
            <w:tcW w:w="810" w:type="dxa"/>
            <w:tcBorders>
              <w:left w:val="nil"/>
              <w:bottom w:val="nil"/>
              <w:right w:val="nil"/>
            </w:tcBorders>
            <w:shd w:val="clear" w:color="auto" w:fill="auto"/>
            <w:noWrap/>
            <w:hideMark/>
          </w:tcPr>
          <w:p w14:paraId="2B9220BF"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AC</w:t>
            </w:r>
          </w:p>
        </w:tc>
        <w:tc>
          <w:tcPr>
            <w:tcW w:w="535" w:type="dxa"/>
            <w:tcBorders>
              <w:left w:val="nil"/>
              <w:bottom w:val="nil"/>
              <w:right w:val="nil"/>
            </w:tcBorders>
            <w:shd w:val="clear" w:color="auto" w:fill="auto"/>
            <w:noWrap/>
            <w:hideMark/>
          </w:tcPr>
          <w:p w14:paraId="1FFF00F4"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8.4</w:t>
            </w:r>
          </w:p>
        </w:tc>
        <w:tc>
          <w:tcPr>
            <w:tcW w:w="540" w:type="dxa"/>
            <w:tcBorders>
              <w:left w:val="nil"/>
              <w:bottom w:val="nil"/>
              <w:right w:val="nil"/>
            </w:tcBorders>
            <w:shd w:val="clear" w:color="auto" w:fill="auto"/>
            <w:noWrap/>
            <w:hideMark/>
          </w:tcPr>
          <w:p w14:paraId="14D441A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1.4</w:t>
            </w:r>
          </w:p>
        </w:tc>
        <w:tc>
          <w:tcPr>
            <w:tcW w:w="630" w:type="dxa"/>
            <w:tcBorders>
              <w:left w:val="nil"/>
              <w:bottom w:val="nil"/>
              <w:right w:val="nil"/>
            </w:tcBorders>
            <w:shd w:val="clear" w:color="auto" w:fill="auto"/>
            <w:noWrap/>
            <w:hideMark/>
          </w:tcPr>
          <w:p w14:paraId="2DE728D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CL</w:t>
            </w:r>
          </w:p>
        </w:tc>
        <w:tc>
          <w:tcPr>
            <w:tcW w:w="630" w:type="dxa"/>
            <w:tcBorders>
              <w:left w:val="nil"/>
              <w:bottom w:val="nil"/>
              <w:right w:val="nil"/>
            </w:tcBorders>
            <w:shd w:val="clear" w:color="auto" w:fill="auto"/>
            <w:noWrap/>
            <w:hideMark/>
          </w:tcPr>
          <w:p w14:paraId="1816880A"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33.0</w:t>
            </w:r>
          </w:p>
        </w:tc>
        <w:tc>
          <w:tcPr>
            <w:tcW w:w="810" w:type="dxa"/>
            <w:tcBorders>
              <w:left w:val="nil"/>
              <w:bottom w:val="nil"/>
              <w:right w:val="nil"/>
            </w:tcBorders>
            <w:shd w:val="clear" w:color="auto" w:fill="auto"/>
            <w:noWrap/>
            <w:hideMark/>
          </w:tcPr>
          <w:p w14:paraId="336DA97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1.4</w:t>
            </w:r>
          </w:p>
        </w:tc>
        <w:tc>
          <w:tcPr>
            <w:tcW w:w="985" w:type="dxa"/>
            <w:tcBorders>
              <w:left w:val="nil"/>
              <w:bottom w:val="nil"/>
              <w:right w:val="nil"/>
            </w:tcBorders>
            <w:shd w:val="clear" w:color="auto" w:fill="auto"/>
            <w:noWrap/>
            <w:hideMark/>
          </w:tcPr>
          <w:p w14:paraId="110C3A04"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36.7</w:t>
            </w:r>
          </w:p>
        </w:tc>
        <w:tc>
          <w:tcPr>
            <w:tcW w:w="545" w:type="dxa"/>
            <w:tcBorders>
              <w:left w:val="nil"/>
              <w:bottom w:val="nil"/>
              <w:right w:val="nil"/>
            </w:tcBorders>
            <w:shd w:val="clear" w:color="auto" w:fill="auto"/>
            <w:noWrap/>
            <w:hideMark/>
          </w:tcPr>
          <w:p w14:paraId="1D1A6CDE"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4.1</w:t>
            </w:r>
          </w:p>
        </w:tc>
        <w:tc>
          <w:tcPr>
            <w:tcW w:w="630" w:type="dxa"/>
            <w:tcBorders>
              <w:left w:val="nil"/>
              <w:bottom w:val="nil"/>
              <w:right w:val="nil"/>
            </w:tcBorders>
            <w:shd w:val="clear" w:color="auto" w:fill="auto"/>
            <w:noWrap/>
            <w:hideMark/>
          </w:tcPr>
          <w:p w14:paraId="19CF4A15"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 xml:space="preserve">2.2 </w:t>
            </w:r>
          </w:p>
        </w:tc>
        <w:tc>
          <w:tcPr>
            <w:tcW w:w="900" w:type="dxa"/>
            <w:tcBorders>
              <w:left w:val="nil"/>
              <w:bottom w:val="nil"/>
              <w:right w:val="nil"/>
            </w:tcBorders>
            <w:shd w:val="clear" w:color="auto" w:fill="auto"/>
            <w:noWrap/>
            <w:hideMark/>
          </w:tcPr>
          <w:p w14:paraId="4059BB6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3.5</w:t>
            </w:r>
          </w:p>
        </w:tc>
        <w:tc>
          <w:tcPr>
            <w:tcW w:w="630" w:type="dxa"/>
            <w:tcBorders>
              <w:left w:val="nil"/>
              <w:bottom w:val="nil"/>
              <w:right w:val="nil"/>
            </w:tcBorders>
            <w:shd w:val="clear" w:color="auto" w:fill="auto"/>
            <w:noWrap/>
            <w:hideMark/>
          </w:tcPr>
          <w:p w14:paraId="4D774BF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0.2</w:t>
            </w:r>
          </w:p>
        </w:tc>
        <w:tc>
          <w:tcPr>
            <w:tcW w:w="815" w:type="dxa"/>
            <w:tcBorders>
              <w:left w:val="nil"/>
              <w:bottom w:val="nil"/>
              <w:right w:val="nil"/>
            </w:tcBorders>
            <w:shd w:val="clear" w:color="auto" w:fill="auto"/>
            <w:noWrap/>
            <w:hideMark/>
          </w:tcPr>
          <w:p w14:paraId="74AA0BA2"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4.3</w:t>
            </w:r>
          </w:p>
        </w:tc>
        <w:tc>
          <w:tcPr>
            <w:tcW w:w="810" w:type="dxa"/>
            <w:tcBorders>
              <w:left w:val="nil"/>
              <w:bottom w:val="nil"/>
              <w:right w:val="nil"/>
            </w:tcBorders>
            <w:shd w:val="clear" w:color="auto" w:fill="auto"/>
            <w:noWrap/>
            <w:hideMark/>
          </w:tcPr>
          <w:p w14:paraId="3A8D3BF0"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25.1</w:t>
            </w:r>
          </w:p>
        </w:tc>
        <w:tc>
          <w:tcPr>
            <w:tcW w:w="900" w:type="dxa"/>
            <w:tcBorders>
              <w:left w:val="nil"/>
              <w:bottom w:val="nil"/>
              <w:right w:val="nil"/>
            </w:tcBorders>
            <w:shd w:val="clear" w:color="auto" w:fill="auto"/>
            <w:noWrap/>
            <w:hideMark/>
          </w:tcPr>
          <w:p w14:paraId="57414A3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8.1</w:t>
            </w:r>
          </w:p>
        </w:tc>
        <w:tc>
          <w:tcPr>
            <w:tcW w:w="540" w:type="dxa"/>
            <w:tcBorders>
              <w:left w:val="nil"/>
              <w:bottom w:val="nil"/>
              <w:right w:val="nil"/>
            </w:tcBorders>
            <w:shd w:val="clear" w:color="auto" w:fill="auto"/>
            <w:noWrap/>
            <w:hideMark/>
          </w:tcPr>
          <w:p w14:paraId="7EC90C9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11.3</w:t>
            </w:r>
          </w:p>
        </w:tc>
        <w:tc>
          <w:tcPr>
            <w:tcW w:w="810" w:type="dxa"/>
            <w:tcBorders>
              <w:left w:val="nil"/>
              <w:bottom w:val="nil"/>
              <w:right w:val="nil"/>
            </w:tcBorders>
            <w:shd w:val="clear" w:color="auto" w:fill="auto"/>
            <w:noWrap/>
            <w:hideMark/>
          </w:tcPr>
          <w:p w14:paraId="01F63E81"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24.9</w:t>
            </w:r>
          </w:p>
        </w:tc>
        <w:tc>
          <w:tcPr>
            <w:tcW w:w="810" w:type="dxa"/>
            <w:tcBorders>
              <w:left w:val="nil"/>
              <w:bottom w:val="nil"/>
              <w:right w:val="nil"/>
            </w:tcBorders>
            <w:shd w:val="clear" w:color="auto" w:fill="auto"/>
            <w:noWrap/>
            <w:hideMark/>
          </w:tcPr>
          <w:p w14:paraId="5EC88F63"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val="en-US" w:bidi="bn-BD"/>
              </w:rPr>
              <w:t>82.1</w:t>
            </w:r>
          </w:p>
        </w:tc>
      </w:tr>
      <w:tr w:rsidR="005F2699" w:rsidRPr="005F2699" w14:paraId="2B3D0F72" w14:textId="77777777" w:rsidTr="005F2699">
        <w:trPr>
          <w:trHeight w:val="300"/>
          <w:jc w:val="center"/>
        </w:trPr>
        <w:tc>
          <w:tcPr>
            <w:tcW w:w="630" w:type="dxa"/>
            <w:vMerge/>
            <w:tcBorders>
              <w:top w:val="nil"/>
              <w:left w:val="nil"/>
              <w:bottom w:val="nil"/>
              <w:right w:val="nil"/>
            </w:tcBorders>
            <w:shd w:val="clear" w:color="auto" w:fill="auto"/>
            <w:noWrap/>
            <w:hideMark/>
          </w:tcPr>
          <w:p w14:paraId="40256BA8"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p>
        </w:tc>
        <w:tc>
          <w:tcPr>
            <w:tcW w:w="810" w:type="dxa"/>
            <w:tcBorders>
              <w:top w:val="nil"/>
              <w:left w:val="nil"/>
              <w:bottom w:val="nil"/>
              <w:right w:val="nil"/>
            </w:tcBorders>
            <w:shd w:val="clear" w:color="auto" w:fill="auto"/>
            <w:noWrap/>
            <w:hideMark/>
          </w:tcPr>
          <w:p w14:paraId="769FD66F"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PA</w:t>
            </w:r>
          </w:p>
        </w:tc>
        <w:tc>
          <w:tcPr>
            <w:tcW w:w="535" w:type="dxa"/>
            <w:tcBorders>
              <w:top w:val="nil"/>
              <w:left w:val="nil"/>
              <w:bottom w:val="nil"/>
              <w:right w:val="nil"/>
            </w:tcBorders>
            <w:shd w:val="clear" w:color="auto" w:fill="auto"/>
            <w:noWrap/>
            <w:hideMark/>
          </w:tcPr>
          <w:p w14:paraId="6CF24853"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7.8</w:t>
            </w:r>
          </w:p>
        </w:tc>
        <w:tc>
          <w:tcPr>
            <w:tcW w:w="540" w:type="dxa"/>
            <w:tcBorders>
              <w:top w:val="nil"/>
              <w:left w:val="nil"/>
              <w:bottom w:val="nil"/>
              <w:right w:val="nil"/>
            </w:tcBorders>
            <w:shd w:val="clear" w:color="auto" w:fill="auto"/>
            <w:noWrap/>
            <w:hideMark/>
          </w:tcPr>
          <w:p w14:paraId="25CD767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0.6</w:t>
            </w:r>
          </w:p>
        </w:tc>
        <w:tc>
          <w:tcPr>
            <w:tcW w:w="630" w:type="dxa"/>
            <w:tcBorders>
              <w:top w:val="nil"/>
              <w:left w:val="nil"/>
              <w:bottom w:val="nil"/>
              <w:right w:val="nil"/>
            </w:tcBorders>
            <w:shd w:val="clear" w:color="auto" w:fill="auto"/>
            <w:noWrap/>
            <w:hideMark/>
          </w:tcPr>
          <w:p w14:paraId="56476742"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CL</w:t>
            </w:r>
          </w:p>
        </w:tc>
        <w:tc>
          <w:tcPr>
            <w:tcW w:w="630" w:type="dxa"/>
            <w:tcBorders>
              <w:top w:val="nil"/>
              <w:left w:val="nil"/>
              <w:bottom w:val="nil"/>
              <w:right w:val="nil"/>
            </w:tcBorders>
            <w:shd w:val="clear" w:color="auto" w:fill="auto"/>
            <w:noWrap/>
            <w:hideMark/>
          </w:tcPr>
          <w:p w14:paraId="0C51449E"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34.0</w:t>
            </w:r>
          </w:p>
        </w:tc>
        <w:tc>
          <w:tcPr>
            <w:tcW w:w="810" w:type="dxa"/>
            <w:tcBorders>
              <w:top w:val="nil"/>
              <w:left w:val="nil"/>
              <w:bottom w:val="nil"/>
              <w:right w:val="nil"/>
            </w:tcBorders>
            <w:shd w:val="clear" w:color="auto" w:fill="auto"/>
            <w:noWrap/>
            <w:hideMark/>
          </w:tcPr>
          <w:p w14:paraId="24C21B9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1.3</w:t>
            </w:r>
          </w:p>
        </w:tc>
        <w:tc>
          <w:tcPr>
            <w:tcW w:w="985" w:type="dxa"/>
            <w:tcBorders>
              <w:top w:val="nil"/>
              <w:left w:val="nil"/>
              <w:bottom w:val="nil"/>
              <w:right w:val="nil"/>
            </w:tcBorders>
            <w:shd w:val="clear" w:color="auto" w:fill="auto"/>
            <w:noWrap/>
            <w:hideMark/>
          </w:tcPr>
          <w:p w14:paraId="45AA5B6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43.9</w:t>
            </w:r>
          </w:p>
        </w:tc>
        <w:tc>
          <w:tcPr>
            <w:tcW w:w="545" w:type="dxa"/>
            <w:tcBorders>
              <w:top w:val="nil"/>
              <w:left w:val="nil"/>
              <w:bottom w:val="nil"/>
              <w:right w:val="nil"/>
            </w:tcBorders>
            <w:shd w:val="clear" w:color="auto" w:fill="auto"/>
            <w:noWrap/>
            <w:hideMark/>
          </w:tcPr>
          <w:p w14:paraId="33818AE9"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3.4</w:t>
            </w:r>
          </w:p>
        </w:tc>
        <w:tc>
          <w:tcPr>
            <w:tcW w:w="630" w:type="dxa"/>
            <w:tcBorders>
              <w:top w:val="nil"/>
              <w:left w:val="nil"/>
              <w:bottom w:val="nil"/>
              <w:right w:val="nil"/>
            </w:tcBorders>
            <w:shd w:val="clear" w:color="auto" w:fill="auto"/>
            <w:noWrap/>
            <w:hideMark/>
          </w:tcPr>
          <w:p w14:paraId="0BBAD63A"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2.9</w:t>
            </w:r>
          </w:p>
        </w:tc>
        <w:tc>
          <w:tcPr>
            <w:tcW w:w="900" w:type="dxa"/>
            <w:tcBorders>
              <w:top w:val="nil"/>
              <w:left w:val="nil"/>
              <w:bottom w:val="nil"/>
              <w:right w:val="nil"/>
            </w:tcBorders>
            <w:shd w:val="clear" w:color="auto" w:fill="auto"/>
            <w:noWrap/>
            <w:hideMark/>
          </w:tcPr>
          <w:p w14:paraId="19B930C9"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5.2</w:t>
            </w:r>
          </w:p>
        </w:tc>
        <w:tc>
          <w:tcPr>
            <w:tcW w:w="630" w:type="dxa"/>
            <w:tcBorders>
              <w:top w:val="nil"/>
              <w:left w:val="nil"/>
              <w:bottom w:val="nil"/>
              <w:right w:val="nil"/>
            </w:tcBorders>
            <w:shd w:val="clear" w:color="auto" w:fill="auto"/>
            <w:noWrap/>
            <w:hideMark/>
          </w:tcPr>
          <w:p w14:paraId="70914DF5"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0.3</w:t>
            </w:r>
          </w:p>
        </w:tc>
        <w:tc>
          <w:tcPr>
            <w:tcW w:w="815" w:type="dxa"/>
            <w:tcBorders>
              <w:top w:val="nil"/>
              <w:left w:val="nil"/>
              <w:bottom w:val="nil"/>
              <w:right w:val="nil"/>
            </w:tcBorders>
            <w:shd w:val="clear" w:color="auto" w:fill="auto"/>
            <w:noWrap/>
            <w:hideMark/>
          </w:tcPr>
          <w:p w14:paraId="1168A00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6.7</w:t>
            </w:r>
          </w:p>
        </w:tc>
        <w:tc>
          <w:tcPr>
            <w:tcW w:w="810" w:type="dxa"/>
            <w:tcBorders>
              <w:top w:val="nil"/>
              <w:left w:val="nil"/>
              <w:bottom w:val="nil"/>
              <w:right w:val="nil"/>
            </w:tcBorders>
            <w:shd w:val="clear" w:color="auto" w:fill="auto"/>
            <w:noWrap/>
            <w:hideMark/>
          </w:tcPr>
          <w:p w14:paraId="75CFCEE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7.0</w:t>
            </w:r>
          </w:p>
        </w:tc>
        <w:tc>
          <w:tcPr>
            <w:tcW w:w="900" w:type="dxa"/>
            <w:tcBorders>
              <w:top w:val="nil"/>
              <w:left w:val="nil"/>
              <w:bottom w:val="nil"/>
              <w:right w:val="nil"/>
            </w:tcBorders>
            <w:shd w:val="clear" w:color="auto" w:fill="auto"/>
            <w:noWrap/>
            <w:hideMark/>
          </w:tcPr>
          <w:p w14:paraId="40428EFA"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3.7</w:t>
            </w:r>
          </w:p>
        </w:tc>
        <w:tc>
          <w:tcPr>
            <w:tcW w:w="540" w:type="dxa"/>
            <w:tcBorders>
              <w:top w:val="nil"/>
              <w:left w:val="nil"/>
              <w:bottom w:val="nil"/>
              <w:right w:val="nil"/>
            </w:tcBorders>
            <w:shd w:val="clear" w:color="auto" w:fill="auto"/>
            <w:noWrap/>
            <w:hideMark/>
          </w:tcPr>
          <w:p w14:paraId="5473D2E1"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11.6</w:t>
            </w:r>
          </w:p>
        </w:tc>
        <w:tc>
          <w:tcPr>
            <w:tcW w:w="810" w:type="dxa"/>
            <w:tcBorders>
              <w:top w:val="nil"/>
              <w:left w:val="nil"/>
              <w:bottom w:val="nil"/>
              <w:right w:val="nil"/>
            </w:tcBorders>
            <w:shd w:val="clear" w:color="auto" w:fill="auto"/>
            <w:noWrap/>
            <w:hideMark/>
          </w:tcPr>
          <w:p w14:paraId="7A6DD535"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28.5</w:t>
            </w:r>
          </w:p>
        </w:tc>
        <w:tc>
          <w:tcPr>
            <w:tcW w:w="810" w:type="dxa"/>
            <w:tcBorders>
              <w:top w:val="nil"/>
              <w:left w:val="nil"/>
              <w:bottom w:val="nil"/>
              <w:right w:val="nil"/>
            </w:tcBorders>
            <w:shd w:val="clear" w:color="auto" w:fill="auto"/>
            <w:noWrap/>
            <w:hideMark/>
          </w:tcPr>
          <w:p w14:paraId="6299396E"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val="en-US" w:bidi="bn-BD"/>
              </w:rPr>
              <w:t>98.2</w:t>
            </w:r>
          </w:p>
        </w:tc>
      </w:tr>
      <w:tr w:rsidR="005F2699" w:rsidRPr="005F2699" w14:paraId="57C05B2B" w14:textId="77777777" w:rsidTr="005F2699">
        <w:trPr>
          <w:trHeight w:val="300"/>
          <w:jc w:val="center"/>
        </w:trPr>
        <w:tc>
          <w:tcPr>
            <w:tcW w:w="630" w:type="dxa"/>
            <w:vMerge/>
            <w:tcBorders>
              <w:top w:val="nil"/>
              <w:left w:val="nil"/>
              <w:bottom w:val="nil"/>
              <w:right w:val="nil"/>
            </w:tcBorders>
            <w:shd w:val="clear" w:color="auto" w:fill="auto"/>
            <w:noWrap/>
            <w:hideMark/>
          </w:tcPr>
          <w:p w14:paraId="60866420"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p>
        </w:tc>
        <w:tc>
          <w:tcPr>
            <w:tcW w:w="810" w:type="dxa"/>
            <w:tcBorders>
              <w:top w:val="nil"/>
              <w:left w:val="nil"/>
              <w:bottom w:val="nil"/>
              <w:right w:val="nil"/>
            </w:tcBorders>
            <w:shd w:val="clear" w:color="auto" w:fill="auto"/>
            <w:noWrap/>
            <w:hideMark/>
          </w:tcPr>
          <w:p w14:paraId="1EBC060E"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SRW</w:t>
            </w:r>
          </w:p>
        </w:tc>
        <w:tc>
          <w:tcPr>
            <w:tcW w:w="535" w:type="dxa"/>
            <w:tcBorders>
              <w:top w:val="nil"/>
              <w:left w:val="nil"/>
              <w:bottom w:val="nil"/>
              <w:right w:val="nil"/>
            </w:tcBorders>
            <w:shd w:val="clear" w:color="auto" w:fill="auto"/>
            <w:noWrap/>
            <w:hideMark/>
          </w:tcPr>
          <w:p w14:paraId="2E41062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8.0</w:t>
            </w:r>
          </w:p>
        </w:tc>
        <w:tc>
          <w:tcPr>
            <w:tcW w:w="540" w:type="dxa"/>
            <w:tcBorders>
              <w:top w:val="nil"/>
              <w:left w:val="nil"/>
              <w:bottom w:val="nil"/>
              <w:right w:val="nil"/>
            </w:tcBorders>
            <w:shd w:val="clear" w:color="auto" w:fill="auto"/>
            <w:noWrap/>
            <w:hideMark/>
          </w:tcPr>
          <w:p w14:paraId="0F96C3F1"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1.9</w:t>
            </w:r>
          </w:p>
        </w:tc>
        <w:tc>
          <w:tcPr>
            <w:tcW w:w="630" w:type="dxa"/>
            <w:tcBorders>
              <w:top w:val="nil"/>
              <w:left w:val="nil"/>
              <w:bottom w:val="nil"/>
              <w:right w:val="nil"/>
            </w:tcBorders>
            <w:shd w:val="clear" w:color="auto" w:fill="auto"/>
            <w:noWrap/>
            <w:hideMark/>
          </w:tcPr>
          <w:p w14:paraId="25E7B4FE"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SCL</w:t>
            </w:r>
          </w:p>
        </w:tc>
        <w:tc>
          <w:tcPr>
            <w:tcW w:w="630" w:type="dxa"/>
            <w:tcBorders>
              <w:top w:val="nil"/>
              <w:left w:val="nil"/>
              <w:bottom w:val="nil"/>
              <w:right w:val="nil"/>
            </w:tcBorders>
            <w:shd w:val="clear" w:color="auto" w:fill="auto"/>
            <w:noWrap/>
            <w:hideMark/>
          </w:tcPr>
          <w:p w14:paraId="45172FD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27.0</w:t>
            </w:r>
          </w:p>
        </w:tc>
        <w:tc>
          <w:tcPr>
            <w:tcW w:w="810" w:type="dxa"/>
            <w:tcBorders>
              <w:top w:val="nil"/>
              <w:left w:val="nil"/>
              <w:bottom w:val="nil"/>
              <w:right w:val="nil"/>
            </w:tcBorders>
            <w:shd w:val="clear" w:color="auto" w:fill="auto"/>
            <w:noWrap/>
            <w:hideMark/>
          </w:tcPr>
          <w:p w14:paraId="25933475"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1.3</w:t>
            </w:r>
          </w:p>
        </w:tc>
        <w:tc>
          <w:tcPr>
            <w:tcW w:w="985" w:type="dxa"/>
            <w:tcBorders>
              <w:top w:val="nil"/>
              <w:left w:val="nil"/>
              <w:bottom w:val="nil"/>
              <w:right w:val="nil"/>
            </w:tcBorders>
            <w:shd w:val="clear" w:color="auto" w:fill="auto"/>
            <w:noWrap/>
            <w:hideMark/>
          </w:tcPr>
          <w:p w14:paraId="1B502ED1"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37.4</w:t>
            </w:r>
          </w:p>
        </w:tc>
        <w:tc>
          <w:tcPr>
            <w:tcW w:w="545" w:type="dxa"/>
            <w:tcBorders>
              <w:top w:val="nil"/>
              <w:left w:val="nil"/>
              <w:bottom w:val="nil"/>
              <w:right w:val="nil"/>
            </w:tcBorders>
            <w:shd w:val="clear" w:color="auto" w:fill="auto"/>
            <w:noWrap/>
            <w:hideMark/>
          </w:tcPr>
          <w:p w14:paraId="6E20D83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3.7</w:t>
            </w:r>
          </w:p>
        </w:tc>
        <w:tc>
          <w:tcPr>
            <w:tcW w:w="630" w:type="dxa"/>
            <w:tcBorders>
              <w:top w:val="nil"/>
              <w:left w:val="nil"/>
              <w:bottom w:val="nil"/>
              <w:right w:val="nil"/>
            </w:tcBorders>
            <w:shd w:val="clear" w:color="auto" w:fill="auto"/>
            <w:noWrap/>
            <w:hideMark/>
          </w:tcPr>
          <w:p w14:paraId="7D14DE4C"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2.2</w:t>
            </w:r>
          </w:p>
        </w:tc>
        <w:tc>
          <w:tcPr>
            <w:tcW w:w="900" w:type="dxa"/>
            <w:tcBorders>
              <w:top w:val="nil"/>
              <w:left w:val="nil"/>
              <w:bottom w:val="nil"/>
              <w:right w:val="nil"/>
            </w:tcBorders>
            <w:shd w:val="clear" w:color="auto" w:fill="auto"/>
            <w:noWrap/>
            <w:hideMark/>
          </w:tcPr>
          <w:p w14:paraId="24A0FBBA"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5.2</w:t>
            </w:r>
          </w:p>
        </w:tc>
        <w:tc>
          <w:tcPr>
            <w:tcW w:w="630" w:type="dxa"/>
            <w:tcBorders>
              <w:top w:val="nil"/>
              <w:left w:val="nil"/>
              <w:bottom w:val="nil"/>
              <w:right w:val="nil"/>
            </w:tcBorders>
            <w:shd w:val="clear" w:color="auto" w:fill="auto"/>
            <w:noWrap/>
            <w:hideMark/>
          </w:tcPr>
          <w:p w14:paraId="4EE5DA9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0.2</w:t>
            </w:r>
          </w:p>
        </w:tc>
        <w:tc>
          <w:tcPr>
            <w:tcW w:w="815" w:type="dxa"/>
            <w:tcBorders>
              <w:top w:val="nil"/>
              <w:left w:val="nil"/>
              <w:bottom w:val="nil"/>
              <w:right w:val="nil"/>
            </w:tcBorders>
            <w:shd w:val="clear" w:color="auto" w:fill="auto"/>
            <w:noWrap/>
            <w:hideMark/>
          </w:tcPr>
          <w:p w14:paraId="6300ED9C"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6.0</w:t>
            </w:r>
          </w:p>
        </w:tc>
        <w:tc>
          <w:tcPr>
            <w:tcW w:w="810" w:type="dxa"/>
            <w:tcBorders>
              <w:top w:val="nil"/>
              <w:left w:val="nil"/>
              <w:bottom w:val="nil"/>
              <w:right w:val="nil"/>
            </w:tcBorders>
            <w:shd w:val="clear" w:color="auto" w:fill="auto"/>
            <w:noWrap/>
            <w:hideMark/>
          </w:tcPr>
          <w:p w14:paraId="35A8706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12.5</w:t>
            </w:r>
          </w:p>
        </w:tc>
        <w:tc>
          <w:tcPr>
            <w:tcW w:w="900" w:type="dxa"/>
            <w:tcBorders>
              <w:top w:val="nil"/>
              <w:left w:val="nil"/>
              <w:bottom w:val="nil"/>
              <w:right w:val="nil"/>
            </w:tcBorders>
            <w:shd w:val="clear" w:color="auto" w:fill="auto"/>
            <w:noWrap/>
            <w:hideMark/>
          </w:tcPr>
          <w:p w14:paraId="19EE285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5.1</w:t>
            </w:r>
          </w:p>
        </w:tc>
        <w:tc>
          <w:tcPr>
            <w:tcW w:w="540" w:type="dxa"/>
            <w:tcBorders>
              <w:top w:val="nil"/>
              <w:left w:val="nil"/>
              <w:bottom w:val="nil"/>
              <w:right w:val="nil"/>
            </w:tcBorders>
            <w:shd w:val="clear" w:color="auto" w:fill="auto"/>
            <w:noWrap/>
            <w:hideMark/>
          </w:tcPr>
          <w:p w14:paraId="608E7F8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10.8</w:t>
            </w:r>
          </w:p>
        </w:tc>
        <w:tc>
          <w:tcPr>
            <w:tcW w:w="810" w:type="dxa"/>
            <w:tcBorders>
              <w:top w:val="nil"/>
              <w:left w:val="nil"/>
              <w:bottom w:val="nil"/>
              <w:right w:val="nil"/>
            </w:tcBorders>
            <w:shd w:val="clear" w:color="auto" w:fill="auto"/>
            <w:noWrap/>
            <w:hideMark/>
          </w:tcPr>
          <w:p w14:paraId="55BF236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21.3</w:t>
            </w:r>
          </w:p>
        </w:tc>
        <w:tc>
          <w:tcPr>
            <w:tcW w:w="810" w:type="dxa"/>
            <w:tcBorders>
              <w:top w:val="nil"/>
              <w:left w:val="nil"/>
              <w:bottom w:val="nil"/>
              <w:right w:val="nil"/>
            </w:tcBorders>
            <w:shd w:val="clear" w:color="auto" w:fill="auto"/>
            <w:noWrap/>
            <w:hideMark/>
          </w:tcPr>
          <w:p w14:paraId="20BEEE15"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val="en-US" w:bidi="bn-BD"/>
              </w:rPr>
              <w:t>641.5</w:t>
            </w:r>
          </w:p>
        </w:tc>
      </w:tr>
      <w:tr w:rsidR="005F2699" w:rsidRPr="005F2699" w14:paraId="261DE3D5" w14:textId="77777777" w:rsidTr="005F2699">
        <w:trPr>
          <w:trHeight w:val="300"/>
          <w:jc w:val="center"/>
        </w:trPr>
        <w:tc>
          <w:tcPr>
            <w:tcW w:w="630" w:type="dxa"/>
            <w:vMerge w:val="restart"/>
            <w:tcBorders>
              <w:top w:val="nil"/>
              <w:left w:val="nil"/>
              <w:bottom w:val="nil"/>
              <w:right w:val="nil"/>
            </w:tcBorders>
            <w:shd w:val="clear" w:color="auto" w:fill="auto"/>
            <w:noWrap/>
            <w:hideMark/>
          </w:tcPr>
          <w:p w14:paraId="09765BAA"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Site B</w:t>
            </w:r>
          </w:p>
        </w:tc>
        <w:tc>
          <w:tcPr>
            <w:tcW w:w="810" w:type="dxa"/>
            <w:tcBorders>
              <w:top w:val="nil"/>
              <w:left w:val="nil"/>
              <w:bottom w:val="nil"/>
              <w:right w:val="nil"/>
            </w:tcBorders>
            <w:shd w:val="clear" w:color="auto" w:fill="auto"/>
            <w:noWrap/>
            <w:hideMark/>
          </w:tcPr>
          <w:p w14:paraId="1CA73079"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AC</w:t>
            </w:r>
          </w:p>
        </w:tc>
        <w:tc>
          <w:tcPr>
            <w:tcW w:w="535" w:type="dxa"/>
            <w:tcBorders>
              <w:top w:val="nil"/>
              <w:left w:val="nil"/>
              <w:bottom w:val="nil"/>
              <w:right w:val="nil"/>
            </w:tcBorders>
            <w:shd w:val="clear" w:color="auto" w:fill="auto"/>
            <w:noWrap/>
            <w:hideMark/>
          </w:tcPr>
          <w:p w14:paraId="54FB4FC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7.8</w:t>
            </w:r>
          </w:p>
        </w:tc>
        <w:tc>
          <w:tcPr>
            <w:tcW w:w="540" w:type="dxa"/>
            <w:tcBorders>
              <w:top w:val="nil"/>
              <w:left w:val="nil"/>
              <w:bottom w:val="nil"/>
              <w:right w:val="nil"/>
            </w:tcBorders>
            <w:shd w:val="clear" w:color="auto" w:fill="auto"/>
            <w:noWrap/>
            <w:hideMark/>
          </w:tcPr>
          <w:p w14:paraId="4830332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1.0</w:t>
            </w:r>
          </w:p>
        </w:tc>
        <w:tc>
          <w:tcPr>
            <w:tcW w:w="630" w:type="dxa"/>
            <w:tcBorders>
              <w:top w:val="nil"/>
              <w:left w:val="nil"/>
              <w:bottom w:val="nil"/>
              <w:right w:val="nil"/>
            </w:tcBorders>
            <w:shd w:val="clear" w:color="auto" w:fill="auto"/>
            <w:noWrap/>
            <w:hideMark/>
          </w:tcPr>
          <w:p w14:paraId="7C2718E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CL</w:t>
            </w:r>
          </w:p>
        </w:tc>
        <w:tc>
          <w:tcPr>
            <w:tcW w:w="630" w:type="dxa"/>
            <w:tcBorders>
              <w:top w:val="nil"/>
              <w:left w:val="nil"/>
              <w:bottom w:val="nil"/>
              <w:right w:val="nil"/>
            </w:tcBorders>
            <w:shd w:val="clear" w:color="auto" w:fill="auto"/>
            <w:noWrap/>
            <w:hideMark/>
          </w:tcPr>
          <w:p w14:paraId="02F48AC1"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33.0</w:t>
            </w:r>
          </w:p>
        </w:tc>
        <w:tc>
          <w:tcPr>
            <w:tcW w:w="810" w:type="dxa"/>
            <w:tcBorders>
              <w:top w:val="nil"/>
              <w:left w:val="nil"/>
              <w:bottom w:val="nil"/>
              <w:right w:val="nil"/>
            </w:tcBorders>
            <w:shd w:val="clear" w:color="auto" w:fill="auto"/>
            <w:noWrap/>
            <w:hideMark/>
          </w:tcPr>
          <w:p w14:paraId="7A7BC063"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1.3</w:t>
            </w:r>
          </w:p>
        </w:tc>
        <w:tc>
          <w:tcPr>
            <w:tcW w:w="985" w:type="dxa"/>
            <w:tcBorders>
              <w:top w:val="nil"/>
              <w:left w:val="nil"/>
              <w:bottom w:val="nil"/>
              <w:right w:val="nil"/>
            </w:tcBorders>
            <w:shd w:val="clear" w:color="auto" w:fill="auto"/>
            <w:noWrap/>
            <w:hideMark/>
          </w:tcPr>
          <w:p w14:paraId="78909199"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48.7</w:t>
            </w:r>
          </w:p>
        </w:tc>
        <w:tc>
          <w:tcPr>
            <w:tcW w:w="545" w:type="dxa"/>
            <w:tcBorders>
              <w:top w:val="nil"/>
              <w:left w:val="nil"/>
              <w:bottom w:val="nil"/>
              <w:right w:val="nil"/>
            </w:tcBorders>
            <w:shd w:val="clear" w:color="auto" w:fill="auto"/>
            <w:noWrap/>
            <w:hideMark/>
          </w:tcPr>
          <w:p w14:paraId="5D2E8042"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3.1</w:t>
            </w:r>
          </w:p>
        </w:tc>
        <w:tc>
          <w:tcPr>
            <w:tcW w:w="630" w:type="dxa"/>
            <w:tcBorders>
              <w:top w:val="nil"/>
              <w:left w:val="nil"/>
              <w:bottom w:val="nil"/>
              <w:right w:val="nil"/>
            </w:tcBorders>
            <w:shd w:val="clear" w:color="auto" w:fill="auto"/>
            <w:noWrap/>
            <w:hideMark/>
          </w:tcPr>
          <w:p w14:paraId="5BFB508C"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2.5</w:t>
            </w:r>
          </w:p>
        </w:tc>
        <w:tc>
          <w:tcPr>
            <w:tcW w:w="900" w:type="dxa"/>
            <w:tcBorders>
              <w:top w:val="nil"/>
              <w:left w:val="nil"/>
              <w:bottom w:val="nil"/>
              <w:right w:val="nil"/>
            </w:tcBorders>
            <w:shd w:val="clear" w:color="auto" w:fill="auto"/>
            <w:noWrap/>
            <w:hideMark/>
          </w:tcPr>
          <w:p w14:paraId="534DEC44"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5.9</w:t>
            </w:r>
          </w:p>
        </w:tc>
        <w:tc>
          <w:tcPr>
            <w:tcW w:w="630" w:type="dxa"/>
            <w:tcBorders>
              <w:top w:val="nil"/>
              <w:left w:val="nil"/>
              <w:bottom w:val="nil"/>
              <w:right w:val="nil"/>
            </w:tcBorders>
            <w:shd w:val="clear" w:color="auto" w:fill="auto"/>
            <w:noWrap/>
            <w:hideMark/>
          </w:tcPr>
          <w:p w14:paraId="6F6DCBA2"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0.2</w:t>
            </w:r>
          </w:p>
        </w:tc>
        <w:tc>
          <w:tcPr>
            <w:tcW w:w="815" w:type="dxa"/>
            <w:tcBorders>
              <w:top w:val="nil"/>
              <w:left w:val="nil"/>
              <w:bottom w:val="nil"/>
              <w:right w:val="nil"/>
            </w:tcBorders>
            <w:shd w:val="clear" w:color="auto" w:fill="auto"/>
            <w:noWrap/>
            <w:hideMark/>
          </w:tcPr>
          <w:p w14:paraId="622A0B5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6.0</w:t>
            </w:r>
          </w:p>
        </w:tc>
        <w:tc>
          <w:tcPr>
            <w:tcW w:w="810" w:type="dxa"/>
            <w:tcBorders>
              <w:top w:val="nil"/>
              <w:left w:val="nil"/>
              <w:bottom w:val="nil"/>
              <w:right w:val="nil"/>
            </w:tcBorders>
            <w:shd w:val="clear" w:color="auto" w:fill="auto"/>
            <w:noWrap/>
            <w:hideMark/>
          </w:tcPr>
          <w:p w14:paraId="02032FBB"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17.0</w:t>
            </w:r>
          </w:p>
        </w:tc>
        <w:tc>
          <w:tcPr>
            <w:tcW w:w="900" w:type="dxa"/>
            <w:tcBorders>
              <w:top w:val="nil"/>
              <w:left w:val="nil"/>
              <w:bottom w:val="nil"/>
              <w:right w:val="nil"/>
            </w:tcBorders>
            <w:shd w:val="clear" w:color="auto" w:fill="auto"/>
            <w:noWrap/>
            <w:hideMark/>
          </w:tcPr>
          <w:p w14:paraId="4F4AC1D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4.5</w:t>
            </w:r>
          </w:p>
        </w:tc>
        <w:tc>
          <w:tcPr>
            <w:tcW w:w="540" w:type="dxa"/>
            <w:tcBorders>
              <w:top w:val="nil"/>
              <w:left w:val="nil"/>
              <w:bottom w:val="nil"/>
              <w:right w:val="nil"/>
            </w:tcBorders>
            <w:shd w:val="clear" w:color="auto" w:fill="auto"/>
            <w:noWrap/>
            <w:hideMark/>
          </w:tcPr>
          <w:p w14:paraId="01FB5C0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9.8</w:t>
            </w:r>
          </w:p>
        </w:tc>
        <w:tc>
          <w:tcPr>
            <w:tcW w:w="810" w:type="dxa"/>
            <w:tcBorders>
              <w:top w:val="nil"/>
              <w:left w:val="nil"/>
              <w:bottom w:val="nil"/>
              <w:right w:val="nil"/>
            </w:tcBorders>
            <w:shd w:val="clear" w:color="auto" w:fill="auto"/>
            <w:noWrap/>
            <w:hideMark/>
          </w:tcPr>
          <w:p w14:paraId="230754B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30.0</w:t>
            </w:r>
          </w:p>
        </w:tc>
        <w:tc>
          <w:tcPr>
            <w:tcW w:w="810" w:type="dxa"/>
            <w:tcBorders>
              <w:top w:val="nil"/>
              <w:left w:val="nil"/>
              <w:bottom w:val="nil"/>
              <w:right w:val="nil"/>
            </w:tcBorders>
            <w:shd w:val="clear" w:color="auto" w:fill="auto"/>
            <w:noWrap/>
            <w:hideMark/>
          </w:tcPr>
          <w:p w14:paraId="6B4A8D5C"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val="en-US" w:bidi="bn-BD"/>
              </w:rPr>
              <w:t>2353.2</w:t>
            </w:r>
          </w:p>
        </w:tc>
      </w:tr>
      <w:tr w:rsidR="005F2699" w:rsidRPr="005F2699" w14:paraId="564CAAED" w14:textId="77777777" w:rsidTr="005F2699">
        <w:trPr>
          <w:trHeight w:val="300"/>
          <w:jc w:val="center"/>
        </w:trPr>
        <w:tc>
          <w:tcPr>
            <w:tcW w:w="630" w:type="dxa"/>
            <w:vMerge/>
            <w:tcBorders>
              <w:top w:val="nil"/>
              <w:left w:val="nil"/>
              <w:bottom w:val="nil"/>
              <w:right w:val="nil"/>
            </w:tcBorders>
            <w:shd w:val="clear" w:color="auto" w:fill="auto"/>
            <w:noWrap/>
            <w:hideMark/>
          </w:tcPr>
          <w:p w14:paraId="63BA1AF3"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p>
        </w:tc>
        <w:tc>
          <w:tcPr>
            <w:tcW w:w="810" w:type="dxa"/>
            <w:tcBorders>
              <w:top w:val="nil"/>
              <w:left w:val="nil"/>
              <w:bottom w:val="nil"/>
              <w:right w:val="nil"/>
            </w:tcBorders>
            <w:shd w:val="clear" w:color="auto" w:fill="auto"/>
            <w:noWrap/>
            <w:hideMark/>
          </w:tcPr>
          <w:p w14:paraId="75A8BB6F"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PA</w:t>
            </w:r>
          </w:p>
        </w:tc>
        <w:tc>
          <w:tcPr>
            <w:tcW w:w="535" w:type="dxa"/>
            <w:tcBorders>
              <w:top w:val="nil"/>
              <w:left w:val="nil"/>
              <w:bottom w:val="nil"/>
              <w:right w:val="nil"/>
            </w:tcBorders>
            <w:shd w:val="clear" w:color="auto" w:fill="auto"/>
            <w:noWrap/>
            <w:hideMark/>
          </w:tcPr>
          <w:p w14:paraId="652B8563"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8.0</w:t>
            </w:r>
          </w:p>
        </w:tc>
        <w:tc>
          <w:tcPr>
            <w:tcW w:w="540" w:type="dxa"/>
            <w:tcBorders>
              <w:top w:val="nil"/>
              <w:left w:val="nil"/>
              <w:bottom w:val="nil"/>
              <w:right w:val="nil"/>
            </w:tcBorders>
            <w:shd w:val="clear" w:color="auto" w:fill="auto"/>
            <w:noWrap/>
            <w:hideMark/>
          </w:tcPr>
          <w:p w14:paraId="51A90EB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2.6</w:t>
            </w:r>
          </w:p>
        </w:tc>
        <w:tc>
          <w:tcPr>
            <w:tcW w:w="630" w:type="dxa"/>
            <w:tcBorders>
              <w:top w:val="nil"/>
              <w:left w:val="nil"/>
              <w:bottom w:val="nil"/>
              <w:right w:val="nil"/>
            </w:tcBorders>
            <w:shd w:val="clear" w:color="auto" w:fill="auto"/>
            <w:noWrap/>
            <w:hideMark/>
          </w:tcPr>
          <w:p w14:paraId="5DA75874"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CL</w:t>
            </w:r>
          </w:p>
        </w:tc>
        <w:tc>
          <w:tcPr>
            <w:tcW w:w="630" w:type="dxa"/>
            <w:tcBorders>
              <w:top w:val="nil"/>
              <w:left w:val="nil"/>
              <w:bottom w:val="nil"/>
              <w:right w:val="nil"/>
            </w:tcBorders>
            <w:shd w:val="clear" w:color="auto" w:fill="auto"/>
            <w:noWrap/>
            <w:hideMark/>
          </w:tcPr>
          <w:p w14:paraId="77F9344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32.0</w:t>
            </w:r>
          </w:p>
        </w:tc>
        <w:tc>
          <w:tcPr>
            <w:tcW w:w="810" w:type="dxa"/>
            <w:tcBorders>
              <w:top w:val="nil"/>
              <w:left w:val="nil"/>
              <w:bottom w:val="nil"/>
              <w:right w:val="nil"/>
            </w:tcBorders>
            <w:shd w:val="clear" w:color="auto" w:fill="auto"/>
            <w:noWrap/>
            <w:hideMark/>
          </w:tcPr>
          <w:p w14:paraId="2E57755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1.2</w:t>
            </w:r>
          </w:p>
        </w:tc>
        <w:tc>
          <w:tcPr>
            <w:tcW w:w="985" w:type="dxa"/>
            <w:tcBorders>
              <w:top w:val="nil"/>
              <w:left w:val="nil"/>
              <w:bottom w:val="nil"/>
              <w:right w:val="nil"/>
            </w:tcBorders>
            <w:shd w:val="clear" w:color="auto" w:fill="auto"/>
            <w:noWrap/>
            <w:hideMark/>
          </w:tcPr>
          <w:p w14:paraId="6C3D53A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42.5</w:t>
            </w:r>
          </w:p>
        </w:tc>
        <w:tc>
          <w:tcPr>
            <w:tcW w:w="545" w:type="dxa"/>
            <w:tcBorders>
              <w:top w:val="nil"/>
              <w:left w:val="nil"/>
              <w:bottom w:val="nil"/>
              <w:right w:val="nil"/>
            </w:tcBorders>
            <w:shd w:val="clear" w:color="auto" w:fill="auto"/>
            <w:noWrap/>
            <w:hideMark/>
          </w:tcPr>
          <w:p w14:paraId="07BF580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4.9</w:t>
            </w:r>
          </w:p>
        </w:tc>
        <w:tc>
          <w:tcPr>
            <w:tcW w:w="630" w:type="dxa"/>
            <w:tcBorders>
              <w:top w:val="nil"/>
              <w:left w:val="nil"/>
              <w:bottom w:val="nil"/>
              <w:right w:val="nil"/>
            </w:tcBorders>
            <w:shd w:val="clear" w:color="auto" w:fill="auto"/>
            <w:noWrap/>
            <w:hideMark/>
          </w:tcPr>
          <w:p w14:paraId="52A1ED0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2.7</w:t>
            </w:r>
          </w:p>
        </w:tc>
        <w:tc>
          <w:tcPr>
            <w:tcW w:w="900" w:type="dxa"/>
            <w:tcBorders>
              <w:top w:val="nil"/>
              <w:left w:val="nil"/>
              <w:bottom w:val="nil"/>
              <w:right w:val="nil"/>
            </w:tcBorders>
            <w:shd w:val="clear" w:color="auto" w:fill="auto"/>
            <w:noWrap/>
            <w:hideMark/>
          </w:tcPr>
          <w:p w14:paraId="290ED42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4.6</w:t>
            </w:r>
          </w:p>
        </w:tc>
        <w:tc>
          <w:tcPr>
            <w:tcW w:w="630" w:type="dxa"/>
            <w:tcBorders>
              <w:top w:val="nil"/>
              <w:left w:val="nil"/>
              <w:bottom w:val="nil"/>
              <w:right w:val="nil"/>
            </w:tcBorders>
            <w:shd w:val="clear" w:color="auto" w:fill="auto"/>
            <w:noWrap/>
            <w:hideMark/>
          </w:tcPr>
          <w:p w14:paraId="38ED8EE5"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0.3</w:t>
            </w:r>
          </w:p>
        </w:tc>
        <w:tc>
          <w:tcPr>
            <w:tcW w:w="815" w:type="dxa"/>
            <w:tcBorders>
              <w:top w:val="nil"/>
              <w:left w:val="nil"/>
              <w:bottom w:val="nil"/>
              <w:right w:val="nil"/>
            </w:tcBorders>
            <w:shd w:val="clear" w:color="auto" w:fill="auto"/>
            <w:noWrap/>
            <w:hideMark/>
          </w:tcPr>
          <w:p w14:paraId="0C8FBFE9"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5.2</w:t>
            </w:r>
          </w:p>
        </w:tc>
        <w:tc>
          <w:tcPr>
            <w:tcW w:w="810" w:type="dxa"/>
            <w:tcBorders>
              <w:top w:val="nil"/>
              <w:left w:val="nil"/>
              <w:bottom w:val="nil"/>
              <w:right w:val="nil"/>
            </w:tcBorders>
            <w:shd w:val="clear" w:color="auto" w:fill="auto"/>
            <w:noWrap/>
            <w:hideMark/>
          </w:tcPr>
          <w:p w14:paraId="01C20386"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33.4</w:t>
            </w:r>
          </w:p>
        </w:tc>
        <w:tc>
          <w:tcPr>
            <w:tcW w:w="900" w:type="dxa"/>
            <w:tcBorders>
              <w:top w:val="nil"/>
              <w:left w:val="nil"/>
              <w:bottom w:val="nil"/>
              <w:right w:val="nil"/>
            </w:tcBorders>
            <w:shd w:val="clear" w:color="auto" w:fill="auto"/>
            <w:noWrap/>
            <w:hideMark/>
          </w:tcPr>
          <w:p w14:paraId="0B0DCFCC"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8.1</w:t>
            </w:r>
          </w:p>
        </w:tc>
        <w:tc>
          <w:tcPr>
            <w:tcW w:w="540" w:type="dxa"/>
            <w:tcBorders>
              <w:top w:val="nil"/>
              <w:left w:val="nil"/>
              <w:bottom w:val="nil"/>
              <w:right w:val="nil"/>
            </w:tcBorders>
            <w:shd w:val="clear" w:color="auto" w:fill="auto"/>
            <w:noWrap/>
            <w:hideMark/>
          </w:tcPr>
          <w:p w14:paraId="2BE98DB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10.8</w:t>
            </w:r>
          </w:p>
        </w:tc>
        <w:tc>
          <w:tcPr>
            <w:tcW w:w="810" w:type="dxa"/>
            <w:tcBorders>
              <w:top w:val="nil"/>
              <w:left w:val="nil"/>
              <w:bottom w:val="nil"/>
              <w:right w:val="nil"/>
            </w:tcBorders>
            <w:shd w:val="clear" w:color="auto" w:fill="auto"/>
            <w:noWrap/>
            <w:hideMark/>
          </w:tcPr>
          <w:p w14:paraId="39EE96B0"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31.2</w:t>
            </w:r>
          </w:p>
        </w:tc>
        <w:tc>
          <w:tcPr>
            <w:tcW w:w="810" w:type="dxa"/>
            <w:tcBorders>
              <w:top w:val="nil"/>
              <w:left w:val="nil"/>
              <w:bottom w:val="nil"/>
              <w:right w:val="nil"/>
            </w:tcBorders>
            <w:shd w:val="clear" w:color="auto" w:fill="auto"/>
            <w:noWrap/>
            <w:hideMark/>
          </w:tcPr>
          <w:p w14:paraId="1117BA24"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val="en-US" w:bidi="bn-BD"/>
              </w:rPr>
              <w:t>274.4</w:t>
            </w:r>
          </w:p>
        </w:tc>
      </w:tr>
      <w:tr w:rsidR="005F2699" w:rsidRPr="005F2699" w14:paraId="6B80CB2D" w14:textId="77777777" w:rsidTr="005F2699">
        <w:trPr>
          <w:trHeight w:val="300"/>
          <w:jc w:val="center"/>
        </w:trPr>
        <w:tc>
          <w:tcPr>
            <w:tcW w:w="630" w:type="dxa"/>
            <w:vMerge/>
            <w:tcBorders>
              <w:top w:val="nil"/>
              <w:left w:val="nil"/>
              <w:right w:val="nil"/>
            </w:tcBorders>
            <w:shd w:val="clear" w:color="auto" w:fill="auto"/>
            <w:noWrap/>
            <w:hideMark/>
          </w:tcPr>
          <w:p w14:paraId="56463A9C"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p>
        </w:tc>
        <w:tc>
          <w:tcPr>
            <w:tcW w:w="810" w:type="dxa"/>
            <w:tcBorders>
              <w:top w:val="nil"/>
              <w:left w:val="nil"/>
              <w:right w:val="nil"/>
            </w:tcBorders>
            <w:shd w:val="clear" w:color="auto" w:fill="auto"/>
            <w:noWrap/>
            <w:hideMark/>
          </w:tcPr>
          <w:p w14:paraId="5F435DD1" w14:textId="77777777" w:rsidR="005F2699" w:rsidRPr="005F2699" w:rsidRDefault="005F2699" w:rsidP="005F2699">
            <w:pPr>
              <w:spacing w:after="0" w:line="480" w:lineRule="auto"/>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SRW</w:t>
            </w:r>
          </w:p>
        </w:tc>
        <w:tc>
          <w:tcPr>
            <w:tcW w:w="535" w:type="dxa"/>
            <w:tcBorders>
              <w:top w:val="nil"/>
              <w:left w:val="nil"/>
              <w:right w:val="nil"/>
            </w:tcBorders>
            <w:shd w:val="clear" w:color="auto" w:fill="auto"/>
            <w:noWrap/>
            <w:hideMark/>
          </w:tcPr>
          <w:p w14:paraId="36731163"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7.8</w:t>
            </w:r>
          </w:p>
        </w:tc>
        <w:tc>
          <w:tcPr>
            <w:tcW w:w="540" w:type="dxa"/>
            <w:tcBorders>
              <w:top w:val="nil"/>
              <w:left w:val="nil"/>
              <w:right w:val="nil"/>
            </w:tcBorders>
            <w:shd w:val="clear" w:color="auto" w:fill="auto"/>
            <w:noWrap/>
            <w:hideMark/>
          </w:tcPr>
          <w:p w14:paraId="776EE37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2.8</w:t>
            </w:r>
          </w:p>
        </w:tc>
        <w:tc>
          <w:tcPr>
            <w:tcW w:w="630" w:type="dxa"/>
            <w:tcBorders>
              <w:top w:val="nil"/>
              <w:left w:val="nil"/>
              <w:right w:val="nil"/>
            </w:tcBorders>
            <w:shd w:val="clear" w:color="auto" w:fill="auto"/>
            <w:noWrap/>
            <w:hideMark/>
          </w:tcPr>
          <w:p w14:paraId="741970F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CL</w:t>
            </w:r>
          </w:p>
        </w:tc>
        <w:tc>
          <w:tcPr>
            <w:tcW w:w="630" w:type="dxa"/>
            <w:tcBorders>
              <w:top w:val="nil"/>
              <w:left w:val="nil"/>
              <w:right w:val="nil"/>
            </w:tcBorders>
            <w:shd w:val="clear" w:color="auto" w:fill="auto"/>
            <w:noWrap/>
            <w:hideMark/>
          </w:tcPr>
          <w:p w14:paraId="0F10D0F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30.0</w:t>
            </w:r>
          </w:p>
        </w:tc>
        <w:tc>
          <w:tcPr>
            <w:tcW w:w="810" w:type="dxa"/>
            <w:tcBorders>
              <w:top w:val="nil"/>
              <w:left w:val="nil"/>
              <w:right w:val="nil"/>
            </w:tcBorders>
            <w:shd w:val="clear" w:color="auto" w:fill="auto"/>
            <w:noWrap/>
            <w:hideMark/>
          </w:tcPr>
          <w:p w14:paraId="132D3D9E"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1.4</w:t>
            </w:r>
          </w:p>
        </w:tc>
        <w:tc>
          <w:tcPr>
            <w:tcW w:w="985" w:type="dxa"/>
            <w:tcBorders>
              <w:top w:val="nil"/>
              <w:left w:val="nil"/>
              <w:right w:val="nil"/>
            </w:tcBorders>
            <w:shd w:val="clear" w:color="auto" w:fill="auto"/>
            <w:noWrap/>
            <w:hideMark/>
          </w:tcPr>
          <w:p w14:paraId="49A19E7B"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45.9</w:t>
            </w:r>
          </w:p>
        </w:tc>
        <w:tc>
          <w:tcPr>
            <w:tcW w:w="545" w:type="dxa"/>
            <w:tcBorders>
              <w:top w:val="nil"/>
              <w:left w:val="nil"/>
              <w:right w:val="nil"/>
            </w:tcBorders>
            <w:shd w:val="clear" w:color="auto" w:fill="auto"/>
            <w:noWrap/>
            <w:hideMark/>
          </w:tcPr>
          <w:p w14:paraId="5849A47B"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2.8</w:t>
            </w:r>
          </w:p>
        </w:tc>
        <w:tc>
          <w:tcPr>
            <w:tcW w:w="630" w:type="dxa"/>
            <w:tcBorders>
              <w:top w:val="nil"/>
              <w:left w:val="nil"/>
              <w:right w:val="nil"/>
            </w:tcBorders>
            <w:shd w:val="clear" w:color="auto" w:fill="auto"/>
            <w:noWrap/>
            <w:hideMark/>
          </w:tcPr>
          <w:p w14:paraId="1C37EDAF"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2.4</w:t>
            </w:r>
          </w:p>
        </w:tc>
        <w:tc>
          <w:tcPr>
            <w:tcW w:w="900" w:type="dxa"/>
            <w:tcBorders>
              <w:top w:val="nil"/>
              <w:left w:val="nil"/>
              <w:right w:val="nil"/>
            </w:tcBorders>
            <w:shd w:val="clear" w:color="auto" w:fill="auto"/>
            <w:noWrap/>
            <w:hideMark/>
          </w:tcPr>
          <w:p w14:paraId="28A614B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6.2</w:t>
            </w:r>
          </w:p>
        </w:tc>
        <w:tc>
          <w:tcPr>
            <w:tcW w:w="630" w:type="dxa"/>
            <w:tcBorders>
              <w:top w:val="nil"/>
              <w:left w:val="nil"/>
              <w:right w:val="nil"/>
            </w:tcBorders>
            <w:shd w:val="clear" w:color="auto" w:fill="auto"/>
            <w:noWrap/>
            <w:hideMark/>
          </w:tcPr>
          <w:p w14:paraId="0676590D"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0.3</w:t>
            </w:r>
          </w:p>
        </w:tc>
        <w:tc>
          <w:tcPr>
            <w:tcW w:w="815" w:type="dxa"/>
            <w:tcBorders>
              <w:top w:val="nil"/>
              <w:left w:val="nil"/>
              <w:right w:val="nil"/>
            </w:tcBorders>
            <w:shd w:val="clear" w:color="auto" w:fill="auto"/>
            <w:noWrap/>
            <w:hideMark/>
          </w:tcPr>
          <w:p w14:paraId="0542F8A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6.3</w:t>
            </w:r>
          </w:p>
        </w:tc>
        <w:tc>
          <w:tcPr>
            <w:tcW w:w="810" w:type="dxa"/>
            <w:tcBorders>
              <w:top w:val="nil"/>
              <w:left w:val="nil"/>
              <w:right w:val="nil"/>
            </w:tcBorders>
            <w:shd w:val="clear" w:color="auto" w:fill="auto"/>
            <w:noWrap/>
            <w:hideMark/>
          </w:tcPr>
          <w:p w14:paraId="7549E998"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13.9</w:t>
            </w:r>
          </w:p>
        </w:tc>
        <w:tc>
          <w:tcPr>
            <w:tcW w:w="900" w:type="dxa"/>
            <w:tcBorders>
              <w:top w:val="nil"/>
              <w:left w:val="nil"/>
              <w:right w:val="nil"/>
            </w:tcBorders>
            <w:shd w:val="clear" w:color="auto" w:fill="auto"/>
            <w:noWrap/>
            <w:hideMark/>
          </w:tcPr>
          <w:p w14:paraId="2F935EA3"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4.3</w:t>
            </w:r>
          </w:p>
        </w:tc>
        <w:tc>
          <w:tcPr>
            <w:tcW w:w="540" w:type="dxa"/>
            <w:tcBorders>
              <w:top w:val="nil"/>
              <w:left w:val="nil"/>
              <w:right w:val="nil"/>
            </w:tcBorders>
            <w:shd w:val="clear" w:color="auto" w:fill="auto"/>
            <w:noWrap/>
            <w:hideMark/>
          </w:tcPr>
          <w:p w14:paraId="43A254C7"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9.4</w:t>
            </w:r>
          </w:p>
        </w:tc>
        <w:tc>
          <w:tcPr>
            <w:tcW w:w="810" w:type="dxa"/>
            <w:tcBorders>
              <w:top w:val="nil"/>
              <w:left w:val="nil"/>
              <w:right w:val="nil"/>
            </w:tcBorders>
            <w:shd w:val="clear" w:color="auto" w:fill="auto"/>
            <w:noWrap/>
            <w:hideMark/>
          </w:tcPr>
          <w:p w14:paraId="459B2DA9"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bidi="bn-BD"/>
              </w:rPr>
              <w:t>37.8</w:t>
            </w:r>
          </w:p>
        </w:tc>
        <w:tc>
          <w:tcPr>
            <w:tcW w:w="810" w:type="dxa"/>
            <w:tcBorders>
              <w:top w:val="nil"/>
              <w:left w:val="nil"/>
              <w:right w:val="nil"/>
            </w:tcBorders>
            <w:shd w:val="clear" w:color="auto" w:fill="auto"/>
            <w:noWrap/>
            <w:hideMark/>
          </w:tcPr>
          <w:p w14:paraId="6D337E4A" w14:textId="77777777" w:rsidR="005F2699" w:rsidRPr="005F2699" w:rsidRDefault="005F2699" w:rsidP="005F2699">
            <w:pPr>
              <w:spacing w:after="0" w:line="480" w:lineRule="auto"/>
              <w:jc w:val="center"/>
              <w:rPr>
                <w:rFonts w:ascii="Arial" w:eastAsia="Times New Roman" w:hAnsi="Arial" w:cs="Arial"/>
                <w:color w:val="000000"/>
                <w:sz w:val="16"/>
                <w:szCs w:val="16"/>
                <w:lang w:val="en-US" w:bidi="bn-BD"/>
              </w:rPr>
            </w:pPr>
            <w:r w:rsidRPr="005F2699">
              <w:rPr>
                <w:rFonts w:ascii="Arial" w:eastAsia="Times New Roman" w:hAnsi="Arial" w:cs="Arial"/>
                <w:color w:val="000000"/>
                <w:sz w:val="16"/>
                <w:szCs w:val="16"/>
                <w:lang w:val="en-US" w:bidi="bn-BD"/>
              </w:rPr>
              <w:t>3496.2</w:t>
            </w:r>
          </w:p>
        </w:tc>
      </w:tr>
    </w:tbl>
    <w:p w14:paraId="46FF6593" w14:textId="77777777" w:rsidR="005F2699" w:rsidRPr="00FD267C" w:rsidRDefault="005F2699" w:rsidP="00FD267C">
      <w:pPr>
        <w:spacing w:before="240" w:line="360" w:lineRule="auto"/>
        <w:rPr>
          <w:rFonts w:ascii="Arial" w:eastAsia="Calibri" w:hAnsi="Arial" w:cs="Arial"/>
          <w:sz w:val="20"/>
          <w:szCs w:val="20"/>
        </w:rPr>
      </w:pPr>
      <w:r w:rsidRPr="00FD267C">
        <w:rPr>
          <w:rFonts w:ascii="Arial" w:eastAsia="Calibri" w:hAnsi="Arial" w:cs="Arial"/>
          <w:sz w:val="20"/>
          <w:szCs w:val="20"/>
        </w:rPr>
        <w:t>† AC = annual crop, PA = pasture, SRW = short rotation willow, EC = electrical conductivity, CL = clay loam, SCL = sandy clay loam, CEC = cation exchange capacity, TSC = total soil carbon, SOC = soil organic carbon, WEOC = water-extractable organic carbon, TN = total nitrogen, WEON = water-extractable organic nitrogen, C/N ratio = carbon and nitrogen ratio.</w:t>
      </w:r>
    </w:p>
    <w:p w14:paraId="4EE8855A" w14:textId="77777777" w:rsidR="005F2699" w:rsidRPr="005F2699" w:rsidRDefault="005F2699" w:rsidP="005F2699">
      <w:pPr>
        <w:spacing w:line="480" w:lineRule="auto"/>
        <w:rPr>
          <w:rFonts w:ascii="Arial" w:eastAsia="Calibri" w:hAnsi="Arial" w:cs="Arial"/>
          <w:b/>
          <w:bCs/>
        </w:rPr>
        <w:sectPr w:rsidR="005F2699" w:rsidRPr="005F2699" w:rsidSect="008E72A5">
          <w:pgSz w:w="15840" w:h="12240" w:orient="landscape"/>
          <w:pgMar w:top="1440" w:right="1440" w:bottom="1440" w:left="1440" w:header="706" w:footer="706" w:gutter="0"/>
          <w:lnNumType w:countBy="1" w:restart="continuous"/>
          <w:cols w:space="708"/>
          <w:docGrid w:linePitch="360"/>
        </w:sectPr>
      </w:pPr>
    </w:p>
    <w:p w14:paraId="4950BC70" w14:textId="77777777" w:rsidR="005F2699" w:rsidRPr="005F2699" w:rsidRDefault="005F2699" w:rsidP="00B61D91">
      <w:pPr>
        <w:spacing w:line="360" w:lineRule="auto"/>
        <w:rPr>
          <w:rFonts w:ascii="Arial" w:eastAsia="Calibri" w:hAnsi="Arial" w:cs="Arial"/>
          <w:b/>
          <w:bCs/>
        </w:rPr>
      </w:pPr>
      <w:r w:rsidRPr="005F2699">
        <w:rPr>
          <w:rFonts w:ascii="Arial" w:eastAsia="Calibri" w:hAnsi="Arial" w:cs="Arial"/>
          <w:noProof/>
        </w:rPr>
        <w:lastRenderedPageBreak/>
        <w:drawing>
          <wp:inline distT="0" distB="0" distL="0" distR="0" wp14:anchorId="3A9703A6" wp14:editId="2C71A74C">
            <wp:extent cx="5696797" cy="74961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3302"/>
                    <a:stretch/>
                  </pic:blipFill>
                  <pic:spPr bwMode="auto">
                    <a:xfrm>
                      <a:off x="0" y="0"/>
                      <a:ext cx="5707632" cy="7510433"/>
                    </a:xfrm>
                    <a:prstGeom prst="rect">
                      <a:avLst/>
                    </a:prstGeom>
                    <a:noFill/>
                    <a:ln>
                      <a:noFill/>
                    </a:ln>
                    <a:extLst>
                      <a:ext uri="{53640926-AAD7-44D8-BBD7-CCE9431645EC}">
                        <a14:shadowObscured xmlns:a14="http://schemas.microsoft.com/office/drawing/2010/main"/>
                      </a:ext>
                    </a:extLst>
                  </pic:spPr>
                </pic:pic>
              </a:graphicData>
            </a:graphic>
          </wp:inline>
        </w:drawing>
      </w:r>
    </w:p>
    <w:p w14:paraId="395A005C" w14:textId="6A322829" w:rsidR="005F2699" w:rsidRPr="005F2699" w:rsidRDefault="005F2699" w:rsidP="00B61D91">
      <w:pPr>
        <w:spacing w:line="360" w:lineRule="auto"/>
        <w:rPr>
          <w:rFonts w:ascii="Arial" w:eastAsia="Calibri" w:hAnsi="Arial" w:cs="Arial"/>
        </w:rPr>
      </w:pPr>
      <w:r w:rsidRPr="005F2699">
        <w:rPr>
          <w:rFonts w:ascii="Arial" w:eastAsia="Calibri" w:hAnsi="Arial" w:cs="Arial"/>
          <w:b/>
          <w:bCs/>
        </w:rPr>
        <w:t xml:space="preserve">Supplementary Figure 1 </w:t>
      </w:r>
      <w:r w:rsidRPr="005F2699">
        <w:rPr>
          <w:rFonts w:ascii="Arial" w:eastAsia="Calibri" w:hAnsi="Arial" w:cs="Arial"/>
        </w:rPr>
        <w:t>Location map of study sites at Indian Head, SK from where intact soil cores collected</w:t>
      </w:r>
      <w:r w:rsidR="007F0E37">
        <w:rPr>
          <w:rFonts w:ascii="Arial" w:eastAsia="Calibri" w:hAnsi="Arial" w:cs="Arial"/>
        </w:rPr>
        <w:t>.</w:t>
      </w:r>
      <w:r w:rsidRPr="005F2699">
        <w:rPr>
          <w:rFonts w:ascii="Arial" w:eastAsia="Calibri" w:hAnsi="Arial" w:cs="Arial"/>
        </w:rPr>
        <w:t xml:space="preserve"> (</w:t>
      </w:r>
      <w:r w:rsidRPr="005F2699">
        <w:rPr>
          <w:rFonts w:ascii="Arial" w:eastAsia="Calibri" w:hAnsi="Arial" w:cs="Arial"/>
          <w:b/>
          <w:bCs/>
        </w:rPr>
        <w:t>Source:</w:t>
      </w:r>
      <w:r w:rsidRPr="005F2699">
        <w:rPr>
          <w:rFonts w:ascii="Arial" w:eastAsia="Calibri" w:hAnsi="Arial" w:cs="Arial"/>
        </w:rPr>
        <w:t xml:space="preserve"> Google Imagery </w:t>
      </w:r>
      <w:r w:rsidRPr="005F2699">
        <w:rPr>
          <w:rFonts w:ascii="Arial" w:eastAsia="Calibri" w:hAnsi="Arial" w:cs="Arial"/>
          <w:b/>
          <w:bCs/>
        </w:rPr>
        <w:t>©</w:t>
      </w:r>
      <w:r w:rsidRPr="005F2699">
        <w:rPr>
          <w:rFonts w:ascii="Arial" w:eastAsia="Calibri" w:hAnsi="Arial" w:cs="Arial"/>
        </w:rPr>
        <w:t xml:space="preserve">2019)  </w:t>
      </w:r>
      <w:r w:rsidRPr="005F2699">
        <w:rPr>
          <w:rFonts w:ascii="Arial" w:eastAsia="Calibri" w:hAnsi="Arial" w:cs="Arial"/>
          <w:b/>
          <w:bCs/>
        </w:rPr>
        <w:t xml:space="preserve"> </w:t>
      </w:r>
    </w:p>
    <w:p w14:paraId="4CCCA3EF" w14:textId="0CE845C5" w:rsidR="005F2699" w:rsidRPr="005F2699" w:rsidRDefault="00E413C1" w:rsidP="008A1B54">
      <w:pPr>
        <w:spacing w:line="360" w:lineRule="auto"/>
        <w:rPr>
          <w:rFonts w:ascii="Arial" w:eastAsia="Calibri" w:hAnsi="Arial" w:cs="Arial"/>
        </w:rPr>
      </w:pPr>
      <w:r w:rsidRPr="00E413C1">
        <w:rPr>
          <w:noProof/>
        </w:rPr>
        <w:lastRenderedPageBreak/>
        <w:drawing>
          <wp:inline distT="0" distB="0" distL="0" distR="0" wp14:anchorId="7076E6FB" wp14:editId="7B13D33B">
            <wp:extent cx="5017162" cy="72247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28960" cy="7241703"/>
                    </a:xfrm>
                    <a:prstGeom prst="rect">
                      <a:avLst/>
                    </a:prstGeom>
                    <a:noFill/>
                    <a:ln>
                      <a:noFill/>
                    </a:ln>
                  </pic:spPr>
                </pic:pic>
              </a:graphicData>
            </a:graphic>
          </wp:inline>
        </w:drawing>
      </w:r>
    </w:p>
    <w:p w14:paraId="61B9F1D9" w14:textId="77777777" w:rsidR="005F2699" w:rsidRPr="005F2699" w:rsidRDefault="005F2699" w:rsidP="008A1B54">
      <w:pPr>
        <w:spacing w:line="360" w:lineRule="auto"/>
        <w:rPr>
          <w:rFonts w:ascii="Arial" w:eastAsia="Calibri" w:hAnsi="Arial" w:cs="Arial"/>
        </w:rPr>
      </w:pPr>
      <w:r w:rsidRPr="005F2699">
        <w:rPr>
          <w:rFonts w:ascii="Arial" w:eastAsia="Calibri" w:hAnsi="Arial" w:cs="Arial"/>
          <w:b/>
          <w:bCs/>
        </w:rPr>
        <w:t>Supplementary Figure 2</w:t>
      </w:r>
      <w:r w:rsidRPr="005F2699">
        <w:rPr>
          <w:rFonts w:ascii="Arial" w:eastAsia="Calibri" w:hAnsi="Arial" w:cs="Arial"/>
        </w:rPr>
        <w:t xml:space="preserve"> Experimental layout for microcosm incubation experiment in the greenhouse using intact soil cores (Note: diagram is not to scale).</w:t>
      </w:r>
    </w:p>
    <w:p w14:paraId="357FEC7F" w14:textId="77777777" w:rsidR="005F2699" w:rsidRPr="008A1B54" w:rsidRDefault="005F2699" w:rsidP="008A1B54">
      <w:pPr>
        <w:spacing w:line="360" w:lineRule="auto"/>
        <w:rPr>
          <w:rFonts w:ascii="Arial" w:eastAsia="Calibri" w:hAnsi="Arial" w:cs="Arial"/>
          <w:sz w:val="20"/>
          <w:szCs w:val="20"/>
        </w:rPr>
      </w:pPr>
      <w:r w:rsidRPr="008A1B54">
        <w:rPr>
          <w:rFonts w:ascii="Arial" w:eastAsia="Calibri" w:hAnsi="Arial" w:cs="Arial"/>
          <w:sz w:val="20"/>
          <w:szCs w:val="20"/>
        </w:rPr>
        <w:t>† AC = annual crop, PA = pasture, SRW = short rotation willow, R = replication.</w:t>
      </w:r>
    </w:p>
    <w:p w14:paraId="07A095BD" w14:textId="77777777" w:rsidR="005F2699" w:rsidRPr="005F2699" w:rsidRDefault="005F2699" w:rsidP="00D839E0">
      <w:pPr>
        <w:spacing w:line="360" w:lineRule="auto"/>
        <w:rPr>
          <w:rFonts w:ascii="Arial" w:eastAsia="Calibri" w:hAnsi="Arial" w:cs="Arial"/>
        </w:rPr>
      </w:pPr>
      <w:r w:rsidRPr="005F2699">
        <w:rPr>
          <w:rFonts w:ascii="Arial" w:eastAsia="Calibri" w:hAnsi="Arial" w:cs="Arial"/>
          <w:noProof/>
          <w:lang w:eastAsia="en-CA"/>
        </w:rPr>
        <w:lastRenderedPageBreak/>
        <w:drawing>
          <wp:inline distT="0" distB="0" distL="0" distR="0" wp14:anchorId="38AA4579" wp14:editId="7737F4E4">
            <wp:extent cx="5943600" cy="3473450"/>
            <wp:effectExtent l="0" t="0" r="0" b="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473450"/>
                    </a:xfrm>
                    <a:prstGeom prst="rect">
                      <a:avLst/>
                    </a:prstGeom>
                  </pic:spPr>
                </pic:pic>
              </a:graphicData>
            </a:graphic>
          </wp:inline>
        </w:drawing>
      </w:r>
    </w:p>
    <w:p w14:paraId="369D1FB8" w14:textId="77777777" w:rsidR="005F2699" w:rsidRPr="005F2699" w:rsidRDefault="005F2699" w:rsidP="00737C0D">
      <w:pPr>
        <w:spacing w:line="360" w:lineRule="auto"/>
        <w:rPr>
          <w:rFonts w:ascii="Arial" w:eastAsia="Calibri" w:hAnsi="Arial" w:cs="Arial"/>
        </w:rPr>
      </w:pPr>
      <w:r w:rsidRPr="005F2699">
        <w:rPr>
          <w:rFonts w:ascii="Arial" w:eastAsia="Calibri" w:hAnsi="Arial" w:cs="Arial"/>
          <w:b/>
          <w:bCs/>
        </w:rPr>
        <w:t>Supplementary Figure 3</w:t>
      </w:r>
      <w:r w:rsidRPr="005F2699">
        <w:rPr>
          <w:rFonts w:ascii="Arial" w:eastAsia="Calibri" w:hAnsi="Arial" w:cs="Arial"/>
        </w:rPr>
        <w:t xml:space="preserve"> Temperature and relative humidity of the greenhouse chamber used for microcosm incubation study.</w:t>
      </w:r>
    </w:p>
    <w:p w14:paraId="44D6A831" w14:textId="77777777" w:rsidR="005F2699" w:rsidRPr="005F2699" w:rsidRDefault="005F2699" w:rsidP="005F2699">
      <w:pPr>
        <w:spacing w:line="480" w:lineRule="auto"/>
        <w:rPr>
          <w:rFonts w:ascii="Arial" w:eastAsia="Calibri" w:hAnsi="Arial" w:cs="Arial"/>
          <w:sz w:val="24"/>
          <w:szCs w:val="24"/>
        </w:rPr>
      </w:pPr>
      <w:r w:rsidRPr="005F2699">
        <w:rPr>
          <w:rFonts w:ascii="Arial" w:eastAsia="Calibri" w:hAnsi="Arial" w:cs="Arial"/>
          <w:noProof/>
          <w:lang w:eastAsia="en-CA"/>
        </w:rPr>
        <w:lastRenderedPageBreak/>
        <w:drawing>
          <wp:inline distT="0" distB="0" distL="0" distR="0" wp14:anchorId="38BAC909" wp14:editId="52EE900B">
            <wp:extent cx="5867400" cy="5867400"/>
            <wp:effectExtent l="0" t="0" r="0" b="0"/>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78907" cy="5878907"/>
                    </a:xfrm>
                    <a:prstGeom prst="rect">
                      <a:avLst/>
                    </a:prstGeom>
                    <a:noFill/>
                    <a:ln>
                      <a:noFill/>
                    </a:ln>
                  </pic:spPr>
                </pic:pic>
              </a:graphicData>
            </a:graphic>
          </wp:inline>
        </w:drawing>
      </w:r>
    </w:p>
    <w:p w14:paraId="79FF2B2D" w14:textId="77777777" w:rsidR="005F2699" w:rsidRPr="005F2699" w:rsidRDefault="005F2699" w:rsidP="006B49E8">
      <w:pPr>
        <w:spacing w:after="0" w:line="480" w:lineRule="auto"/>
        <w:rPr>
          <w:rFonts w:ascii="Arial" w:eastAsia="Calibri" w:hAnsi="Arial" w:cs="Arial"/>
          <w:sz w:val="24"/>
          <w:szCs w:val="24"/>
        </w:rPr>
      </w:pPr>
      <w:r w:rsidRPr="005F2699">
        <w:rPr>
          <w:rFonts w:ascii="Arial" w:eastAsia="Calibri" w:hAnsi="Arial" w:cs="Arial"/>
          <w:noProof/>
          <w:lang w:eastAsia="en-CA"/>
        </w:rPr>
        <w:lastRenderedPageBreak/>
        <w:drawing>
          <wp:inline distT="0" distB="0" distL="0" distR="0" wp14:anchorId="7453CAC5" wp14:editId="718BC29E">
            <wp:extent cx="5872163" cy="5872163"/>
            <wp:effectExtent l="0" t="0" r="0" b="0"/>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4702" cy="5874702"/>
                    </a:xfrm>
                    <a:prstGeom prst="rect">
                      <a:avLst/>
                    </a:prstGeom>
                    <a:noFill/>
                    <a:ln>
                      <a:noFill/>
                    </a:ln>
                  </pic:spPr>
                </pic:pic>
              </a:graphicData>
            </a:graphic>
          </wp:inline>
        </w:drawing>
      </w:r>
      <w:r w:rsidRPr="005F2699">
        <w:rPr>
          <w:rFonts w:ascii="Arial" w:eastAsia="Calibri" w:hAnsi="Arial" w:cs="Arial"/>
          <w:sz w:val="24"/>
          <w:szCs w:val="24"/>
        </w:rPr>
        <w:t>`</w:t>
      </w:r>
    </w:p>
    <w:p w14:paraId="4D285336" w14:textId="6D69192B" w:rsidR="005F2699" w:rsidRPr="005F2699" w:rsidRDefault="005F2699" w:rsidP="00D757B3">
      <w:pPr>
        <w:spacing w:line="360" w:lineRule="auto"/>
        <w:rPr>
          <w:rFonts w:ascii="Arial" w:eastAsia="Calibri" w:hAnsi="Arial" w:cs="Arial"/>
        </w:rPr>
      </w:pPr>
      <w:r w:rsidRPr="005F2699">
        <w:rPr>
          <w:rFonts w:ascii="Arial" w:eastAsia="Calibri" w:hAnsi="Arial" w:cs="Arial"/>
          <w:b/>
          <w:bCs/>
        </w:rPr>
        <w:t>Supplementary Fig</w:t>
      </w:r>
      <w:r w:rsidR="00C05BD2">
        <w:rPr>
          <w:rFonts w:ascii="Arial" w:eastAsia="Calibri" w:hAnsi="Arial" w:cs="Arial"/>
          <w:b/>
          <w:bCs/>
        </w:rPr>
        <w:t>ure</w:t>
      </w:r>
      <w:r w:rsidRPr="005F2699">
        <w:rPr>
          <w:rFonts w:ascii="Arial" w:eastAsia="Calibri" w:hAnsi="Arial" w:cs="Arial"/>
          <w:b/>
          <w:bCs/>
        </w:rPr>
        <w:t xml:space="preserve"> 4</w:t>
      </w:r>
      <w:r w:rsidRPr="005F2699">
        <w:rPr>
          <w:rFonts w:ascii="Arial" w:eastAsia="Calibri" w:hAnsi="Arial" w:cs="Arial"/>
        </w:rPr>
        <w:t xml:space="preserve"> Time series (mean ± SD) of GHG emissions (mg m</w:t>
      </w:r>
      <w:r w:rsidRPr="005F2699">
        <w:rPr>
          <w:rFonts w:ascii="Arial" w:eastAsia="Calibri" w:hAnsi="Arial" w:cs="Arial"/>
          <w:vertAlign w:val="superscript"/>
        </w:rPr>
        <w:t>-2</w:t>
      </w:r>
      <w:r w:rsidRPr="005F2699">
        <w:rPr>
          <w:rFonts w:ascii="Arial" w:eastAsia="Calibri" w:hAnsi="Arial" w:cs="Arial"/>
        </w:rPr>
        <w:t xml:space="preserve"> d</w:t>
      </w:r>
      <w:r w:rsidRPr="005F2699">
        <w:rPr>
          <w:rFonts w:ascii="Arial" w:eastAsia="Calibri" w:hAnsi="Arial" w:cs="Arial"/>
          <w:vertAlign w:val="superscript"/>
        </w:rPr>
        <w:t>-1</w:t>
      </w:r>
      <w:r w:rsidRPr="005F2699">
        <w:rPr>
          <w:rFonts w:ascii="Arial" w:eastAsia="Calibri" w:hAnsi="Arial" w:cs="Arial"/>
        </w:rPr>
        <w:t xml:space="preserve">), soil EC, and VSWC measured weekly with their equivalent depth to groundwater table and salinity treatments from core soils collected from different land-use practices from A) site A, and B) site B. </w:t>
      </w:r>
    </w:p>
    <w:p w14:paraId="1F0D0DD2" w14:textId="77777777" w:rsidR="005F2699" w:rsidRPr="00BA76C4" w:rsidRDefault="005F2699" w:rsidP="00D757B3">
      <w:pPr>
        <w:spacing w:line="276" w:lineRule="auto"/>
        <w:rPr>
          <w:rFonts w:ascii="Arial" w:eastAsia="Calibri" w:hAnsi="Arial" w:cs="Arial"/>
          <w:sz w:val="20"/>
          <w:szCs w:val="20"/>
        </w:rPr>
      </w:pPr>
      <w:r w:rsidRPr="00BA76C4">
        <w:rPr>
          <w:rFonts w:ascii="Arial" w:eastAsia="Calibri" w:hAnsi="Arial" w:cs="Arial"/>
          <w:sz w:val="20"/>
          <w:szCs w:val="20"/>
        </w:rPr>
        <w:t>† Error bar stands for standard deviations (± SD).</w:t>
      </w:r>
    </w:p>
    <w:p w14:paraId="52D7E48A" w14:textId="77777777" w:rsidR="005F2699" w:rsidRPr="00BA76C4" w:rsidRDefault="005F2699" w:rsidP="00D757B3">
      <w:pPr>
        <w:spacing w:line="276" w:lineRule="auto"/>
        <w:rPr>
          <w:rFonts w:ascii="Arial" w:eastAsia="Calibri" w:hAnsi="Arial" w:cs="Arial"/>
          <w:sz w:val="20"/>
          <w:szCs w:val="20"/>
          <w:vertAlign w:val="superscript"/>
        </w:rPr>
      </w:pPr>
      <w:r w:rsidRPr="00BA76C4">
        <w:rPr>
          <w:rFonts w:ascii="Arial" w:eastAsia="Calibri" w:hAnsi="Arial" w:cs="Arial"/>
          <w:sz w:val="20"/>
          <w:szCs w:val="20"/>
        </w:rPr>
        <w:t>†† GHG = greenhouse gas, AC = annual crop, PA = pasture, SRW = short rotation willow, EC = electrical conductivity, VSWC = volumetric soil water content, GWT = groundwater table, S0 = control, S1 = 6 mS cm</w:t>
      </w:r>
      <w:r w:rsidRPr="00BA76C4">
        <w:rPr>
          <w:rFonts w:ascii="Arial" w:eastAsia="Calibri" w:hAnsi="Arial" w:cs="Arial"/>
          <w:sz w:val="20"/>
          <w:szCs w:val="20"/>
          <w:vertAlign w:val="superscript"/>
        </w:rPr>
        <w:t>-1</w:t>
      </w:r>
      <w:r w:rsidRPr="00BA76C4">
        <w:rPr>
          <w:rFonts w:ascii="Arial" w:eastAsia="Calibri" w:hAnsi="Arial" w:cs="Arial"/>
          <w:sz w:val="20"/>
          <w:szCs w:val="20"/>
        </w:rPr>
        <w:t>, S2 = 12 mS cm</w:t>
      </w:r>
      <w:r w:rsidRPr="00BA76C4">
        <w:rPr>
          <w:rFonts w:ascii="Arial" w:eastAsia="Calibri" w:hAnsi="Arial" w:cs="Arial"/>
          <w:sz w:val="20"/>
          <w:szCs w:val="20"/>
          <w:vertAlign w:val="superscript"/>
        </w:rPr>
        <w:t>-1</w:t>
      </w:r>
    </w:p>
    <w:p w14:paraId="3F676543" w14:textId="77777777" w:rsidR="005F2699" w:rsidRPr="005F2699" w:rsidRDefault="005F2699" w:rsidP="006B49E8">
      <w:pPr>
        <w:spacing w:after="0" w:line="360" w:lineRule="auto"/>
        <w:rPr>
          <w:rFonts w:ascii="Arial" w:eastAsia="Calibri" w:hAnsi="Arial" w:cs="Arial"/>
        </w:rPr>
      </w:pPr>
      <w:r w:rsidRPr="005F2699">
        <w:rPr>
          <w:rFonts w:ascii="Arial" w:eastAsia="Calibri" w:hAnsi="Arial" w:cs="Arial"/>
          <w:noProof/>
        </w:rPr>
        <w:lastRenderedPageBreak/>
        <w:drawing>
          <wp:inline distT="0" distB="0" distL="0" distR="0" wp14:anchorId="30324EBB" wp14:editId="150321EB">
            <wp:extent cx="5943600" cy="29718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7CA4A117" w14:textId="77777777" w:rsidR="005F2699" w:rsidRPr="005F2699" w:rsidRDefault="005F2699" w:rsidP="00792384">
      <w:pPr>
        <w:spacing w:line="360" w:lineRule="auto"/>
        <w:rPr>
          <w:rFonts w:ascii="Arial" w:eastAsia="Calibri" w:hAnsi="Arial" w:cs="Arial"/>
          <w:b/>
          <w:bCs/>
        </w:rPr>
      </w:pPr>
      <w:r w:rsidRPr="005F2699">
        <w:rPr>
          <w:rFonts w:ascii="Arial" w:eastAsia="Calibri" w:hAnsi="Arial" w:cs="Arial"/>
          <w:b/>
          <w:bCs/>
        </w:rPr>
        <w:t xml:space="preserve">Supplementary Figure 5 </w:t>
      </w:r>
      <w:r w:rsidRPr="005F2699">
        <w:rPr>
          <w:rFonts w:ascii="Arial" w:eastAsia="Calibri" w:hAnsi="Arial" w:cs="Arial"/>
          <w:noProof/>
        </w:rPr>
        <w:t>Venn’s diagram showing variation partitioning analysis (VPA) illustrates the contribution of land-use practices, salinity, and groundwater table depth to variation in GHG from A) site A, and B) site B.</w:t>
      </w:r>
    </w:p>
    <w:p w14:paraId="52C4E2D2" w14:textId="77777777" w:rsidR="005F2699" w:rsidRPr="005F2699" w:rsidRDefault="005F2699" w:rsidP="005F2699">
      <w:pPr>
        <w:spacing w:line="480" w:lineRule="auto"/>
        <w:rPr>
          <w:rFonts w:ascii="Arial" w:eastAsia="Calibri" w:hAnsi="Arial" w:cs="Arial"/>
          <w:noProof/>
          <w:lang w:eastAsia="en-CA" w:bidi="bn-BD"/>
        </w:rPr>
        <w:sectPr w:rsidR="005F2699" w:rsidRPr="005F2699" w:rsidSect="005F2699">
          <w:pgSz w:w="12240" w:h="15840"/>
          <w:pgMar w:top="1440" w:right="1440" w:bottom="1440" w:left="1440" w:header="706" w:footer="706" w:gutter="0"/>
          <w:lnNumType w:countBy="1" w:restart="continuous"/>
          <w:cols w:space="708"/>
          <w:docGrid w:linePitch="360"/>
        </w:sectPr>
      </w:pPr>
    </w:p>
    <w:p w14:paraId="663E68AE" w14:textId="77777777" w:rsidR="005F2699" w:rsidRPr="005F2699" w:rsidRDefault="005F2699" w:rsidP="00F6160E">
      <w:pPr>
        <w:spacing w:after="0" w:line="360" w:lineRule="auto"/>
        <w:rPr>
          <w:rFonts w:ascii="Arial" w:eastAsia="Calibri" w:hAnsi="Arial" w:cs="Arial"/>
          <w:noProof/>
          <w:lang w:eastAsia="en-CA" w:bidi="bn-BD"/>
        </w:rPr>
      </w:pPr>
      <w:r w:rsidRPr="005F2699">
        <w:rPr>
          <w:rFonts w:ascii="Arial" w:eastAsia="Calibri" w:hAnsi="Arial" w:cs="Arial"/>
          <w:noProof/>
          <w:lang w:eastAsia="en-CA"/>
        </w:rPr>
        <w:lastRenderedPageBreak/>
        <w:drawing>
          <wp:inline distT="0" distB="0" distL="0" distR="0" wp14:anchorId="343900E0" wp14:editId="784CA31C">
            <wp:extent cx="8472488" cy="4516850"/>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96310" cy="4529550"/>
                    </a:xfrm>
                    <a:prstGeom prst="rect">
                      <a:avLst/>
                    </a:prstGeom>
                    <a:noFill/>
                    <a:ln>
                      <a:noFill/>
                    </a:ln>
                  </pic:spPr>
                </pic:pic>
              </a:graphicData>
            </a:graphic>
          </wp:inline>
        </w:drawing>
      </w:r>
    </w:p>
    <w:p w14:paraId="0342C59D" w14:textId="77777777" w:rsidR="005F2699" w:rsidRPr="005F2699" w:rsidRDefault="005F2699" w:rsidP="00792384">
      <w:pPr>
        <w:spacing w:line="360" w:lineRule="auto"/>
        <w:rPr>
          <w:rFonts w:ascii="Arial" w:eastAsia="Calibri" w:hAnsi="Arial" w:cs="Arial"/>
        </w:rPr>
      </w:pPr>
      <w:r w:rsidRPr="005F2699">
        <w:rPr>
          <w:rFonts w:ascii="Arial" w:eastAsia="Calibri" w:hAnsi="Arial" w:cs="Arial"/>
          <w:b/>
          <w:bCs/>
        </w:rPr>
        <w:t>Supplementary Figure 6</w:t>
      </w:r>
      <w:r w:rsidRPr="005F2699">
        <w:rPr>
          <w:rFonts w:ascii="Arial" w:eastAsia="Calibri" w:hAnsi="Arial" w:cs="Arial"/>
        </w:rPr>
        <w:t xml:space="preserve"> Analysis of similarities (ANOSIM) with dissimilarity ranks between and within soil GHG (CO</w:t>
      </w:r>
      <w:r w:rsidRPr="005F2699">
        <w:rPr>
          <w:rFonts w:ascii="Arial" w:eastAsia="Calibri" w:hAnsi="Arial" w:cs="Arial"/>
          <w:vertAlign w:val="subscript"/>
        </w:rPr>
        <w:t>2</w:t>
      </w:r>
      <w:r w:rsidRPr="005F2699">
        <w:rPr>
          <w:rFonts w:ascii="Arial" w:eastAsia="Calibri" w:hAnsi="Arial" w:cs="Arial"/>
        </w:rPr>
        <w:t>, CH</w:t>
      </w:r>
      <w:r w:rsidRPr="005F2699">
        <w:rPr>
          <w:rFonts w:ascii="Arial" w:eastAsia="Calibri" w:hAnsi="Arial" w:cs="Arial"/>
          <w:vertAlign w:val="subscript"/>
        </w:rPr>
        <w:t>4</w:t>
      </w:r>
      <w:r w:rsidRPr="005F2699">
        <w:rPr>
          <w:rFonts w:ascii="Arial" w:eastAsia="Calibri" w:hAnsi="Arial" w:cs="Arial"/>
        </w:rPr>
        <w:t>, N</w:t>
      </w:r>
      <w:r w:rsidRPr="005F2699">
        <w:rPr>
          <w:rFonts w:ascii="Arial" w:eastAsia="Calibri" w:hAnsi="Arial" w:cs="Arial"/>
          <w:vertAlign w:val="subscript"/>
        </w:rPr>
        <w:t>2</w:t>
      </w:r>
      <w:r w:rsidRPr="005F2699">
        <w:rPr>
          <w:rFonts w:ascii="Arial" w:eastAsia="Calibri" w:hAnsi="Arial" w:cs="Arial"/>
        </w:rPr>
        <w:t>O) measured weekly with their equivalent groundwater table depths during the incubation period in the core soils collected from three different land-use practices, under groundwater salinity treatments and from two sites.</w:t>
      </w:r>
    </w:p>
    <w:p w14:paraId="33A3C8D1" w14:textId="77777777" w:rsidR="005F2699" w:rsidRPr="00792384" w:rsidRDefault="005F2699" w:rsidP="00792384">
      <w:pPr>
        <w:spacing w:line="360" w:lineRule="auto"/>
        <w:rPr>
          <w:rFonts w:ascii="Arial" w:eastAsia="Calibri" w:hAnsi="Arial" w:cs="Arial"/>
          <w:sz w:val="20"/>
          <w:szCs w:val="20"/>
        </w:rPr>
      </w:pPr>
      <w:r w:rsidRPr="00792384">
        <w:rPr>
          <w:rFonts w:ascii="Arial" w:eastAsia="Calibri" w:hAnsi="Arial" w:cs="Arial"/>
          <w:sz w:val="20"/>
          <w:szCs w:val="20"/>
        </w:rPr>
        <w:t>† R-value (i.e., the strength of the factors on the samples) varies between 0 and 1 (a value close to 1 indicates the high separation between levels of a factor, while R-value close to 0 indicates no separation between levels of a factor).</w:t>
      </w:r>
    </w:p>
    <w:p w14:paraId="2D5BB6EC" w14:textId="77777777" w:rsidR="005F2699" w:rsidRPr="005F2699" w:rsidRDefault="005F2699" w:rsidP="005F2699">
      <w:pPr>
        <w:spacing w:line="480" w:lineRule="auto"/>
        <w:rPr>
          <w:rFonts w:ascii="Arial" w:eastAsia="Calibri" w:hAnsi="Arial" w:cs="Arial"/>
          <w:b/>
          <w:bCs/>
        </w:rPr>
        <w:sectPr w:rsidR="005F2699" w:rsidRPr="005F2699" w:rsidSect="005F2699">
          <w:pgSz w:w="15840" w:h="12240" w:orient="landscape"/>
          <w:pgMar w:top="1440" w:right="1440" w:bottom="1440" w:left="1440" w:header="706" w:footer="706" w:gutter="0"/>
          <w:lnNumType w:countBy="1" w:restart="continuous"/>
          <w:cols w:space="708"/>
          <w:docGrid w:linePitch="360"/>
        </w:sectPr>
      </w:pPr>
    </w:p>
    <w:p w14:paraId="328540AB" w14:textId="77777777" w:rsidR="005F2699" w:rsidRPr="005F2699" w:rsidRDefault="005F2699" w:rsidP="003A4EC8">
      <w:pPr>
        <w:spacing w:after="0" w:line="360" w:lineRule="auto"/>
        <w:rPr>
          <w:rFonts w:ascii="Arial" w:eastAsia="Calibri" w:hAnsi="Arial" w:cs="Arial"/>
          <w:noProof/>
        </w:rPr>
      </w:pPr>
      <w:r w:rsidRPr="005F2699">
        <w:rPr>
          <w:rFonts w:ascii="Arial" w:eastAsia="Calibri" w:hAnsi="Arial" w:cs="Arial"/>
          <w:noProof/>
          <w:lang w:eastAsia="en-CA"/>
        </w:rPr>
        <w:lastRenderedPageBreak/>
        <w:drawing>
          <wp:inline distT="0" distB="0" distL="0" distR="0" wp14:anchorId="7172F2BB" wp14:editId="49A76F73">
            <wp:extent cx="5491692" cy="646271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03734" cy="6476884"/>
                    </a:xfrm>
                    <a:prstGeom prst="rect">
                      <a:avLst/>
                    </a:prstGeom>
                    <a:noFill/>
                    <a:ln>
                      <a:noFill/>
                    </a:ln>
                  </pic:spPr>
                </pic:pic>
              </a:graphicData>
            </a:graphic>
          </wp:inline>
        </w:drawing>
      </w:r>
    </w:p>
    <w:p w14:paraId="3D0EBE28" w14:textId="77777777" w:rsidR="005F2699" w:rsidRPr="005F2699" w:rsidRDefault="005F2699" w:rsidP="003A4EC8">
      <w:pPr>
        <w:spacing w:line="360" w:lineRule="auto"/>
        <w:rPr>
          <w:rFonts w:ascii="Arial" w:eastAsia="Calibri" w:hAnsi="Arial" w:cs="Arial"/>
          <w:noProof/>
          <w:lang w:eastAsia="en-CA" w:bidi="bn-BD"/>
        </w:rPr>
      </w:pPr>
      <w:r w:rsidRPr="005F2699">
        <w:rPr>
          <w:rFonts w:ascii="Arial" w:eastAsia="Calibri" w:hAnsi="Arial" w:cs="Arial"/>
          <w:b/>
          <w:bCs/>
        </w:rPr>
        <w:t xml:space="preserve">Supplementary </w:t>
      </w:r>
      <w:r w:rsidRPr="005F2699">
        <w:rPr>
          <w:rFonts w:ascii="Arial" w:eastAsia="Calibri" w:hAnsi="Arial" w:cs="Arial"/>
          <w:b/>
          <w:bCs/>
          <w:noProof/>
          <w:lang w:eastAsia="en-CA" w:bidi="bn-BD"/>
        </w:rPr>
        <w:t>Figure 7</w:t>
      </w:r>
      <w:r w:rsidRPr="005F2699">
        <w:rPr>
          <w:rFonts w:ascii="Arial" w:eastAsia="Calibri" w:hAnsi="Arial" w:cs="Arial"/>
          <w:noProof/>
          <w:lang w:eastAsia="en-CA" w:bidi="bn-BD"/>
        </w:rPr>
        <w:t xml:space="preserve"> Relationship between declining groundwater table depths (GWT), volumetric soil water content (VSWC), and soil electrical conductivity (EC) in soil cores from three land-use practices, salinity, and groundwater table depths treatments two sites. </w:t>
      </w:r>
    </w:p>
    <w:p w14:paraId="79A1DCCB" w14:textId="77777777" w:rsidR="005F2699" w:rsidRPr="001A684E" w:rsidRDefault="005F2699" w:rsidP="003A4EC8">
      <w:pPr>
        <w:spacing w:line="360" w:lineRule="auto"/>
        <w:rPr>
          <w:rFonts w:ascii="Arial" w:eastAsia="Calibri" w:hAnsi="Arial" w:cs="Arial"/>
          <w:noProof/>
          <w:sz w:val="18"/>
          <w:szCs w:val="18"/>
          <w:lang w:eastAsia="en-CA" w:bidi="bn-BD"/>
        </w:rPr>
      </w:pPr>
      <w:r w:rsidRPr="001A684E">
        <w:rPr>
          <w:rFonts w:ascii="Arial" w:eastAsia="Calibri" w:hAnsi="Arial" w:cs="Arial"/>
          <w:noProof/>
          <w:sz w:val="18"/>
          <w:szCs w:val="18"/>
        </w:rPr>
        <w:t xml:space="preserve">† </w:t>
      </w:r>
      <w:r w:rsidRPr="001A684E">
        <w:rPr>
          <w:rFonts w:ascii="Arial" w:eastAsia="Calibri" w:hAnsi="Arial" w:cs="Arial"/>
          <w:noProof/>
          <w:sz w:val="18"/>
          <w:szCs w:val="18"/>
          <w:lang w:eastAsia="en-CA" w:bidi="bn-BD"/>
        </w:rPr>
        <w:t>The line shows linear regression of the change in VSWC and soil EC measured during the experiment against groundwater and salinity treatments; shaded area shows 95% of the confidence interval, R</w:t>
      </w:r>
      <w:r w:rsidRPr="001A684E">
        <w:rPr>
          <w:rFonts w:ascii="Arial" w:eastAsia="Calibri" w:hAnsi="Arial" w:cs="Arial"/>
          <w:noProof/>
          <w:sz w:val="18"/>
          <w:szCs w:val="18"/>
          <w:vertAlign w:val="superscript"/>
          <w:lang w:eastAsia="en-CA" w:bidi="bn-BD"/>
        </w:rPr>
        <w:t>2</w:t>
      </w:r>
      <w:r w:rsidRPr="001A684E">
        <w:rPr>
          <w:rFonts w:ascii="Arial" w:eastAsia="Calibri" w:hAnsi="Arial" w:cs="Arial"/>
          <w:noProof/>
          <w:sz w:val="18"/>
          <w:szCs w:val="18"/>
          <w:lang w:eastAsia="en-CA" w:bidi="bn-BD"/>
        </w:rPr>
        <w:t xml:space="preserve"> gives values for individual regression lines, and </w:t>
      </w:r>
      <w:r w:rsidRPr="001A684E">
        <w:rPr>
          <w:rFonts w:ascii="Arial" w:eastAsia="Calibri" w:hAnsi="Arial" w:cs="Arial"/>
          <w:i/>
          <w:iCs/>
          <w:noProof/>
          <w:sz w:val="18"/>
          <w:szCs w:val="18"/>
          <w:lang w:eastAsia="en-CA" w:bidi="bn-BD"/>
        </w:rPr>
        <w:t>p-</w:t>
      </w:r>
      <w:r w:rsidRPr="001A684E">
        <w:rPr>
          <w:rFonts w:ascii="Arial" w:eastAsia="Calibri" w:hAnsi="Arial" w:cs="Arial"/>
          <w:noProof/>
          <w:sz w:val="18"/>
          <w:szCs w:val="18"/>
          <w:lang w:eastAsia="en-CA" w:bidi="bn-BD"/>
        </w:rPr>
        <w:t>values indicates the level of significance.</w:t>
      </w:r>
    </w:p>
    <w:p w14:paraId="51A056E6" w14:textId="77777777" w:rsidR="005F2699" w:rsidRPr="001A684E" w:rsidRDefault="005F2699" w:rsidP="003A4EC8">
      <w:pPr>
        <w:spacing w:line="360" w:lineRule="auto"/>
        <w:rPr>
          <w:rFonts w:ascii="Arial" w:eastAsia="Calibri" w:hAnsi="Arial" w:cs="Arial"/>
          <w:sz w:val="18"/>
          <w:szCs w:val="18"/>
        </w:rPr>
      </w:pPr>
      <w:r w:rsidRPr="001A684E">
        <w:rPr>
          <w:rFonts w:ascii="Arial" w:eastAsia="Calibri" w:hAnsi="Arial" w:cs="Arial"/>
          <w:sz w:val="18"/>
          <w:szCs w:val="18"/>
        </w:rPr>
        <w:t xml:space="preserve">†† </w:t>
      </w:r>
      <w:r w:rsidRPr="001A684E">
        <w:rPr>
          <w:rFonts w:ascii="Arial" w:eastAsia="Calibri" w:hAnsi="Arial" w:cs="Arial"/>
          <w:i/>
          <w:iCs/>
          <w:sz w:val="18"/>
          <w:szCs w:val="18"/>
        </w:rPr>
        <w:t>p-</w:t>
      </w:r>
      <w:r w:rsidRPr="001A684E">
        <w:rPr>
          <w:rFonts w:ascii="Arial" w:eastAsia="Calibri" w:hAnsi="Arial" w:cs="Arial"/>
          <w:sz w:val="18"/>
          <w:szCs w:val="18"/>
        </w:rPr>
        <w:t>values</w:t>
      </w:r>
      <w:r w:rsidRPr="001A684E">
        <w:rPr>
          <w:rFonts w:ascii="Arial" w:eastAsia="Calibri" w:hAnsi="Arial" w:cs="Arial"/>
          <w:i/>
          <w:iCs/>
          <w:sz w:val="18"/>
          <w:szCs w:val="18"/>
        </w:rPr>
        <w:t xml:space="preserve"> </w:t>
      </w:r>
      <w:r w:rsidRPr="001A684E">
        <w:rPr>
          <w:rFonts w:ascii="Arial" w:eastAsia="Calibri" w:hAnsi="Arial" w:cs="Arial"/>
          <w:sz w:val="18"/>
          <w:szCs w:val="18"/>
        </w:rPr>
        <w:t xml:space="preserve">≤ 0.05 indicates a significant difference, whereas </w:t>
      </w:r>
      <w:r w:rsidRPr="001A684E">
        <w:rPr>
          <w:rFonts w:ascii="Arial" w:eastAsia="Calibri" w:hAnsi="Arial" w:cs="Arial"/>
          <w:i/>
          <w:iCs/>
          <w:sz w:val="18"/>
          <w:szCs w:val="18"/>
        </w:rPr>
        <w:t>p-values</w:t>
      </w:r>
      <w:r w:rsidRPr="001A684E">
        <w:rPr>
          <w:rFonts w:ascii="Arial" w:eastAsia="Calibri" w:hAnsi="Arial" w:cs="Arial"/>
          <w:sz w:val="18"/>
          <w:szCs w:val="18"/>
        </w:rPr>
        <w:t xml:space="preserve"> &gt; 0.05 are not significantly different. </w:t>
      </w:r>
    </w:p>
    <w:p w14:paraId="0F3298D7" w14:textId="77777777" w:rsidR="005F2699" w:rsidRPr="005F2699" w:rsidRDefault="005F2699" w:rsidP="009F56B8">
      <w:pPr>
        <w:spacing w:after="0" w:line="360" w:lineRule="auto"/>
        <w:rPr>
          <w:rFonts w:ascii="Arial" w:eastAsia="Calibri" w:hAnsi="Arial" w:cs="Arial"/>
        </w:rPr>
      </w:pPr>
      <w:r w:rsidRPr="005F2699">
        <w:rPr>
          <w:rFonts w:ascii="Arial" w:eastAsia="Calibri" w:hAnsi="Arial" w:cs="Arial"/>
          <w:noProof/>
        </w:rPr>
        <w:lastRenderedPageBreak/>
        <w:drawing>
          <wp:inline distT="0" distB="0" distL="0" distR="0" wp14:anchorId="0D8AE341" wp14:editId="5A6BED24">
            <wp:extent cx="5105400" cy="6985408"/>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1" r="11706" b="1570"/>
                    <a:stretch/>
                  </pic:blipFill>
                  <pic:spPr bwMode="auto">
                    <a:xfrm>
                      <a:off x="0" y="0"/>
                      <a:ext cx="5108867" cy="6990152"/>
                    </a:xfrm>
                    <a:prstGeom prst="rect">
                      <a:avLst/>
                    </a:prstGeom>
                    <a:noFill/>
                    <a:ln>
                      <a:noFill/>
                    </a:ln>
                    <a:extLst>
                      <a:ext uri="{53640926-AAD7-44D8-BBD7-CCE9431645EC}">
                        <a14:shadowObscured xmlns:a14="http://schemas.microsoft.com/office/drawing/2010/main"/>
                      </a:ext>
                    </a:extLst>
                  </pic:spPr>
                </pic:pic>
              </a:graphicData>
            </a:graphic>
          </wp:inline>
        </w:drawing>
      </w:r>
    </w:p>
    <w:p w14:paraId="231E1712" w14:textId="77777777" w:rsidR="005F2699" w:rsidRPr="005F2699" w:rsidRDefault="005F2699" w:rsidP="00C92D28">
      <w:pPr>
        <w:spacing w:line="360" w:lineRule="auto"/>
        <w:rPr>
          <w:rFonts w:ascii="Arial" w:eastAsia="Calibri" w:hAnsi="Arial" w:cs="Arial"/>
        </w:rPr>
      </w:pPr>
      <w:r w:rsidRPr="005F2699">
        <w:rPr>
          <w:rFonts w:ascii="Arial" w:eastAsia="Calibri" w:hAnsi="Arial" w:cs="Arial"/>
          <w:b/>
          <w:bCs/>
        </w:rPr>
        <w:t xml:space="preserve">Supplementary Figure 8 </w:t>
      </w:r>
      <w:r w:rsidRPr="005F2699">
        <w:rPr>
          <w:rFonts w:ascii="Arial" w:eastAsia="Calibri" w:hAnsi="Arial" w:cs="Arial"/>
        </w:rPr>
        <w:t xml:space="preserve">Photographs of intact soil core samples collected from the experimental field: A) from the annual crop, B) from pasture, C) from short rotation willow, D) empty soil corer ready to mount with punch truck, E) soil corer unmounted from the punch truck after soil samples collection, F) soil core samples capped both sides and ready to transfer into the greenhouse, and G) an individual intact soil core sample. </w:t>
      </w:r>
    </w:p>
    <w:p w14:paraId="5467D266" w14:textId="77777777" w:rsidR="005F2699" w:rsidRPr="005F2699" w:rsidRDefault="005F2699" w:rsidP="009F56B8">
      <w:pPr>
        <w:spacing w:after="0" w:line="360" w:lineRule="auto"/>
        <w:rPr>
          <w:rFonts w:ascii="Arial" w:eastAsia="Calibri" w:hAnsi="Arial" w:cs="Arial"/>
        </w:rPr>
      </w:pPr>
      <w:r w:rsidRPr="005F2699">
        <w:rPr>
          <w:rFonts w:ascii="Arial" w:eastAsia="Calibri" w:hAnsi="Arial" w:cs="Arial"/>
          <w:noProof/>
        </w:rPr>
        <w:lastRenderedPageBreak/>
        <w:drawing>
          <wp:inline distT="0" distB="0" distL="0" distR="0" wp14:anchorId="531E83CE" wp14:editId="67C33C40">
            <wp:extent cx="5619750" cy="669591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3090"/>
                    <a:stretch/>
                  </pic:blipFill>
                  <pic:spPr bwMode="auto">
                    <a:xfrm>
                      <a:off x="0" y="0"/>
                      <a:ext cx="5635645" cy="6714855"/>
                    </a:xfrm>
                    <a:prstGeom prst="rect">
                      <a:avLst/>
                    </a:prstGeom>
                    <a:noFill/>
                    <a:ln>
                      <a:noFill/>
                    </a:ln>
                    <a:extLst>
                      <a:ext uri="{53640926-AAD7-44D8-BBD7-CCE9431645EC}">
                        <a14:shadowObscured xmlns:a14="http://schemas.microsoft.com/office/drawing/2010/main"/>
                      </a:ext>
                    </a:extLst>
                  </pic:spPr>
                </pic:pic>
              </a:graphicData>
            </a:graphic>
          </wp:inline>
        </w:drawing>
      </w:r>
    </w:p>
    <w:p w14:paraId="6BF00101" w14:textId="664586AD" w:rsidR="0033678E" w:rsidRPr="008E72A5" w:rsidRDefault="005F2699" w:rsidP="00FC6A40">
      <w:pPr>
        <w:spacing w:line="360" w:lineRule="auto"/>
        <w:rPr>
          <w:rFonts w:ascii="Arial" w:eastAsia="Calibri" w:hAnsi="Arial" w:cs="Arial"/>
        </w:rPr>
      </w:pPr>
      <w:r w:rsidRPr="005F2699">
        <w:rPr>
          <w:rFonts w:ascii="Arial" w:eastAsia="Calibri" w:hAnsi="Arial" w:cs="Arial"/>
          <w:b/>
          <w:bCs/>
        </w:rPr>
        <w:t xml:space="preserve">Supplementary Figure 9 </w:t>
      </w:r>
      <w:r w:rsidRPr="005F2699">
        <w:rPr>
          <w:rFonts w:ascii="Arial" w:eastAsia="Calibri" w:hAnsi="Arial" w:cs="Arial"/>
        </w:rPr>
        <w:t xml:space="preserve">Photographs of some activities from the microcosm incubation experiment: A) intact soil cores collected from the field, B) an individual experimental unit with and without the headspace, C) bucket filled with gravels, D) groundwater salinity measurements, E) volumetric soil water content and soil electrical conductivity measurements in the cores, F) gas samples collected from the headspaces, G) transfer of gas samples into the vials, and H) arrangement of the incubation experiment in the greenhouse. </w:t>
      </w:r>
      <w:r w:rsidRPr="005F2699">
        <w:rPr>
          <w:rFonts w:ascii="Arial" w:eastAsia="Calibri" w:hAnsi="Arial" w:cs="Arial"/>
        </w:rPr>
        <w:fldChar w:fldCharType="begin"/>
      </w:r>
      <w:r w:rsidRPr="005F2699">
        <w:rPr>
          <w:rFonts w:ascii="Arial" w:eastAsia="Calibri" w:hAnsi="Arial" w:cs="Arial"/>
        </w:rPr>
        <w:instrText xml:space="preserve"> ADDIN </w:instrText>
      </w:r>
      <w:r w:rsidRPr="005F2699">
        <w:rPr>
          <w:rFonts w:ascii="Arial" w:eastAsia="Calibri" w:hAnsi="Arial" w:cs="Arial"/>
        </w:rPr>
        <w:fldChar w:fldCharType="end"/>
      </w:r>
    </w:p>
    <w:sectPr w:rsidR="0033678E" w:rsidRPr="008E72A5" w:rsidSect="00F66216">
      <w:type w:val="nextColumn"/>
      <w:pgSz w:w="12240" w:h="15840" w:code="1"/>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6A2E81"/>
    <w:multiLevelType w:val="hybridMultilevel"/>
    <w:tmpl w:val="80E8A824"/>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5294665"/>
    <w:multiLevelType w:val="multilevel"/>
    <w:tmpl w:val="BE321E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67F746F2"/>
    <w:multiLevelType w:val="hybridMultilevel"/>
    <w:tmpl w:val="C5084AC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73956E70"/>
    <w:multiLevelType w:val="hybridMultilevel"/>
    <w:tmpl w:val="A0F8B90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E0MzQ3Njc0NjU3NDRV0lEKTi0uzszPAykwqgUA0FW21CwAAAA="/>
  </w:docVars>
  <w:rsids>
    <w:rsidRoot w:val="009451EC"/>
    <w:rsid w:val="000E2894"/>
    <w:rsid w:val="00116DA1"/>
    <w:rsid w:val="00123047"/>
    <w:rsid w:val="001270E6"/>
    <w:rsid w:val="001A684E"/>
    <w:rsid w:val="001C7AD6"/>
    <w:rsid w:val="00312BF0"/>
    <w:rsid w:val="0033678E"/>
    <w:rsid w:val="00375D0E"/>
    <w:rsid w:val="003A4EC8"/>
    <w:rsid w:val="004C4062"/>
    <w:rsid w:val="005F2699"/>
    <w:rsid w:val="00656FDA"/>
    <w:rsid w:val="006A24B6"/>
    <w:rsid w:val="006B49E8"/>
    <w:rsid w:val="00737C0D"/>
    <w:rsid w:val="00752D5A"/>
    <w:rsid w:val="00792384"/>
    <w:rsid w:val="007A680A"/>
    <w:rsid w:val="007F0E37"/>
    <w:rsid w:val="00847AFD"/>
    <w:rsid w:val="008A1B54"/>
    <w:rsid w:val="008C5F44"/>
    <w:rsid w:val="008E72A5"/>
    <w:rsid w:val="009451EC"/>
    <w:rsid w:val="009F56B8"/>
    <w:rsid w:val="00A332B4"/>
    <w:rsid w:val="00A34DEA"/>
    <w:rsid w:val="00A8344E"/>
    <w:rsid w:val="00AE6605"/>
    <w:rsid w:val="00B61D91"/>
    <w:rsid w:val="00B7052F"/>
    <w:rsid w:val="00B9469A"/>
    <w:rsid w:val="00BA76C4"/>
    <w:rsid w:val="00C05BD2"/>
    <w:rsid w:val="00C2152C"/>
    <w:rsid w:val="00C55766"/>
    <w:rsid w:val="00C92D28"/>
    <w:rsid w:val="00D757B3"/>
    <w:rsid w:val="00D839E0"/>
    <w:rsid w:val="00DE6824"/>
    <w:rsid w:val="00E413C1"/>
    <w:rsid w:val="00F6160E"/>
    <w:rsid w:val="00F66216"/>
    <w:rsid w:val="00F6668A"/>
    <w:rsid w:val="00FB6CF8"/>
    <w:rsid w:val="00FC6A40"/>
    <w:rsid w:val="00FD267C"/>
    <w:rsid w:val="00FF50BC"/>
  </w:rsids>
  <m:mathPr>
    <m:mathFont m:val="Cambria Math"/>
    <m:brkBin m:val="before"/>
    <m:brkBinSub m:val="--"/>
    <m:smallFrac m:val="0"/>
    <m:dispDef/>
    <m:lMargin m:val="0"/>
    <m:rMargin m:val="0"/>
    <m:defJc m:val="centerGroup"/>
    <m:wrapIndent m:val="1440"/>
    <m:intLim m:val="subSup"/>
    <m:naryLim m:val="undOvr"/>
  </m:mathPr>
  <w:themeFontLang w:val="en-CA"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CA8AC"/>
  <w15:chartTrackingRefBased/>
  <w15:docId w15:val="{62118E62-BB12-4BBF-990D-55C8EDB8E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70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70E6"/>
    <w:rPr>
      <w:rFonts w:ascii="Segoe UI" w:hAnsi="Segoe UI" w:cs="Segoe UI"/>
      <w:sz w:val="18"/>
      <w:szCs w:val="18"/>
    </w:rPr>
  </w:style>
  <w:style w:type="character" w:customStyle="1" w:styleId="Hyperlink1">
    <w:name w:val="Hyperlink1"/>
    <w:basedOn w:val="DefaultParagraphFont"/>
    <w:uiPriority w:val="99"/>
    <w:unhideWhenUsed/>
    <w:rsid w:val="001270E6"/>
    <w:rPr>
      <w:color w:val="0563C1"/>
      <w:u w:val="single"/>
    </w:rPr>
  </w:style>
  <w:style w:type="character" w:styleId="UnresolvedMention">
    <w:name w:val="Unresolved Mention"/>
    <w:basedOn w:val="DefaultParagraphFont"/>
    <w:uiPriority w:val="99"/>
    <w:semiHidden/>
    <w:unhideWhenUsed/>
    <w:rsid w:val="001270E6"/>
    <w:rPr>
      <w:color w:val="605E5C"/>
      <w:shd w:val="clear" w:color="auto" w:fill="E1DFDD"/>
    </w:rPr>
  </w:style>
  <w:style w:type="table" w:styleId="TableGrid">
    <w:name w:val="Table Grid"/>
    <w:basedOn w:val="TableNormal"/>
    <w:uiPriority w:val="39"/>
    <w:rsid w:val="00127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70E6"/>
  </w:style>
  <w:style w:type="paragraph" w:styleId="Footer">
    <w:name w:val="footer"/>
    <w:basedOn w:val="Normal"/>
    <w:link w:val="FooterChar"/>
    <w:uiPriority w:val="99"/>
    <w:unhideWhenUsed/>
    <w:rsid w:val="0012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70E6"/>
  </w:style>
  <w:style w:type="paragraph" w:styleId="ListParagraph">
    <w:name w:val="List Paragraph"/>
    <w:basedOn w:val="Normal"/>
    <w:uiPriority w:val="34"/>
    <w:qFormat/>
    <w:rsid w:val="001270E6"/>
    <w:pPr>
      <w:ind w:left="720"/>
      <w:contextualSpacing/>
    </w:pPr>
  </w:style>
  <w:style w:type="paragraph" w:styleId="HTMLPreformatted">
    <w:name w:val="HTML Preformatted"/>
    <w:basedOn w:val="Normal"/>
    <w:link w:val="HTMLPreformattedChar"/>
    <w:uiPriority w:val="99"/>
    <w:semiHidden/>
    <w:unhideWhenUsed/>
    <w:rsid w:val="001270E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1270E6"/>
    <w:rPr>
      <w:rFonts w:ascii="Consolas" w:hAnsi="Consolas"/>
      <w:sz w:val="20"/>
      <w:szCs w:val="20"/>
    </w:rPr>
  </w:style>
  <w:style w:type="numbering" w:customStyle="1" w:styleId="NoList1">
    <w:name w:val="No List1"/>
    <w:next w:val="NoList"/>
    <w:uiPriority w:val="99"/>
    <w:semiHidden/>
    <w:unhideWhenUsed/>
    <w:rsid w:val="001270E6"/>
  </w:style>
  <w:style w:type="table" w:customStyle="1" w:styleId="TableGrid1">
    <w:name w:val="Table Grid1"/>
    <w:basedOn w:val="TableNormal"/>
    <w:next w:val="TableGrid"/>
    <w:uiPriority w:val="39"/>
    <w:rsid w:val="00127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27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270E6"/>
    <w:rPr>
      <w:sz w:val="16"/>
      <w:szCs w:val="16"/>
    </w:rPr>
  </w:style>
  <w:style w:type="paragraph" w:styleId="CommentText">
    <w:name w:val="annotation text"/>
    <w:basedOn w:val="Normal"/>
    <w:link w:val="CommentTextChar"/>
    <w:uiPriority w:val="99"/>
    <w:unhideWhenUsed/>
    <w:rsid w:val="001270E6"/>
    <w:pPr>
      <w:spacing w:line="240" w:lineRule="auto"/>
    </w:pPr>
    <w:rPr>
      <w:sz w:val="20"/>
      <w:szCs w:val="20"/>
    </w:rPr>
  </w:style>
  <w:style w:type="character" w:customStyle="1" w:styleId="CommentTextChar">
    <w:name w:val="Comment Text Char"/>
    <w:basedOn w:val="DefaultParagraphFont"/>
    <w:link w:val="CommentText"/>
    <w:uiPriority w:val="99"/>
    <w:rsid w:val="001270E6"/>
    <w:rPr>
      <w:sz w:val="20"/>
      <w:szCs w:val="20"/>
    </w:rPr>
  </w:style>
  <w:style w:type="paragraph" w:styleId="CommentSubject">
    <w:name w:val="annotation subject"/>
    <w:basedOn w:val="CommentText"/>
    <w:next w:val="CommentText"/>
    <w:link w:val="CommentSubjectChar"/>
    <w:uiPriority w:val="99"/>
    <w:semiHidden/>
    <w:unhideWhenUsed/>
    <w:rsid w:val="001270E6"/>
    <w:rPr>
      <w:b/>
      <w:bCs/>
    </w:rPr>
  </w:style>
  <w:style w:type="character" w:customStyle="1" w:styleId="CommentSubjectChar">
    <w:name w:val="Comment Subject Char"/>
    <w:basedOn w:val="CommentTextChar"/>
    <w:link w:val="CommentSubject"/>
    <w:uiPriority w:val="99"/>
    <w:semiHidden/>
    <w:rsid w:val="001270E6"/>
    <w:rPr>
      <w:b/>
      <w:bCs/>
      <w:sz w:val="20"/>
      <w:szCs w:val="20"/>
    </w:rPr>
  </w:style>
  <w:style w:type="paragraph" w:customStyle="1" w:styleId="Default">
    <w:name w:val="Default"/>
    <w:rsid w:val="001270E6"/>
    <w:pPr>
      <w:autoSpaceDE w:val="0"/>
      <w:autoSpaceDN w:val="0"/>
      <w:adjustRightInd w:val="0"/>
      <w:spacing w:after="0" w:line="240" w:lineRule="auto"/>
    </w:pPr>
    <w:rPr>
      <w:rFonts w:ascii="Times New Roman" w:hAnsi="Times New Roman" w:cs="Times New Roman"/>
      <w:color w:val="000000"/>
      <w:sz w:val="24"/>
      <w:szCs w:val="24"/>
      <w:lang w:val="en-US" w:bidi="bn-BD"/>
    </w:rPr>
  </w:style>
  <w:style w:type="paragraph" w:customStyle="1" w:styleId="EndNoteBibliographyTitle">
    <w:name w:val="EndNote Bibliography Title"/>
    <w:basedOn w:val="Normal"/>
    <w:link w:val="EndNoteBibliographyTitleChar"/>
    <w:rsid w:val="001270E6"/>
    <w:pPr>
      <w:spacing w:after="0"/>
      <w:jc w:val="center"/>
    </w:pPr>
    <w:rPr>
      <w:rFonts w:ascii="Arial" w:hAnsi="Arial" w:cs="Arial"/>
      <w:noProof/>
      <w:lang w:val="en-US"/>
    </w:rPr>
  </w:style>
  <w:style w:type="character" w:customStyle="1" w:styleId="EndNoteBibliographyTitleChar">
    <w:name w:val="EndNote Bibliography Title Char"/>
    <w:basedOn w:val="DefaultParagraphFont"/>
    <w:link w:val="EndNoteBibliographyTitle"/>
    <w:rsid w:val="001270E6"/>
    <w:rPr>
      <w:rFonts w:ascii="Arial" w:hAnsi="Arial" w:cs="Arial"/>
      <w:noProof/>
      <w:lang w:val="en-US"/>
    </w:rPr>
  </w:style>
  <w:style w:type="paragraph" w:customStyle="1" w:styleId="EndNoteBibliography">
    <w:name w:val="EndNote Bibliography"/>
    <w:basedOn w:val="Normal"/>
    <w:link w:val="EndNoteBibliographyChar"/>
    <w:rsid w:val="001270E6"/>
    <w:pPr>
      <w:spacing w:line="480" w:lineRule="auto"/>
    </w:pPr>
    <w:rPr>
      <w:rFonts w:ascii="Arial" w:hAnsi="Arial" w:cs="Arial"/>
      <w:noProof/>
      <w:lang w:val="en-US"/>
    </w:rPr>
  </w:style>
  <w:style w:type="character" w:customStyle="1" w:styleId="EndNoteBibliographyChar">
    <w:name w:val="EndNote Bibliography Char"/>
    <w:basedOn w:val="DefaultParagraphFont"/>
    <w:link w:val="EndNoteBibliography"/>
    <w:rsid w:val="001270E6"/>
    <w:rPr>
      <w:rFonts w:ascii="Arial" w:hAnsi="Arial" w:cs="Arial"/>
      <w:noProof/>
      <w:lang w:val="en-US"/>
    </w:rPr>
  </w:style>
  <w:style w:type="character" w:styleId="LineNumber">
    <w:name w:val="line number"/>
    <w:basedOn w:val="DefaultParagraphFont"/>
    <w:uiPriority w:val="99"/>
    <w:semiHidden/>
    <w:unhideWhenUsed/>
    <w:rsid w:val="001270E6"/>
  </w:style>
  <w:style w:type="paragraph" w:styleId="Revision">
    <w:name w:val="Revision"/>
    <w:hidden/>
    <w:uiPriority w:val="99"/>
    <w:semiHidden/>
    <w:rsid w:val="001270E6"/>
    <w:pPr>
      <w:spacing w:after="0" w:line="240" w:lineRule="auto"/>
    </w:pPr>
  </w:style>
  <w:style w:type="character" w:styleId="Hyperlink">
    <w:name w:val="Hyperlink"/>
    <w:basedOn w:val="DefaultParagraphFont"/>
    <w:uiPriority w:val="99"/>
    <w:semiHidden/>
    <w:unhideWhenUsed/>
    <w:rsid w:val="001270E6"/>
    <w:rPr>
      <w:color w:val="0563C1" w:themeColor="hyperlink"/>
      <w:u w:val="single"/>
    </w:rPr>
  </w:style>
  <w:style w:type="table" w:customStyle="1" w:styleId="TableGrid3">
    <w:name w:val="Table Grid3"/>
    <w:basedOn w:val="TableNormal"/>
    <w:next w:val="TableGrid"/>
    <w:uiPriority w:val="39"/>
    <w:rsid w:val="005F26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hyperlink" Target="mailto:shayeb.shahariar@usask.ca" TargetMode="External"/><Relationship Id="rId15" Type="http://schemas.openxmlformats.org/officeDocument/2006/relationships/image" Target="media/image10.e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12</Pages>
  <Words>842</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SS</cp:lastModifiedBy>
  <cp:revision>45</cp:revision>
  <dcterms:created xsi:type="dcterms:W3CDTF">2020-05-17T04:02:00Z</dcterms:created>
  <dcterms:modified xsi:type="dcterms:W3CDTF">2020-09-22T03:46:00Z</dcterms:modified>
</cp:coreProperties>
</file>