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6765" w:rsidRPr="00EB27F7" w:rsidRDefault="005467D1" w:rsidP="00776765">
      <w:pPr>
        <w:jc w:val="center"/>
        <w:rPr>
          <w:rFonts w:ascii="Arial" w:hAnsi="Arial" w:cs="Arial"/>
          <w:b/>
          <w:sz w:val="20"/>
          <w:szCs w:val="20"/>
          <w:lang w:val="en-US"/>
        </w:rPr>
      </w:pPr>
      <w:r w:rsidRPr="00EB27F7">
        <w:rPr>
          <w:rFonts w:ascii="Arial" w:hAnsi="Arial" w:cs="Arial"/>
          <w:b/>
          <w:sz w:val="20"/>
          <w:szCs w:val="20"/>
          <w:lang w:val="en-US"/>
        </w:rPr>
        <w:t>Supplementary Material</w:t>
      </w:r>
    </w:p>
    <w:p w:rsidR="00776765" w:rsidRPr="00EB27F7" w:rsidRDefault="00776765" w:rsidP="00776765">
      <w:pPr>
        <w:jc w:val="center"/>
        <w:rPr>
          <w:rFonts w:ascii="Arial" w:hAnsi="Arial" w:cs="Arial"/>
          <w:sz w:val="20"/>
          <w:szCs w:val="20"/>
          <w:lang w:val="en-US"/>
        </w:rPr>
      </w:pPr>
    </w:p>
    <w:p w:rsidR="00776765" w:rsidRPr="00EB27F7" w:rsidRDefault="00776765" w:rsidP="00776765">
      <w:pPr>
        <w:spacing w:after="0" w:line="480" w:lineRule="auto"/>
        <w:jc w:val="both"/>
        <w:rPr>
          <w:rFonts w:ascii="Arial" w:hAnsi="Arial" w:cs="Arial"/>
          <w:b/>
          <w:sz w:val="20"/>
          <w:szCs w:val="20"/>
          <w:lang w:val="en-US"/>
        </w:rPr>
      </w:pPr>
      <w:r w:rsidRPr="00EB27F7">
        <w:rPr>
          <w:rFonts w:ascii="Arial" w:hAnsi="Arial" w:cs="Arial"/>
          <w:b/>
          <w:sz w:val="20"/>
          <w:szCs w:val="20"/>
          <w:lang w:val="en-US"/>
        </w:rPr>
        <w:t>1. M</w:t>
      </w:r>
      <w:r w:rsidR="00C60CC5" w:rsidRPr="00EB27F7">
        <w:rPr>
          <w:rFonts w:ascii="Arial" w:hAnsi="Arial" w:cs="Arial"/>
          <w:b/>
          <w:sz w:val="20"/>
          <w:szCs w:val="20"/>
          <w:lang w:val="en-US"/>
        </w:rPr>
        <w:t>ethodology</w:t>
      </w:r>
    </w:p>
    <w:p w:rsidR="00776765" w:rsidRPr="00EB27F7" w:rsidRDefault="00776765" w:rsidP="00776765">
      <w:pPr>
        <w:spacing w:after="0" w:line="480" w:lineRule="auto"/>
        <w:jc w:val="both"/>
        <w:rPr>
          <w:rFonts w:ascii="Arial" w:hAnsi="Arial" w:cs="Arial"/>
          <w:b/>
          <w:sz w:val="20"/>
          <w:szCs w:val="20"/>
          <w:lang w:val="en-US"/>
        </w:rPr>
      </w:pPr>
      <w:r w:rsidRPr="00EB27F7">
        <w:rPr>
          <w:rFonts w:ascii="Arial" w:hAnsi="Arial" w:cs="Arial"/>
          <w:b/>
          <w:sz w:val="20"/>
          <w:szCs w:val="20"/>
          <w:lang w:val="en-US"/>
        </w:rPr>
        <w:t>1.1. B</w:t>
      </w:r>
      <w:r w:rsidRPr="00EB27F7">
        <w:rPr>
          <w:rFonts w:ascii="Arial" w:eastAsia="Times New Roman" w:hAnsi="Arial" w:cs="Arial"/>
          <w:b/>
          <w:color w:val="000000"/>
          <w:sz w:val="20"/>
          <w:szCs w:val="20"/>
          <w:lang w:val="en-US"/>
        </w:rPr>
        <w:t>io-activation experiments in culture medium and soil</w:t>
      </w:r>
    </w:p>
    <w:p w:rsidR="00776765" w:rsidRPr="00EB27F7" w:rsidRDefault="00776765" w:rsidP="00776765">
      <w:pPr>
        <w:spacing w:after="0" w:line="480" w:lineRule="auto"/>
        <w:ind w:firstLine="708"/>
        <w:jc w:val="both"/>
        <w:rPr>
          <w:rFonts w:ascii="Arial" w:eastAsia="Times New Roman" w:hAnsi="Arial" w:cs="Arial"/>
          <w:color w:val="000000"/>
          <w:sz w:val="20"/>
          <w:szCs w:val="20"/>
          <w:lang w:val="en-US"/>
        </w:rPr>
      </w:pPr>
      <w:r w:rsidRPr="00EB27F7">
        <w:rPr>
          <w:rFonts w:ascii="Arial" w:eastAsia="Times New Roman" w:hAnsi="Arial" w:cs="Arial"/>
          <w:i/>
          <w:color w:val="000000"/>
          <w:sz w:val="20"/>
          <w:szCs w:val="20"/>
          <w:lang w:val="en-US"/>
        </w:rPr>
        <w:t>Bio-activation in culture medium:</w:t>
      </w:r>
      <w:r w:rsidRPr="00EB27F7">
        <w:rPr>
          <w:rFonts w:ascii="Arial" w:eastAsia="Times New Roman" w:hAnsi="Arial" w:cs="Arial"/>
          <w:color w:val="000000"/>
          <w:sz w:val="20"/>
          <w:szCs w:val="20"/>
          <w:lang w:val="en-US"/>
        </w:rPr>
        <w:t xml:space="preserve"> Incubation of MAP granules (coated and uncoated) in a liquid medium were conducted to evaluate the potential of microorganism’s encapsulated in the matrix coating to germinate and produce acidity during its growth. The nutrient medium used was </w:t>
      </w:r>
      <w:proofErr w:type="spellStart"/>
      <w:r w:rsidRPr="00EB27F7">
        <w:rPr>
          <w:rFonts w:ascii="Arial" w:eastAsia="Times New Roman" w:hAnsi="Arial" w:cs="Arial"/>
          <w:color w:val="000000"/>
          <w:sz w:val="20"/>
          <w:szCs w:val="20"/>
          <w:lang w:val="en-US"/>
        </w:rPr>
        <w:t>Czapek</w:t>
      </w:r>
      <w:proofErr w:type="spellEnd"/>
      <w:r w:rsidRPr="00EB27F7">
        <w:rPr>
          <w:rFonts w:ascii="Arial" w:eastAsia="Times New Roman" w:hAnsi="Arial" w:cs="Arial"/>
          <w:color w:val="000000"/>
          <w:sz w:val="20"/>
          <w:szCs w:val="20"/>
          <w:lang w:val="en-US"/>
        </w:rPr>
        <w:t xml:space="preserve"> Dox as </w:t>
      </w:r>
      <w:r w:rsidRPr="00EB27F7">
        <w:rPr>
          <w:rFonts w:ascii="Arial" w:hAnsi="Arial" w:cs="Arial"/>
          <w:color w:val="000000"/>
          <w:sz w:val="20"/>
          <w:szCs w:val="20"/>
          <w:lang w:val="en-US"/>
        </w:rPr>
        <w:t xml:space="preserve">described by </w:t>
      </w:r>
      <w:proofErr w:type="spellStart"/>
      <w:r w:rsidRPr="00EB27F7">
        <w:rPr>
          <w:rFonts w:ascii="Arial" w:hAnsi="Arial" w:cs="Arial"/>
          <w:color w:val="000000"/>
          <w:sz w:val="20"/>
          <w:szCs w:val="20"/>
          <w:lang w:val="en-US"/>
        </w:rPr>
        <w:t>Grayston</w:t>
      </w:r>
      <w:proofErr w:type="spellEnd"/>
      <w:r w:rsidRPr="00EB27F7">
        <w:rPr>
          <w:rFonts w:ascii="Arial" w:hAnsi="Arial" w:cs="Arial"/>
          <w:color w:val="000000"/>
          <w:sz w:val="20"/>
          <w:szCs w:val="20"/>
          <w:lang w:val="en-US"/>
        </w:rPr>
        <w:t xml:space="preserve"> et al. (1986) </w:t>
      </w:r>
      <w:r w:rsidRPr="00EB27F7">
        <w:rPr>
          <w:rFonts w:ascii="Arial" w:eastAsia="Times New Roman" w:hAnsi="Arial" w:cs="Arial"/>
          <w:color w:val="000000"/>
          <w:sz w:val="20"/>
          <w:szCs w:val="20"/>
          <w:lang w:val="en-US"/>
        </w:rPr>
        <w:t>contained (w/v): sucrose (3%); NaNO</w:t>
      </w:r>
      <w:r w:rsidRPr="00EB27F7">
        <w:rPr>
          <w:rFonts w:ascii="Arial" w:eastAsia="Times New Roman" w:hAnsi="Arial" w:cs="Arial"/>
          <w:color w:val="000000"/>
          <w:sz w:val="20"/>
          <w:szCs w:val="20"/>
          <w:vertAlign w:val="subscript"/>
          <w:lang w:val="en-US"/>
        </w:rPr>
        <w:t>3</w:t>
      </w:r>
      <w:r w:rsidRPr="00EB27F7">
        <w:rPr>
          <w:rFonts w:ascii="Arial" w:eastAsia="Times New Roman" w:hAnsi="Arial" w:cs="Arial"/>
          <w:color w:val="000000"/>
          <w:sz w:val="20"/>
          <w:szCs w:val="20"/>
          <w:lang w:val="en-US"/>
        </w:rPr>
        <w:t xml:space="preserve"> (0.3%); </w:t>
      </w:r>
      <w:proofErr w:type="spellStart"/>
      <w:r w:rsidRPr="00EB27F7">
        <w:rPr>
          <w:rFonts w:ascii="Arial" w:eastAsia="Times New Roman" w:hAnsi="Arial" w:cs="Arial"/>
          <w:color w:val="000000"/>
          <w:sz w:val="20"/>
          <w:szCs w:val="20"/>
          <w:lang w:val="en-US"/>
        </w:rPr>
        <w:t>NaCl</w:t>
      </w:r>
      <w:proofErr w:type="spellEnd"/>
      <w:r w:rsidRPr="00EB27F7">
        <w:rPr>
          <w:rFonts w:ascii="Arial" w:eastAsia="Times New Roman" w:hAnsi="Arial" w:cs="Arial"/>
          <w:color w:val="000000"/>
          <w:sz w:val="20"/>
          <w:szCs w:val="20"/>
          <w:lang w:val="en-US"/>
        </w:rPr>
        <w:t xml:space="preserve"> (0.2%); MgCl</w:t>
      </w:r>
      <w:r w:rsidRPr="00EB27F7">
        <w:rPr>
          <w:rFonts w:ascii="Arial" w:eastAsia="Times New Roman" w:hAnsi="Arial" w:cs="Arial"/>
          <w:color w:val="000000"/>
          <w:sz w:val="20"/>
          <w:szCs w:val="20"/>
          <w:vertAlign w:val="subscript"/>
          <w:lang w:val="en-US"/>
        </w:rPr>
        <w:t>2</w:t>
      </w:r>
      <w:r w:rsidRPr="00EB27F7">
        <w:rPr>
          <w:rFonts w:ascii="Arial" w:eastAsia="Times New Roman" w:hAnsi="Arial" w:cs="Arial"/>
          <w:color w:val="000000"/>
          <w:sz w:val="20"/>
          <w:szCs w:val="20"/>
          <w:lang w:val="en-US"/>
        </w:rPr>
        <w:t>.7H</w:t>
      </w:r>
      <w:r w:rsidRPr="00EB27F7">
        <w:rPr>
          <w:rFonts w:ascii="Arial" w:eastAsia="Times New Roman" w:hAnsi="Arial" w:cs="Arial"/>
          <w:color w:val="000000"/>
          <w:sz w:val="20"/>
          <w:szCs w:val="20"/>
          <w:vertAlign w:val="subscript"/>
          <w:lang w:val="en-US"/>
        </w:rPr>
        <w:t>2</w:t>
      </w:r>
      <w:r w:rsidRPr="00EB27F7">
        <w:rPr>
          <w:rFonts w:ascii="Arial" w:eastAsia="Times New Roman" w:hAnsi="Arial" w:cs="Arial"/>
          <w:color w:val="000000"/>
          <w:sz w:val="20"/>
          <w:szCs w:val="20"/>
          <w:lang w:val="en-US"/>
        </w:rPr>
        <w:t xml:space="preserve">O (0.05%); </w:t>
      </w:r>
      <w:proofErr w:type="spellStart"/>
      <w:r w:rsidRPr="00EB27F7">
        <w:rPr>
          <w:rFonts w:ascii="Arial" w:eastAsia="Times New Roman" w:hAnsi="Arial" w:cs="Arial"/>
          <w:color w:val="000000"/>
          <w:sz w:val="20"/>
          <w:szCs w:val="20"/>
          <w:lang w:val="en-US"/>
        </w:rPr>
        <w:t>KCl</w:t>
      </w:r>
      <w:proofErr w:type="spellEnd"/>
      <w:r w:rsidRPr="00EB27F7">
        <w:rPr>
          <w:rFonts w:ascii="Arial" w:eastAsia="Times New Roman" w:hAnsi="Arial" w:cs="Arial"/>
          <w:color w:val="000000"/>
          <w:sz w:val="20"/>
          <w:szCs w:val="20"/>
          <w:lang w:val="en-US"/>
        </w:rPr>
        <w:t xml:space="preserve"> (0.05%); and KH</w:t>
      </w:r>
      <w:r w:rsidRPr="00EB27F7">
        <w:rPr>
          <w:rFonts w:ascii="Arial" w:eastAsia="Times New Roman" w:hAnsi="Arial" w:cs="Arial"/>
          <w:color w:val="000000"/>
          <w:sz w:val="20"/>
          <w:szCs w:val="20"/>
          <w:vertAlign w:val="subscript"/>
          <w:lang w:val="en-US"/>
        </w:rPr>
        <w:t>2</w:t>
      </w:r>
      <w:r w:rsidRPr="00EB27F7">
        <w:rPr>
          <w:rFonts w:ascii="Arial" w:eastAsia="Times New Roman" w:hAnsi="Arial" w:cs="Arial"/>
          <w:color w:val="000000"/>
          <w:sz w:val="20"/>
          <w:szCs w:val="20"/>
          <w:lang w:val="en-US"/>
        </w:rPr>
        <w:t>PO</w:t>
      </w:r>
      <w:r w:rsidRPr="00EB27F7">
        <w:rPr>
          <w:rFonts w:ascii="Arial" w:eastAsia="Times New Roman" w:hAnsi="Arial" w:cs="Arial"/>
          <w:color w:val="000000"/>
          <w:sz w:val="20"/>
          <w:szCs w:val="20"/>
          <w:vertAlign w:val="subscript"/>
          <w:lang w:val="en-US"/>
        </w:rPr>
        <w:t>4</w:t>
      </w:r>
      <w:r w:rsidRPr="00EB27F7">
        <w:rPr>
          <w:rFonts w:ascii="Arial" w:eastAsia="Times New Roman" w:hAnsi="Arial" w:cs="Arial"/>
          <w:color w:val="000000"/>
          <w:sz w:val="20"/>
          <w:szCs w:val="20"/>
          <w:lang w:val="en-US"/>
        </w:rPr>
        <w:t xml:space="preserve"> (0.1%)</w:t>
      </w:r>
      <w:r w:rsidRPr="00EB27F7">
        <w:rPr>
          <w:rFonts w:ascii="Arial" w:hAnsi="Arial" w:cs="Arial"/>
          <w:color w:val="000000"/>
          <w:sz w:val="20"/>
          <w:szCs w:val="20"/>
          <w:lang w:val="en-US"/>
        </w:rPr>
        <w:t xml:space="preserve">. </w:t>
      </w:r>
      <w:r w:rsidRPr="00EB27F7">
        <w:rPr>
          <w:rFonts w:ascii="Arial" w:eastAsia="Times New Roman" w:hAnsi="Arial" w:cs="Arial"/>
          <w:color w:val="000000"/>
          <w:sz w:val="20"/>
          <w:szCs w:val="20"/>
          <w:lang w:val="en-US"/>
        </w:rPr>
        <w:t xml:space="preserve">Cultivations </w:t>
      </w:r>
      <w:r w:rsidRPr="00EB27F7">
        <w:rPr>
          <w:rFonts w:ascii="Arial" w:eastAsia="Times New Roman" w:hAnsi="Arial" w:cs="Arial"/>
          <w:noProof/>
          <w:color w:val="000000"/>
          <w:sz w:val="20"/>
          <w:szCs w:val="20"/>
          <w:lang w:val="en-US"/>
        </w:rPr>
        <w:t>were performed</w:t>
      </w:r>
      <w:r w:rsidRPr="00EB27F7">
        <w:rPr>
          <w:rFonts w:ascii="Arial" w:eastAsia="Times New Roman" w:hAnsi="Arial" w:cs="Arial"/>
          <w:color w:val="000000"/>
          <w:sz w:val="20"/>
          <w:szCs w:val="20"/>
          <w:lang w:val="en-US"/>
        </w:rPr>
        <w:t xml:space="preserve"> in 500 mL Erlenmeyer flasks by adding a volume of 100 mL of the nutrient medium. The incubation was carried out in an orbital shaker incubator at 30 °C and 220 rpm. The experiments were carried out using</w:t>
      </w:r>
      <w:r w:rsidRPr="00EB27F7">
        <w:rPr>
          <w:rFonts w:ascii="Arial" w:hAnsi="Arial" w:cs="Arial"/>
          <w:color w:val="000000"/>
          <w:sz w:val="20"/>
          <w:szCs w:val="20"/>
          <w:lang w:val="en-US"/>
        </w:rPr>
        <w:t xml:space="preserve"> coated and uncoated MAP granules as well as only the mineral oxides without microorganism (control treatment - Mix). The mass of material was standardized to obtain the same concentration of each micronutrient (50 mg L</w:t>
      </w:r>
      <w:r w:rsidRPr="00EB27F7">
        <w:rPr>
          <w:rFonts w:ascii="Arial" w:hAnsi="Arial" w:cs="Arial"/>
          <w:color w:val="000000"/>
          <w:sz w:val="20"/>
          <w:szCs w:val="20"/>
          <w:vertAlign w:val="superscript"/>
          <w:lang w:val="en-US"/>
        </w:rPr>
        <w:t>-1</w:t>
      </w:r>
      <w:r w:rsidRPr="00EB27F7">
        <w:rPr>
          <w:rFonts w:ascii="Arial" w:hAnsi="Arial" w:cs="Arial"/>
          <w:color w:val="000000"/>
          <w:sz w:val="20"/>
          <w:szCs w:val="20"/>
          <w:lang w:val="en-US"/>
        </w:rPr>
        <w:t>).</w:t>
      </w:r>
      <w:r w:rsidRPr="00EB27F7">
        <w:rPr>
          <w:rFonts w:ascii="Arial" w:eastAsia="Times New Roman" w:hAnsi="Arial" w:cs="Arial"/>
          <w:color w:val="000000"/>
          <w:sz w:val="20"/>
          <w:szCs w:val="20"/>
          <w:lang w:val="en-US"/>
        </w:rPr>
        <w:t xml:space="preserve"> All experiments were carried out at triplicates. After this period, the resulting material was vacuum filtered using </w:t>
      </w:r>
      <w:proofErr w:type="spellStart"/>
      <w:r w:rsidRPr="00EB27F7">
        <w:rPr>
          <w:rFonts w:ascii="Arial" w:eastAsia="Times New Roman" w:hAnsi="Arial" w:cs="Arial"/>
          <w:color w:val="000000"/>
          <w:sz w:val="20"/>
          <w:szCs w:val="20"/>
          <w:lang w:val="en-US"/>
        </w:rPr>
        <w:t>Whatman</w:t>
      </w:r>
      <w:proofErr w:type="spellEnd"/>
      <w:r w:rsidRPr="00EB27F7">
        <w:rPr>
          <w:rFonts w:ascii="Arial" w:eastAsia="Times New Roman" w:hAnsi="Arial" w:cs="Arial"/>
          <w:color w:val="000000"/>
          <w:sz w:val="20"/>
          <w:szCs w:val="20"/>
          <w:lang w:val="en-US"/>
        </w:rPr>
        <w:t xml:space="preserve"> No. 1 filter paper and then centrifuged for 15 min at 8000 rpm and 20 °C. The clear supernatant </w:t>
      </w:r>
      <w:r w:rsidRPr="00EB27F7">
        <w:rPr>
          <w:rFonts w:ascii="Arial" w:eastAsia="Times New Roman" w:hAnsi="Arial" w:cs="Arial"/>
          <w:noProof/>
          <w:color w:val="000000"/>
          <w:sz w:val="20"/>
          <w:szCs w:val="20"/>
          <w:lang w:val="en-US"/>
        </w:rPr>
        <w:t>was analyzed</w:t>
      </w:r>
      <w:r w:rsidRPr="00EB27F7">
        <w:rPr>
          <w:rFonts w:ascii="Arial" w:eastAsia="Times New Roman" w:hAnsi="Arial" w:cs="Arial"/>
          <w:color w:val="000000"/>
          <w:sz w:val="20"/>
          <w:szCs w:val="20"/>
          <w:lang w:val="en-US"/>
        </w:rPr>
        <w:t xml:space="preserve"> to the </w:t>
      </w:r>
      <w:r w:rsidRPr="00EB27F7">
        <w:rPr>
          <w:rFonts w:ascii="Arial" w:eastAsia="Times New Roman" w:hAnsi="Arial" w:cs="Arial"/>
          <w:noProof/>
          <w:color w:val="000000"/>
          <w:sz w:val="20"/>
          <w:szCs w:val="20"/>
          <w:lang w:val="en-US"/>
        </w:rPr>
        <w:t>determination</w:t>
      </w:r>
      <w:r w:rsidRPr="00EB27F7">
        <w:rPr>
          <w:rFonts w:ascii="Arial" w:eastAsia="Times New Roman" w:hAnsi="Arial" w:cs="Arial"/>
          <w:color w:val="000000"/>
          <w:sz w:val="20"/>
          <w:szCs w:val="20"/>
          <w:lang w:val="en-US"/>
        </w:rPr>
        <w:t xml:space="preserve"> of pH, titratable acidity, phosphorus (P), zinc (Zn</w:t>
      </w:r>
      <w:r w:rsidRPr="00EB27F7">
        <w:rPr>
          <w:rFonts w:ascii="Arial" w:hAnsi="Arial" w:cs="Arial"/>
          <w:sz w:val="20"/>
          <w:szCs w:val="20"/>
          <w:vertAlign w:val="superscript"/>
          <w:lang w:val="en-US"/>
        </w:rPr>
        <w:t>2</w:t>
      </w:r>
      <w:r w:rsidRPr="00EB27F7">
        <w:rPr>
          <w:rFonts w:ascii="Arial" w:hAnsi="Arial" w:cs="Arial"/>
          <w:color w:val="000000"/>
          <w:sz w:val="20"/>
          <w:szCs w:val="20"/>
          <w:vertAlign w:val="superscript"/>
          <w:lang w:val="en-US"/>
        </w:rPr>
        <w:t>+</w:t>
      </w:r>
      <w:r w:rsidRPr="00EB27F7">
        <w:rPr>
          <w:rFonts w:ascii="Arial" w:hAnsi="Arial" w:cs="Arial"/>
          <w:color w:val="000000"/>
          <w:sz w:val="20"/>
          <w:szCs w:val="20"/>
          <w:lang w:val="en-US"/>
        </w:rPr>
        <w:t>)</w:t>
      </w:r>
      <w:r w:rsidRPr="00EB27F7">
        <w:rPr>
          <w:rFonts w:ascii="Arial" w:eastAsia="Times New Roman" w:hAnsi="Arial" w:cs="Arial"/>
          <w:color w:val="000000"/>
          <w:sz w:val="20"/>
          <w:szCs w:val="20"/>
          <w:lang w:val="en-US"/>
        </w:rPr>
        <w:t>, manganese (Mn</w:t>
      </w:r>
      <w:r w:rsidRPr="00EB27F7">
        <w:rPr>
          <w:rFonts w:ascii="Arial" w:hAnsi="Arial" w:cs="Arial"/>
          <w:sz w:val="20"/>
          <w:szCs w:val="20"/>
          <w:vertAlign w:val="superscript"/>
          <w:lang w:val="en-US"/>
        </w:rPr>
        <w:t>2</w:t>
      </w:r>
      <w:r w:rsidRPr="00EB27F7">
        <w:rPr>
          <w:rFonts w:ascii="Arial" w:hAnsi="Arial" w:cs="Arial"/>
          <w:color w:val="000000"/>
          <w:sz w:val="20"/>
          <w:szCs w:val="20"/>
          <w:vertAlign w:val="superscript"/>
          <w:lang w:val="en-US"/>
        </w:rPr>
        <w:t>+</w:t>
      </w:r>
      <w:r w:rsidRPr="00EB27F7">
        <w:rPr>
          <w:rFonts w:ascii="Arial" w:eastAsia="Times New Roman" w:hAnsi="Arial" w:cs="Arial"/>
          <w:color w:val="000000"/>
          <w:sz w:val="20"/>
          <w:szCs w:val="20"/>
          <w:lang w:val="en-US"/>
        </w:rPr>
        <w:t>) and copper (Cu</w:t>
      </w:r>
      <w:r w:rsidRPr="00EB27F7">
        <w:rPr>
          <w:rFonts w:ascii="Arial" w:hAnsi="Arial" w:cs="Arial"/>
          <w:sz w:val="20"/>
          <w:szCs w:val="20"/>
          <w:vertAlign w:val="superscript"/>
          <w:lang w:val="en-US"/>
        </w:rPr>
        <w:t>2</w:t>
      </w:r>
      <w:r w:rsidRPr="00EB27F7">
        <w:rPr>
          <w:rFonts w:ascii="Arial" w:hAnsi="Arial" w:cs="Arial"/>
          <w:color w:val="000000"/>
          <w:sz w:val="20"/>
          <w:szCs w:val="20"/>
          <w:vertAlign w:val="superscript"/>
          <w:lang w:val="en-US"/>
        </w:rPr>
        <w:t>+</w:t>
      </w:r>
      <w:r w:rsidRPr="00EB27F7">
        <w:rPr>
          <w:rFonts w:ascii="Arial" w:eastAsia="Times New Roman" w:hAnsi="Arial" w:cs="Arial"/>
          <w:color w:val="000000"/>
          <w:sz w:val="20"/>
          <w:szCs w:val="20"/>
          <w:lang w:val="en-US"/>
        </w:rPr>
        <w:t>) contents</w:t>
      </w:r>
      <w:r w:rsidRPr="00EB27F7">
        <w:rPr>
          <w:rFonts w:ascii="Arial" w:hAnsi="Arial" w:cs="Arial"/>
          <w:sz w:val="20"/>
          <w:szCs w:val="20"/>
          <w:lang w:val="en-US"/>
        </w:rPr>
        <w:t xml:space="preserve"> by methodologies described in Section 1.2 (Supplementary Material)</w:t>
      </w:r>
      <w:r w:rsidRPr="00EB27F7">
        <w:rPr>
          <w:rFonts w:ascii="Arial" w:eastAsia="Times New Roman" w:hAnsi="Arial" w:cs="Arial"/>
          <w:color w:val="000000"/>
          <w:sz w:val="20"/>
          <w:szCs w:val="20"/>
          <w:lang w:val="en-US"/>
        </w:rPr>
        <w:t xml:space="preserve">. </w:t>
      </w:r>
    </w:p>
    <w:p w:rsidR="00776765" w:rsidRPr="00EB27F7" w:rsidRDefault="00776765" w:rsidP="00776765">
      <w:pPr>
        <w:spacing w:after="0" w:line="480" w:lineRule="auto"/>
        <w:ind w:firstLine="709"/>
        <w:jc w:val="both"/>
        <w:rPr>
          <w:rFonts w:ascii="Arial" w:eastAsia="Times New Roman" w:hAnsi="Arial" w:cs="Arial"/>
          <w:color w:val="000000" w:themeColor="text1"/>
          <w:sz w:val="20"/>
          <w:szCs w:val="20"/>
          <w:lang w:val="en-US"/>
        </w:rPr>
      </w:pPr>
      <w:r w:rsidRPr="00EB27F7">
        <w:rPr>
          <w:rFonts w:ascii="Arial" w:eastAsia="Times New Roman" w:hAnsi="Arial" w:cs="Arial"/>
          <w:color w:val="000000"/>
          <w:sz w:val="20"/>
          <w:szCs w:val="20"/>
          <w:lang w:val="en-US"/>
        </w:rPr>
        <w:t xml:space="preserve">The </w:t>
      </w:r>
      <w:proofErr w:type="spellStart"/>
      <w:r w:rsidRPr="00EB27F7">
        <w:rPr>
          <w:rFonts w:ascii="Arial" w:eastAsia="Times New Roman" w:hAnsi="Arial" w:cs="Arial"/>
          <w:color w:val="000000"/>
          <w:sz w:val="20"/>
          <w:szCs w:val="20"/>
          <w:lang w:val="en-US"/>
        </w:rPr>
        <w:t>bioactivation</w:t>
      </w:r>
      <w:proofErr w:type="spellEnd"/>
      <w:r w:rsidRPr="00EB27F7">
        <w:rPr>
          <w:rFonts w:ascii="Arial" w:eastAsia="Times New Roman" w:hAnsi="Arial" w:cs="Arial"/>
          <w:color w:val="000000"/>
          <w:sz w:val="20"/>
          <w:szCs w:val="20"/>
          <w:lang w:val="en-US"/>
        </w:rPr>
        <w:t xml:space="preserve"> of </w:t>
      </w:r>
      <w:proofErr w:type="spellStart"/>
      <w:r w:rsidRPr="00EB27F7">
        <w:rPr>
          <w:rFonts w:ascii="Arial" w:eastAsia="Times New Roman" w:hAnsi="Arial" w:cs="Arial"/>
          <w:color w:val="000000"/>
          <w:sz w:val="20"/>
          <w:szCs w:val="20"/>
          <w:lang w:val="en-US"/>
        </w:rPr>
        <w:t>MAP</w:t>
      </w:r>
      <w:r w:rsidRPr="00EB27F7">
        <w:rPr>
          <w:rFonts w:ascii="Arial" w:eastAsia="Times New Roman" w:hAnsi="Arial" w:cs="Arial"/>
          <w:color w:val="000000"/>
          <w:sz w:val="20"/>
          <w:szCs w:val="20"/>
          <w:vertAlign w:val="subscript"/>
          <w:lang w:val="en-US"/>
        </w:rPr>
        <w:t>Mix+A.thio</w:t>
      </w:r>
      <w:proofErr w:type="spellEnd"/>
      <w:r w:rsidRPr="00EB27F7">
        <w:rPr>
          <w:rFonts w:ascii="Arial" w:eastAsia="Times New Roman" w:hAnsi="Arial" w:cs="Arial"/>
          <w:color w:val="000000"/>
          <w:sz w:val="20"/>
          <w:szCs w:val="20"/>
          <w:vertAlign w:val="subscript"/>
          <w:lang w:val="en-US"/>
        </w:rPr>
        <w:t xml:space="preserve"> </w:t>
      </w:r>
      <w:r w:rsidRPr="00EB27F7">
        <w:rPr>
          <w:rFonts w:ascii="Arial" w:eastAsia="Times New Roman" w:hAnsi="Arial" w:cs="Arial"/>
          <w:color w:val="000000"/>
          <w:sz w:val="20"/>
          <w:szCs w:val="20"/>
          <w:lang w:val="en-US"/>
        </w:rPr>
        <w:t xml:space="preserve">granules and control treatment used the same experiments </w:t>
      </w:r>
      <w:r w:rsidRPr="00EB27F7">
        <w:rPr>
          <w:rFonts w:ascii="Arial" w:eastAsia="Times New Roman" w:hAnsi="Arial" w:cs="Arial"/>
          <w:color w:val="000000" w:themeColor="text1"/>
          <w:sz w:val="20"/>
          <w:szCs w:val="20"/>
          <w:lang w:val="en-US"/>
        </w:rPr>
        <w:t>procedure. However the culture medium used was 9K modified</w:t>
      </w:r>
      <w:r w:rsidR="00872379" w:rsidRPr="00EB27F7">
        <w:rPr>
          <w:rFonts w:ascii="Arial" w:eastAsia="Times New Roman" w:hAnsi="Arial" w:cs="Arial"/>
          <w:color w:val="000000" w:themeColor="text1"/>
          <w:sz w:val="20"/>
          <w:szCs w:val="20"/>
          <w:lang w:val="en-US"/>
        </w:rPr>
        <w:t xml:space="preserve"> (</w:t>
      </w:r>
      <w:proofErr w:type="spellStart"/>
      <w:r w:rsidR="00872379" w:rsidRPr="00EB27F7">
        <w:rPr>
          <w:rFonts w:ascii="Arial" w:eastAsia="Times New Roman" w:hAnsi="Arial" w:cs="Arial"/>
          <w:color w:val="000000" w:themeColor="text1"/>
          <w:sz w:val="20"/>
          <w:szCs w:val="20"/>
          <w:lang w:val="en-US"/>
        </w:rPr>
        <w:t>Belivaqua</w:t>
      </w:r>
      <w:proofErr w:type="spellEnd"/>
      <w:r w:rsidR="00872379" w:rsidRPr="00EB27F7">
        <w:rPr>
          <w:rFonts w:ascii="Arial" w:eastAsia="Times New Roman" w:hAnsi="Arial" w:cs="Arial"/>
          <w:color w:val="000000" w:themeColor="text1"/>
          <w:sz w:val="20"/>
          <w:szCs w:val="20"/>
          <w:lang w:val="en-US"/>
        </w:rPr>
        <w:t>, 2002)</w:t>
      </w:r>
      <w:r w:rsidRPr="00EB27F7">
        <w:rPr>
          <w:rFonts w:ascii="Arial" w:eastAsia="Times New Roman" w:hAnsi="Arial" w:cs="Arial"/>
          <w:color w:val="000000" w:themeColor="text1"/>
          <w:sz w:val="20"/>
          <w:szCs w:val="20"/>
          <w:lang w:val="en-US"/>
        </w:rPr>
        <w:t xml:space="preserve"> contained (w/v): </w:t>
      </w:r>
      <w:r w:rsidRPr="00EB27F7">
        <w:rPr>
          <w:rFonts w:ascii="Arial" w:eastAsia="Times New Roman" w:hAnsi="Arial" w:cs="Arial"/>
          <w:color w:val="000000" w:themeColor="text1"/>
          <w:sz w:val="20"/>
          <w:szCs w:val="20"/>
          <w:lang w:val="en-US" w:eastAsia="pt-BR"/>
        </w:rPr>
        <w:t>(NH</w:t>
      </w:r>
      <w:r w:rsidRPr="00EB27F7">
        <w:rPr>
          <w:rFonts w:ascii="Arial" w:eastAsia="Times New Roman" w:hAnsi="Arial" w:cs="Arial"/>
          <w:color w:val="000000" w:themeColor="text1"/>
          <w:sz w:val="20"/>
          <w:szCs w:val="20"/>
          <w:vertAlign w:val="subscript"/>
          <w:lang w:val="en-US" w:eastAsia="pt-BR"/>
        </w:rPr>
        <w:t>4</w:t>
      </w:r>
      <w:r w:rsidRPr="00EB27F7">
        <w:rPr>
          <w:rFonts w:ascii="Arial" w:eastAsia="Times New Roman" w:hAnsi="Arial" w:cs="Arial"/>
          <w:color w:val="000000" w:themeColor="text1"/>
          <w:sz w:val="20"/>
          <w:szCs w:val="20"/>
          <w:lang w:val="en-US" w:eastAsia="pt-BR"/>
        </w:rPr>
        <w:t>)</w:t>
      </w:r>
      <w:r w:rsidRPr="00EB27F7">
        <w:rPr>
          <w:rFonts w:ascii="Arial" w:eastAsia="Times New Roman" w:hAnsi="Arial" w:cs="Arial"/>
          <w:color w:val="000000" w:themeColor="text1"/>
          <w:sz w:val="20"/>
          <w:szCs w:val="20"/>
          <w:vertAlign w:val="subscript"/>
          <w:lang w:val="en-US" w:eastAsia="pt-BR"/>
        </w:rPr>
        <w:t>2</w:t>
      </w:r>
      <w:r w:rsidRPr="00EB27F7">
        <w:rPr>
          <w:rFonts w:ascii="Arial" w:eastAsia="Times New Roman" w:hAnsi="Arial" w:cs="Arial"/>
          <w:color w:val="000000" w:themeColor="text1"/>
          <w:sz w:val="20"/>
          <w:szCs w:val="20"/>
          <w:lang w:val="en-US" w:eastAsia="pt-BR"/>
        </w:rPr>
        <w:t>SO</w:t>
      </w:r>
      <w:r w:rsidRPr="00EB27F7">
        <w:rPr>
          <w:rFonts w:ascii="Arial" w:eastAsia="Times New Roman" w:hAnsi="Arial" w:cs="Arial"/>
          <w:color w:val="000000" w:themeColor="text1"/>
          <w:sz w:val="20"/>
          <w:szCs w:val="20"/>
          <w:vertAlign w:val="subscript"/>
          <w:lang w:val="en-US" w:eastAsia="pt-BR"/>
        </w:rPr>
        <w:t>4</w:t>
      </w:r>
      <w:r w:rsidRPr="00EB27F7">
        <w:rPr>
          <w:rFonts w:ascii="Arial" w:eastAsia="Times New Roman" w:hAnsi="Arial" w:cs="Arial"/>
          <w:color w:val="000000" w:themeColor="text1"/>
          <w:sz w:val="20"/>
          <w:szCs w:val="20"/>
          <w:lang w:val="en-US" w:eastAsia="pt-BR"/>
        </w:rPr>
        <w:t xml:space="preserve"> (3%), K</w:t>
      </w:r>
      <w:r w:rsidRPr="00EB27F7">
        <w:rPr>
          <w:rFonts w:ascii="Arial" w:eastAsia="Times New Roman" w:hAnsi="Arial" w:cs="Arial"/>
          <w:color w:val="000000" w:themeColor="text1"/>
          <w:sz w:val="20"/>
          <w:szCs w:val="20"/>
          <w:vertAlign w:val="subscript"/>
          <w:lang w:val="en-US" w:eastAsia="pt-BR"/>
        </w:rPr>
        <w:t>2</w:t>
      </w:r>
      <w:r w:rsidRPr="00EB27F7">
        <w:rPr>
          <w:rFonts w:ascii="Arial" w:eastAsia="Times New Roman" w:hAnsi="Arial" w:cs="Arial"/>
          <w:color w:val="000000" w:themeColor="text1"/>
          <w:sz w:val="20"/>
          <w:szCs w:val="20"/>
          <w:lang w:val="en-US" w:eastAsia="pt-BR"/>
        </w:rPr>
        <w:t>HPO</w:t>
      </w:r>
      <w:r w:rsidRPr="00EB27F7">
        <w:rPr>
          <w:rFonts w:ascii="Arial" w:eastAsia="Times New Roman" w:hAnsi="Arial" w:cs="Arial"/>
          <w:color w:val="000000" w:themeColor="text1"/>
          <w:sz w:val="20"/>
          <w:szCs w:val="20"/>
          <w:vertAlign w:val="subscript"/>
          <w:lang w:val="en-US" w:eastAsia="pt-BR"/>
        </w:rPr>
        <w:t>4</w:t>
      </w:r>
      <w:r w:rsidRPr="00EB27F7">
        <w:rPr>
          <w:rFonts w:ascii="Arial" w:eastAsia="Times New Roman" w:hAnsi="Arial" w:cs="Arial"/>
          <w:color w:val="000000" w:themeColor="text1"/>
          <w:sz w:val="20"/>
          <w:szCs w:val="20"/>
          <w:lang w:val="en-US" w:eastAsia="pt-BR"/>
        </w:rPr>
        <w:t xml:space="preserve"> (0.5%), MgSO</w:t>
      </w:r>
      <w:r w:rsidRPr="00EB27F7">
        <w:rPr>
          <w:rFonts w:ascii="Arial" w:eastAsia="Times New Roman" w:hAnsi="Arial" w:cs="Arial"/>
          <w:color w:val="000000" w:themeColor="text1"/>
          <w:sz w:val="20"/>
          <w:szCs w:val="20"/>
          <w:vertAlign w:val="subscript"/>
          <w:lang w:val="en-US" w:eastAsia="pt-BR"/>
        </w:rPr>
        <w:t>4</w:t>
      </w:r>
      <w:r w:rsidRPr="00EB27F7">
        <w:rPr>
          <w:rFonts w:ascii="Arial" w:eastAsia="Times New Roman" w:hAnsi="Arial" w:cs="Arial"/>
          <w:color w:val="000000" w:themeColor="text1"/>
          <w:sz w:val="20"/>
          <w:szCs w:val="20"/>
          <w:lang w:val="en-US" w:eastAsia="pt-BR"/>
        </w:rPr>
        <w:t>.7H</w:t>
      </w:r>
      <w:r w:rsidRPr="00EB27F7">
        <w:rPr>
          <w:rFonts w:ascii="Arial" w:eastAsia="Times New Roman" w:hAnsi="Arial" w:cs="Arial"/>
          <w:color w:val="000000" w:themeColor="text1"/>
          <w:sz w:val="20"/>
          <w:szCs w:val="20"/>
          <w:vertAlign w:val="subscript"/>
          <w:lang w:val="en-US" w:eastAsia="pt-BR"/>
        </w:rPr>
        <w:t>2</w:t>
      </w:r>
      <w:r w:rsidRPr="00EB27F7">
        <w:rPr>
          <w:rFonts w:ascii="Arial" w:eastAsia="Times New Roman" w:hAnsi="Arial" w:cs="Arial"/>
          <w:color w:val="000000" w:themeColor="text1"/>
          <w:sz w:val="20"/>
          <w:szCs w:val="20"/>
          <w:lang w:val="en-US" w:eastAsia="pt-BR"/>
        </w:rPr>
        <w:t xml:space="preserve">O (0.5%) and </w:t>
      </w:r>
      <w:proofErr w:type="spellStart"/>
      <w:r w:rsidRPr="00EB27F7">
        <w:rPr>
          <w:rFonts w:ascii="Arial" w:eastAsia="Times New Roman" w:hAnsi="Arial" w:cs="Arial"/>
          <w:color w:val="000000" w:themeColor="text1"/>
          <w:sz w:val="20"/>
          <w:szCs w:val="20"/>
          <w:lang w:val="en-US" w:eastAsia="pt-BR"/>
        </w:rPr>
        <w:t>KCl</w:t>
      </w:r>
      <w:proofErr w:type="spellEnd"/>
      <w:r w:rsidRPr="00EB27F7">
        <w:rPr>
          <w:rFonts w:ascii="Arial" w:eastAsia="Times New Roman" w:hAnsi="Arial" w:cs="Arial"/>
          <w:color w:val="000000" w:themeColor="text1"/>
          <w:sz w:val="20"/>
          <w:szCs w:val="20"/>
          <w:lang w:val="en-US" w:eastAsia="pt-BR"/>
        </w:rPr>
        <w:t xml:space="preserve"> (0.1%), as well as pH was adjusted to 2.8.</w:t>
      </w:r>
      <w:bookmarkStart w:id="0" w:name="_GoBack"/>
      <w:bookmarkEnd w:id="0"/>
    </w:p>
    <w:p w:rsidR="00776765" w:rsidRPr="00EB27F7" w:rsidRDefault="00776765" w:rsidP="00776765">
      <w:pPr>
        <w:spacing w:after="0" w:line="480" w:lineRule="auto"/>
        <w:ind w:firstLine="708"/>
        <w:jc w:val="both"/>
        <w:rPr>
          <w:rFonts w:ascii="Arial" w:hAnsi="Arial" w:cs="Arial"/>
          <w:sz w:val="20"/>
          <w:szCs w:val="20"/>
          <w:lang w:val="en-US"/>
        </w:rPr>
      </w:pPr>
      <w:r w:rsidRPr="00EB27F7">
        <w:rPr>
          <w:rFonts w:ascii="Arial" w:eastAsia="Times New Roman" w:hAnsi="Arial" w:cs="Arial"/>
          <w:i/>
          <w:color w:val="000000" w:themeColor="text1"/>
          <w:sz w:val="20"/>
          <w:szCs w:val="20"/>
          <w:lang w:val="en-US"/>
        </w:rPr>
        <w:t>Bio-activation in soil.</w:t>
      </w:r>
      <w:r w:rsidRPr="00EB27F7">
        <w:rPr>
          <w:rFonts w:ascii="Arial" w:eastAsia="Times New Roman" w:hAnsi="Arial" w:cs="Arial"/>
          <w:color w:val="000000" w:themeColor="text1"/>
          <w:sz w:val="20"/>
          <w:szCs w:val="20"/>
          <w:lang w:val="en-US"/>
        </w:rPr>
        <w:t xml:space="preserve"> </w:t>
      </w:r>
      <w:r w:rsidRPr="00EB27F7">
        <w:rPr>
          <w:rFonts w:ascii="Arial" w:hAnsi="Arial" w:cs="Arial"/>
          <w:color w:val="000000" w:themeColor="text1"/>
          <w:sz w:val="20"/>
          <w:szCs w:val="20"/>
          <w:lang w:val="en-US"/>
        </w:rPr>
        <w:t xml:space="preserve">The soil used for the soil </w:t>
      </w:r>
      <w:r w:rsidRPr="00EB27F7">
        <w:rPr>
          <w:rFonts w:ascii="Arial" w:hAnsi="Arial" w:cs="Arial"/>
          <w:sz w:val="20"/>
          <w:szCs w:val="20"/>
          <w:lang w:val="en-US"/>
        </w:rPr>
        <w:t xml:space="preserve">experiment was an </w:t>
      </w:r>
      <w:proofErr w:type="spellStart"/>
      <w:r w:rsidRPr="00EB27F7">
        <w:rPr>
          <w:rFonts w:ascii="Arial" w:hAnsi="Arial" w:cs="Arial"/>
          <w:sz w:val="20"/>
          <w:szCs w:val="20"/>
          <w:lang w:val="en-US"/>
        </w:rPr>
        <w:t>Oxisol</w:t>
      </w:r>
      <w:proofErr w:type="spellEnd"/>
      <w:r w:rsidRPr="00EB27F7">
        <w:rPr>
          <w:rFonts w:ascii="Arial" w:hAnsi="Arial" w:cs="Arial"/>
          <w:sz w:val="20"/>
          <w:szCs w:val="20"/>
          <w:lang w:val="en-US"/>
        </w:rPr>
        <w:t xml:space="preserve"> collected from the surface layer (0-20 cm) of an agricultural plot in the region of São Carlos, São Paulo State, Brazil (22º 01' S, 47º 54' W; 856 m above sea level). The soil (particle size &lt; 2 mm) had the following characteristics: 663 g kg</w:t>
      </w:r>
      <w:r w:rsidRPr="00EB27F7">
        <w:rPr>
          <w:rFonts w:ascii="Arial" w:hAnsi="Arial" w:cs="Arial"/>
          <w:sz w:val="20"/>
          <w:szCs w:val="20"/>
          <w:vertAlign w:val="superscript"/>
          <w:lang w:val="en-US"/>
        </w:rPr>
        <w:t>-1</w:t>
      </w:r>
      <w:r w:rsidRPr="00EB27F7">
        <w:rPr>
          <w:rFonts w:ascii="Arial" w:hAnsi="Arial" w:cs="Arial"/>
          <w:sz w:val="20"/>
          <w:szCs w:val="20"/>
          <w:lang w:val="en-US"/>
        </w:rPr>
        <w:t xml:space="preserve"> sand, 34 g kg</w:t>
      </w:r>
      <w:r w:rsidRPr="00EB27F7">
        <w:rPr>
          <w:rFonts w:ascii="Arial" w:hAnsi="Arial" w:cs="Arial"/>
          <w:sz w:val="20"/>
          <w:szCs w:val="20"/>
          <w:vertAlign w:val="superscript"/>
          <w:lang w:val="en-US"/>
        </w:rPr>
        <w:t>-1</w:t>
      </w:r>
      <w:r w:rsidRPr="00EB27F7">
        <w:rPr>
          <w:rFonts w:ascii="Arial" w:hAnsi="Arial" w:cs="Arial"/>
          <w:sz w:val="20"/>
          <w:szCs w:val="20"/>
          <w:lang w:val="en-US"/>
        </w:rPr>
        <w:t xml:space="preserve"> silt, and 303 g kg</w:t>
      </w:r>
      <w:r w:rsidRPr="00EB27F7">
        <w:rPr>
          <w:rFonts w:ascii="Arial" w:hAnsi="Arial" w:cs="Arial"/>
          <w:sz w:val="20"/>
          <w:szCs w:val="20"/>
          <w:vertAlign w:val="superscript"/>
          <w:lang w:val="en-US"/>
        </w:rPr>
        <w:t>-1</w:t>
      </w:r>
      <w:r w:rsidRPr="00EB27F7">
        <w:rPr>
          <w:rFonts w:ascii="Arial" w:hAnsi="Arial" w:cs="Arial"/>
          <w:sz w:val="20"/>
          <w:szCs w:val="20"/>
          <w:lang w:val="en-US"/>
        </w:rPr>
        <w:t xml:space="preserve"> clay, according to textural</w:t>
      </w:r>
      <w:r w:rsidR="00CD2107" w:rsidRPr="00EB27F7">
        <w:rPr>
          <w:rFonts w:ascii="Arial" w:hAnsi="Arial" w:cs="Arial"/>
          <w:sz w:val="20"/>
          <w:szCs w:val="20"/>
          <w:lang w:val="en-US"/>
        </w:rPr>
        <w:t xml:space="preserve"> analysis by the pipette method</w:t>
      </w:r>
      <w:r w:rsidR="003079A4" w:rsidRPr="00EB27F7">
        <w:rPr>
          <w:rFonts w:ascii="Arial" w:hAnsi="Arial" w:cs="Arial"/>
          <w:sz w:val="20"/>
          <w:szCs w:val="20"/>
          <w:lang w:val="en-US"/>
        </w:rPr>
        <w:t xml:space="preserve"> </w:t>
      </w:r>
      <w:r w:rsidR="00F45105" w:rsidRPr="00EB27F7">
        <w:rPr>
          <w:rFonts w:ascii="Arial" w:hAnsi="Arial" w:cs="Arial"/>
          <w:sz w:val="20"/>
          <w:szCs w:val="20"/>
          <w:lang w:val="en-US"/>
        </w:rPr>
        <w:t>(Kilmer and Alexander</w:t>
      </w:r>
      <w:r w:rsidR="00223219" w:rsidRPr="00EB27F7">
        <w:rPr>
          <w:rFonts w:ascii="Arial" w:hAnsi="Arial" w:cs="Arial"/>
          <w:sz w:val="20"/>
          <w:szCs w:val="20"/>
          <w:lang w:val="en-US"/>
        </w:rPr>
        <w:t xml:space="preserve"> 1949)</w:t>
      </w:r>
      <w:r w:rsidRPr="00EB27F7">
        <w:rPr>
          <w:rFonts w:ascii="Arial" w:hAnsi="Arial" w:cs="Arial"/>
          <w:sz w:val="20"/>
          <w:szCs w:val="20"/>
          <w:lang w:val="en-US"/>
        </w:rPr>
        <w:t>;</w:t>
      </w:r>
      <w:r w:rsidRPr="00EB27F7">
        <w:rPr>
          <w:rFonts w:ascii="Arial" w:hAnsi="Arial" w:cs="Arial"/>
          <w:sz w:val="20"/>
          <w:szCs w:val="20"/>
          <w:vertAlign w:val="superscript"/>
          <w:lang w:val="en-US"/>
        </w:rPr>
        <w:t xml:space="preserve"> </w:t>
      </w:r>
      <w:r w:rsidR="00CD2107" w:rsidRPr="00EB27F7">
        <w:rPr>
          <w:rFonts w:ascii="Arial" w:hAnsi="Arial" w:cs="Arial"/>
          <w:sz w:val="20"/>
          <w:szCs w:val="20"/>
          <w:lang w:val="en-US"/>
        </w:rPr>
        <w:t>water holding capacity (WHC)</w:t>
      </w:r>
      <w:r w:rsidR="00F45105" w:rsidRPr="00EB27F7">
        <w:rPr>
          <w:rFonts w:ascii="Arial" w:hAnsi="Arial" w:cs="Arial"/>
          <w:sz w:val="20"/>
          <w:szCs w:val="20"/>
          <w:lang w:val="en-US"/>
        </w:rPr>
        <w:t xml:space="preserve"> (</w:t>
      </w:r>
      <w:proofErr w:type="spellStart"/>
      <w:r w:rsidR="00F45105" w:rsidRPr="00EB27F7">
        <w:rPr>
          <w:rFonts w:ascii="Arial" w:hAnsi="Arial" w:cs="Arial"/>
          <w:sz w:val="20"/>
          <w:szCs w:val="20"/>
          <w:lang w:val="en-US"/>
        </w:rPr>
        <w:t>Embrapa</w:t>
      </w:r>
      <w:proofErr w:type="spellEnd"/>
      <w:r w:rsidR="00223219" w:rsidRPr="00EB27F7">
        <w:rPr>
          <w:rFonts w:ascii="Arial" w:hAnsi="Arial" w:cs="Arial"/>
          <w:sz w:val="20"/>
          <w:szCs w:val="20"/>
          <w:lang w:val="en-US"/>
        </w:rPr>
        <w:t xml:space="preserve"> 1979)</w:t>
      </w:r>
      <w:r w:rsidRPr="00EB27F7">
        <w:rPr>
          <w:rFonts w:ascii="Arial" w:hAnsi="Arial" w:cs="Arial"/>
          <w:sz w:val="20"/>
          <w:szCs w:val="20"/>
          <w:vertAlign w:val="superscript"/>
          <w:lang w:val="en-US"/>
        </w:rPr>
        <w:t xml:space="preserve"> </w:t>
      </w:r>
      <w:r w:rsidRPr="00EB27F7">
        <w:rPr>
          <w:rFonts w:ascii="Arial" w:hAnsi="Arial" w:cs="Arial"/>
          <w:sz w:val="20"/>
          <w:szCs w:val="20"/>
          <w:lang w:val="en-US"/>
        </w:rPr>
        <w:t>of 200 g kg</w:t>
      </w:r>
      <w:r w:rsidRPr="00EB27F7">
        <w:rPr>
          <w:rFonts w:ascii="Arial" w:hAnsi="Arial" w:cs="Arial"/>
          <w:sz w:val="20"/>
          <w:szCs w:val="20"/>
          <w:vertAlign w:val="superscript"/>
          <w:lang w:val="en-US"/>
        </w:rPr>
        <w:t>-1</w:t>
      </w:r>
      <w:r w:rsidRPr="00EB27F7">
        <w:rPr>
          <w:rFonts w:ascii="Arial" w:hAnsi="Arial" w:cs="Arial"/>
          <w:sz w:val="20"/>
          <w:szCs w:val="20"/>
          <w:lang w:val="en-US"/>
        </w:rPr>
        <w:t>; pH (H</w:t>
      </w:r>
      <w:r w:rsidRPr="00EB27F7">
        <w:rPr>
          <w:rFonts w:ascii="Arial" w:hAnsi="Arial" w:cs="Arial"/>
          <w:sz w:val="20"/>
          <w:szCs w:val="20"/>
          <w:vertAlign w:val="subscript"/>
          <w:lang w:val="en-US"/>
        </w:rPr>
        <w:t>2</w:t>
      </w:r>
      <w:r w:rsidRPr="00EB27F7">
        <w:rPr>
          <w:rFonts w:ascii="Arial" w:hAnsi="Arial" w:cs="Arial"/>
          <w:sz w:val="20"/>
          <w:szCs w:val="20"/>
          <w:lang w:val="en-US"/>
        </w:rPr>
        <w:t>O) 5.1, measured with a glass electrode; organic C content of 8.0 g kg</w:t>
      </w:r>
      <w:r w:rsidRPr="00EB27F7">
        <w:rPr>
          <w:rFonts w:ascii="Arial" w:hAnsi="Arial" w:cs="Arial"/>
          <w:sz w:val="20"/>
          <w:szCs w:val="20"/>
          <w:vertAlign w:val="superscript"/>
          <w:lang w:val="en-US"/>
        </w:rPr>
        <w:t>-1</w:t>
      </w:r>
      <w:r w:rsidRPr="00EB27F7">
        <w:rPr>
          <w:rFonts w:ascii="Arial" w:hAnsi="Arial" w:cs="Arial"/>
          <w:sz w:val="20"/>
          <w:szCs w:val="20"/>
          <w:lang w:val="en-US"/>
        </w:rPr>
        <w:t xml:space="preserve">, measured by the </w:t>
      </w:r>
      <w:proofErr w:type="spellStart"/>
      <w:r w:rsidRPr="00EB27F7">
        <w:rPr>
          <w:rFonts w:ascii="Arial" w:hAnsi="Arial" w:cs="Arial"/>
          <w:sz w:val="20"/>
          <w:szCs w:val="20"/>
          <w:lang w:val="en-US"/>
        </w:rPr>
        <w:t>Walkley</w:t>
      </w:r>
      <w:proofErr w:type="spellEnd"/>
      <w:r w:rsidRPr="00EB27F7">
        <w:rPr>
          <w:rFonts w:ascii="Arial" w:hAnsi="Arial" w:cs="Arial"/>
          <w:sz w:val="20"/>
          <w:szCs w:val="20"/>
          <w:lang w:val="en-US"/>
        </w:rPr>
        <w:t>-Black method</w:t>
      </w:r>
      <w:r w:rsidR="00E02615" w:rsidRPr="00EB27F7">
        <w:rPr>
          <w:rFonts w:ascii="Arial" w:hAnsi="Arial" w:cs="Arial"/>
          <w:sz w:val="20"/>
          <w:szCs w:val="20"/>
          <w:lang w:val="en-US"/>
        </w:rPr>
        <w:t xml:space="preserve"> (Ne</w:t>
      </w:r>
      <w:r w:rsidR="00AD07DB" w:rsidRPr="00EB27F7">
        <w:rPr>
          <w:rFonts w:ascii="Arial" w:hAnsi="Arial" w:cs="Arial"/>
          <w:sz w:val="20"/>
          <w:szCs w:val="20"/>
          <w:lang w:val="en-US"/>
        </w:rPr>
        <w:t>l</w:t>
      </w:r>
      <w:r w:rsidR="00F45105" w:rsidRPr="00EB27F7">
        <w:rPr>
          <w:rFonts w:ascii="Arial" w:hAnsi="Arial" w:cs="Arial"/>
          <w:sz w:val="20"/>
          <w:szCs w:val="20"/>
          <w:lang w:val="en-US"/>
        </w:rPr>
        <w:t>son and Sommers</w:t>
      </w:r>
      <w:r w:rsidR="00E02615" w:rsidRPr="00EB27F7">
        <w:rPr>
          <w:rFonts w:ascii="Arial" w:hAnsi="Arial" w:cs="Arial"/>
          <w:sz w:val="20"/>
          <w:szCs w:val="20"/>
          <w:lang w:val="en-US"/>
        </w:rPr>
        <w:t xml:space="preserve"> 1996)</w:t>
      </w:r>
      <w:r w:rsidRPr="00EB27F7">
        <w:rPr>
          <w:rFonts w:ascii="Arial" w:hAnsi="Arial" w:cs="Arial"/>
          <w:sz w:val="20"/>
          <w:szCs w:val="20"/>
          <w:lang w:val="en-US"/>
        </w:rPr>
        <w:t xml:space="preserve">, </w:t>
      </w:r>
      <w:r w:rsidRPr="00EB27F7">
        <w:rPr>
          <w:rFonts w:ascii="Arial" w:hAnsi="Arial" w:cs="Arial"/>
          <w:sz w:val="20"/>
          <w:szCs w:val="20"/>
          <w:lang w:val="en-US"/>
        </w:rPr>
        <w:lastRenderedPageBreak/>
        <w:t xml:space="preserve">cation exchange capacity (CEC) of 4.7 </w:t>
      </w:r>
      <w:proofErr w:type="spellStart"/>
      <w:r w:rsidRPr="00EB27F7">
        <w:rPr>
          <w:rFonts w:ascii="Arial" w:hAnsi="Arial" w:cs="Arial"/>
          <w:sz w:val="20"/>
          <w:szCs w:val="20"/>
          <w:lang w:val="en-US"/>
        </w:rPr>
        <w:t>cmol</w:t>
      </w:r>
      <w:r w:rsidRPr="00EB27F7">
        <w:rPr>
          <w:rFonts w:ascii="Arial" w:hAnsi="Arial" w:cs="Arial"/>
          <w:sz w:val="20"/>
          <w:szCs w:val="20"/>
          <w:vertAlign w:val="subscript"/>
          <w:lang w:val="en-US"/>
        </w:rPr>
        <w:t>c</w:t>
      </w:r>
      <w:proofErr w:type="spellEnd"/>
      <w:r w:rsidRPr="00EB27F7">
        <w:rPr>
          <w:rFonts w:ascii="Arial" w:hAnsi="Arial" w:cs="Arial"/>
          <w:sz w:val="20"/>
          <w:szCs w:val="20"/>
          <w:lang w:val="en-US"/>
        </w:rPr>
        <w:t xml:space="preserve"> kg</w:t>
      </w:r>
      <w:r w:rsidRPr="00EB27F7">
        <w:rPr>
          <w:rFonts w:ascii="Arial" w:hAnsi="Arial" w:cs="Arial"/>
          <w:sz w:val="20"/>
          <w:szCs w:val="20"/>
          <w:vertAlign w:val="superscript"/>
          <w:lang w:val="en-US"/>
        </w:rPr>
        <w:t>-1</w:t>
      </w:r>
      <w:r w:rsidRPr="00EB27F7">
        <w:rPr>
          <w:rFonts w:ascii="Arial" w:hAnsi="Arial" w:cs="Arial"/>
          <w:sz w:val="20"/>
          <w:szCs w:val="20"/>
          <w:lang w:val="en-US"/>
        </w:rPr>
        <w:t xml:space="preserve"> and content of P (4.0 mg kg</w:t>
      </w:r>
      <w:r w:rsidRPr="00EB27F7">
        <w:rPr>
          <w:rFonts w:ascii="Arial" w:hAnsi="Arial" w:cs="Arial"/>
          <w:sz w:val="20"/>
          <w:szCs w:val="20"/>
          <w:vertAlign w:val="superscript"/>
          <w:lang w:val="en-US"/>
        </w:rPr>
        <w:t>-1</w:t>
      </w:r>
      <w:r w:rsidRPr="00EB27F7">
        <w:rPr>
          <w:rFonts w:ascii="Arial" w:hAnsi="Arial" w:cs="Arial"/>
          <w:sz w:val="20"/>
          <w:szCs w:val="20"/>
          <w:lang w:val="en-US"/>
        </w:rPr>
        <w:t>), Zn</w:t>
      </w:r>
      <w:r w:rsidRPr="00EB27F7">
        <w:rPr>
          <w:rFonts w:ascii="Arial" w:hAnsi="Arial" w:cs="Arial"/>
          <w:sz w:val="20"/>
          <w:szCs w:val="20"/>
          <w:vertAlign w:val="superscript"/>
          <w:lang w:val="en-US"/>
        </w:rPr>
        <w:t>2</w:t>
      </w:r>
      <w:r w:rsidRPr="00EB27F7">
        <w:rPr>
          <w:rFonts w:ascii="Arial" w:hAnsi="Arial" w:cs="Arial"/>
          <w:color w:val="000000"/>
          <w:sz w:val="20"/>
          <w:szCs w:val="20"/>
          <w:vertAlign w:val="superscript"/>
          <w:lang w:val="en-US"/>
        </w:rPr>
        <w:t>+</w:t>
      </w:r>
      <w:r w:rsidRPr="00EB27F7">
        <w:rPr>
          <w:rFonts w:ascii="Arial" w:hAnsi="Arial" w:cs="Arial"/>
          <w:sz w:val="20"/>
          <w:szCs w:val="20"/>
          <w:lang w:val="en-US"/>
        </w:rPr>
        <w:t xml:space="preserve"> (0.6 mg kg</w:t>
      </w:r>
      <w:r w:rsidRPr="00EB27F7">
        <w:rPr>
          <w:rFonts w:ascii="Arial" w:hAnsi="Arial" w:cs="Arial"/>
          <w:sz w:val="20"/>
          <w:szCs w:val="20"/>
          <w:vertAlign w:val="superscript"/>
          <w:lang w:val="en-US"/>
        </w:rPr>
        <w:t>-1</w:t>
      </w:r>
      <w:r w:rsidRPr="00EB27F7">
        <w:rPr>
          <w:rFonts w:ascii="Arial" w:hAnsi="Arial" w:cs="Arial"/>
          <w:sz w:val="20"/>
          <w:szCs w:val="20"/>
          <w:lang w:val="en-US"/>
        </w:rPr>
        <w:t>), Mn</w:t>
      </w:r>
      <w:r w:rsidRPr="00EB27F7">
        <w:rPr>
          <w:rFonts w:ascii="Arial" w:hAnsi="Arial" w:cs="Arial"/>
          <w:sz w:val="20"/>
          <w:szCs w:val="20"/>
          <w:vertAlign w:val="superscript"/>
          <w:lang w:val="en-US"/>
        </w:rPr>
        <w:t>2</w:t>
      </w:r>
      <w:r w:rsidRPr="00EB27F7">
        <w:rPr>
          <w:rFonts w:ascii="Arial" w:hAnsi="Arial" w:cs="Arial"/>
          <w:color w:val="000000"/>
          <w:sz w:val="20"/>
          <w:szCs w:val="20"/>
          <w:vertAlign w:val="superscript"/>
          <w:lang w:val="en-US"/>
        </w:rPr>
        <w:t>+</w:t>
      </w:r>
      <w:r w:rsidRPr="00EB27F7">
        <w:rPr>
          <w:rFonts w:ascii="Arial" w:hAnsi="Arial" w:cs="Arial"/>
          <w:sz w:val="20"/>
          <w:szCs w:val="20"/>
          <w:lang w:val="en-US"/>
        </w:rPr>
        <w:t xml:space="preserve"> (2.0 mg kg</w:t>
      </w:r>
      <w:r w:rsidRPr="00EB27F7">
        <w:rPr>
          <w:rFonts w:ascii="Arial" w:hAnsi="Arial" w:cs="Arial"/>
          <w:sz w:val="20"/>
          <w:szCs w:val="20"/>
          <w:vertAlign w:val="superscript"/>
          <w:lang w:val="en-US"/>
        </w:rPr>
        <w:t>-1</w:t>
      </w:r>
      <w:r w:rsidRPr="00EB27F7">
        <w:rPr>
          <w:rFonts w:ascii="Arial" w:hAnsi="Arial" w:cs="Arial"/>
          <w:sz w:val="20"/>
          <w:szCs w:val="20"/>
          <w:lang w:val="en-US"/>
        </w:rPr>
        <w:t>) and Cu</w:t>
      </w:r>
      <w:r w:rsidRPr="00EB27F7">
        <w:rPr>
          <w:rFonts w:ascii="Arial" w:hAnsi="Arial" w:cs="Arial"/>
          <w:sz w:val="20"/>
          <w:szCs w:val="20"/>
          <w:vertAlign w:val="superscript"/>
          <w:lang w:val="en-US"/>
        </w:rPr>
        <w:t>2</w:t>
      </w:r>
      <w:r w:rsidRPr="00EB27F7">
        <w:rPr>
          <w:rFonts w:ascii="Arial" w:hAnsi="Arial" w:cs="Arial"/>
          <w:color w:val="000000"/>
          <w:sz w:val="20"/>
          <w:szCs w:val="20"/>
          <w:vertAlign w:val="superscript"/>
          <w:lang w:val="en-US"/>
        </w:rPr>
        <w:t>+</w:t>
      </w:r>
      <w:r w:rsidRPr="00EB27F7">
        <w:rPr>
          <w:rFonts w:ascii="Arial" w:hAnsi="Arial" w:cs="Arial"/>
          <w:sz w:val="20"/>
          <w:szCs w:val="20"/>
          <w:lang w:val="en-US"/>
        </w:rPr>
        <w:t xml:space="preserve"> (0.9 mg kg</w:t>
      </w:r>
      <w:r w:rsidRPr="00EB27F7">
        <w:rPr>
          <w:rFonts w:ascii="Arial" w:hAnsi="Arial" w:cs="Arial"/>
          <w:sz w:val="20"/>
          <w:szCs w:val="20"/>
          <w:vertAlign w:val="superscript"/>
          <w:lang w:val="en-US"/>
        </w:rPr>
        <w:t>-1</w:t>
      </w:r>
      <w:r w:rsidRPr="00EB27F7">
        <w:rPr>
          <w:rFonts w:ascii="Arial" w:hAnsi="Arial" w:cs="Arial"/>
          <w:sz w:val="20"/>
          <w:szCs w:val="20"/>
          <w:lang w:val="en-US"/>
        </w:rPr>
        <w:t>).</w:t>
      </w:r>
    </w:p>
    <w:p w:rsidR="00776765" w:rsidRPr="00EB27F7" w:rsidRDefault="00776765" w:rsidP="00776765">
      <w:pPr>
        <w:spacing w:after="0" w:line="480" w:lineRule="auto"/>
        <w:ind w:firstLine="709"/>
        <w:jc w:val="both"/>
        <w:rPr>
          <w:rFonts w:ascii="Arial" w:hAnsi="Arial" w:cs="Arial"/>
          <w:sz w:val="20"/>
          <w:szCs w:val="20"/>
          <w:lang w:val="en-US"/>
        </w:rPr>
      </w:pPr>
      <w:r w:rsidRPr="00EB27F7">
        <w:rPr>
          <w:rFonts w:ascii="Arial" w:hAnsi="Arial" w:cs="Arial"/>
          <w:sz w:val="20"/>
          <w:szCs w:val="20"/>
          <w:lang w:val="en-US"/>
        </w:rPr>
        <w:t>The treatments were incubated in samples (40 g) of soil to compare the release and dynamics of all nutrients, using a micronutrient/soil ratio of 1:80 (mg g</w:t>
      </w:r>
      <w:r w:rsidRPr="00EB27F7">
        <w:rPr>
          <w:rFonts w:ascii="Arial" w:hAnsi="Arial" w:cs="Arial"/>
          <w:sz w:val="20"/>
          <w:szCs w:val="20"/>
          <w:vertAlign w:val="superscript"/>
          <w:lang w:val="en-US"/>
        </w:rPr>
        <w:t>-1</w:t>
      </w:r>
      <w:r w:rsidRPr="00EB27F7">
        <w:rPr>
          <w:rFonts w:ascii="Arial" w:hAnsi="Arial" w:cs="Arial"/>
          <w:sz w:val="20"/>
          <w:szCs w:val="20"/>
          <w:lang w:val="en-US"/>
        </w:rPr>
        <w:t>). The samples of soil were placed in 80 mL polyethylene screw-cap bottles, followed by application and homogenization in the soil of each material. The soil moisture was standardized to 80% of water-holding capacity (WHC) after complete incorporation of the granules and it was maintained constant during the incubation period with the addition of groundwater whenever necessary</w:t>
      </w:r>
      <w:r w:rsidR="00D705A5" w:rsidRPr="00EB27F7">
        <w:rPr>
          <w:rFonts w:ascii="Arial" w:hAnsi="Arial" w:cs="Arial"/>
          <w:sz w:val="20"/>
          <w:szCs w:val="20"/>
          <w:lang w:val="en-US"/>
        </w:rPr>
        <w:t xml:space="preserve"> </w:t>
      </w:r>
      <w:r w:rsidR="00E02615" w:rsidRPr="00EB27F7">
        <w:rPr>
          <w:rFonts w:ascii="Arial" w:hAnsi="Arial" w:cs="Arial"/>
          <w:sz w:val="20"/>
          <w:szCs w:val="20"/>
          <w:lang w:val="en-US"/>
        </w:rPr>
        <w:t>(da Cruz et al. 2017)</w:t>
      </w:r>
      <w:r w:rsidR="00D705A5" w:rsidRPr="00EB27F7">
        <w:rPr>
          <w:rFonts w:ascii="Arial" w:hAnsi="Arial" w:cs="Arial"/>
          <w:sz w:val="20"/>
          <w:szCs w:val="20"/>
          <w:lang w:val="en-US"/>
        </w:rPr>
        <w:t>.</w:t>
      </w:r>
    </w:p>
    <w:p w:rsidR="00776765" w:rsidRPr="00EB27F7" w:rsidRDefault="00776765" w:rsidP="00776765">
      <w:pPr>
        <w:spacing w:after="0" w:line="480" w:lineRule="auto"/>
        <w:ind w:firstLine="708"/>
        <w:jc w:val="both"/>
        <w:rPr>
          <w:rFonts w:ascii="Arial" w:hAnsi="Arial" w:cs="Arial"/>
          <w:sz w:val="20"/>
          <w:szCs w:val="20"/>
          <w:lang w:val="en-US"/>
        </w:rPr>
      </w:pPr>
      <w:r w:rsidRPr="00EB27F7">
        <w:rPr>
          <w:rFonts w:ascii="Arial" w:hAnsi="Arial" w:cs="Arial"/>
          <w:sz w:val="20"/>
          <w:szCs w:val="20"/>
          <w:lang w:val="en-US"/>
        </w:rPr>
        <w:t>The samples were incubated at a controlled temperature of 25 °C for 3, 7, 14, 28, and 42 days. The residual granules were removed and the soil was air-dried at 100 ºC for each incubation period. The micronutrients and sulfate solubilized in the soil were determined by methodologies described in Section 2.5. In addition, the solubilized zinc, manganese, copper and sulfur values of each treatment were expressed as a percentage relative to each element applied. All recovery profiles were calculated using means and standard deviations. Differences between mean values were determined by analysis of variance (ANOVA), and differences between treatments were compared using Fisher’s test (p &lt; 0.05).</w:t>
      </w:r>
    </w:p>
    <w:p w:rsidR="00776765" w:rsidRPr="00EB27F7" w:rsidRDefault="00776765" w:rsidP="00776765">
      <w:pPr>
        <w:spacing w:after="0" w:line="480" w:lineRule="auto"/>
        <w:jc w:val="both"/>
        <w:rPr>
          <w:rFonts w:ascii="Arial" w:hAnsi="Arial" w:cs="Arial"/>
          <w:sz w:val="20"/>
          <w:szCs w:val="20"/>
          <w:lang w:val="en-US"/>
        </w:rPr>
      </w:pPr>
    </w:p>
    <w:p w:rsidR="00776765" w:rsidRPr="00EB27F7" w:rsidRDefault="00776765" w:rsidP="00776765">
      <w:pPr>
        <w:spacing w:after="0" w:line="480" w:lineRule="auto"/>
        <w:rPr>
          <w:rFonts w:ascii="Arial" w:hAnsi="Arial" w:cs="Arial"/>
          <w:b/>
          <w:sz w:val="20"/>
          <w:szCs w:val="20"/>
          <w:lang w:val="en-US"/>
        </w:rPr>
      </w:pPr>
      <w:r w:rsidRPr="00EB27F7">
        <w:rPr>
          <w:rFonts w:ascii="Arial" w:hAnsi="Arial" w:cs="Arial"/>
          <w:b/>
          <w:sz w:val="20"/>
          <w:szCs w:val="20"/>
          <w:lang w:val="en-US"/>
        </w:rPr>
        <w:t xml:space="preserve">1.2. Physical and chemical characteristics </w:t>
      </w:r>
    </w:p>
    <w:p w:rsidR="00776765" w:rsidRPr="00EB27F7" w:rsidRDefault="00776765" w:rsidP="00776765">
      <w:pPr>
        <w:spacing w:after="0" w:line="480" w:lineRule="auto"/>
        <w:ind w:firstLine="709"/>
        <w:jc w:val="both"/>
        <w:rPr>
          <w:rFonts w:ascii="Arial" w:hAnsi="Arial" w:cs="Arial"/>
          <w:i/>
          <w:sz w:val="20"/>
          <w:szCs w:val="20"/>
          <w:lang w:val="en-US"/>
        </w:rPr>
      </w:pPr>
      <w:r w:rsidRPr="00EB27F7">
        <w:rPr>
          <w:rFonts w:ascii="Arial" w:hAnsi="Arial" w:cs="Arial"/>
          <w:i/>
          <w:sz w:val="20"/>
          <w:szCs w:val="20"/>
          <w:lang w:val="en-US"/>
        </w:rPr>
        <w:t xml:space="preserve">Characterizations. </w:t>
      </w:r>
      <w:r w:rsidRPr="00EB27F7">
        <w:rPr>
          <w:rFonts w:ascii="Arial" w:hAnsi="Arial" w:cs="Arial"/>
          <w:sz w:val="20"/>
          <w:szCs w:val="20"/>
          <w:lang w:val="en-US"/>
        </w:rPr>
        <w:t xml:space="preserve">The morphology of the layer formed on the granules was observed by Scanning Electron Microscopy (SEM) using a JSM 6510 microscope (JEOL, Japan). The images were carried out using an accelerating voltage of 10 kV and secondary electron detector. </w:t>
      </w:r>
    </w:p>
    <w:p w:rsidR="00776765" w:rsidRPr="00EB27F7" w:rsidRDefault="00776765" w:rsidP="00776765">
      <w:pPr>
        <w:spacing w:after="0" w:line="480" w:lineRule="auto"/>
        <w:ind w:firstLine="709"/>
        <w:jc w:val="both"/>
        <w:rPr>
          <w:rFonts w:ascii="Arial" w:hAnsi="Arial" w:cs="Arial"/>
          <w:sz w:val="20"/>
          <w:szCs w:val="20"/>
          <w:lang w:val="en-US"/>
        </w:rPr>
      </w:pPr>
      <w:r w:rsidRPr="00EB27F7">
        <w:rPr>
          <w:rFonts w:ascii="Arial" w:hAnsi="Arial" w:cs="Arial"/>
          <w:i/>
          <w:sz w:val="20"/>
          <w:szCs w:val="20"/>
          <w:lang w:val="en-US"/>
        </w:rPr>
        <w:t xml:space="preserve">Determination of </w:t>
      </w:r>
      <w:proofErr w:type="spellStart"/>
      <w:r w:rsidRPr="00EB27F7">
        <w:rPr>
          <w:rFonts w:ascii="Arial" w:hAnsi="Arial" w:cs="Arial"/>
          <w:i/>
          <w:sz w:val="20"/>
          <w:szCs w:val="20"/>
          <w:lang w:val="en-US"/>
        </w:rPr>
        <w:t>pH.</w:t>
      </w:r>
      <w:proofErr w:type="spellEnd"/>
      <w:r w:rsidRPr="00EB27F7">
        <w:rPr>
          <w:rFonts w:ascii="Arial" w:hAnsi="Arial" w:cs="Arial"/>
          <w:sz w:val="20"/>
          <w:szCs w:val="20"/>
          <w:lang w:val="en-US"/>
        </w:rPr>
        <w:t xml:space="preserve"> </w:t>
      </w:r>
      <w:r w:rsidRPr="00EB27F7">
        <w:rPr>
          <w:rFonts w:ascii="Arial" w:hAnsi="Arial" w:cs="Arial"/>
          <w:color w:val="000000"/>
          <w:sz w:val="20"/>
          <w:szCs w:val="20"/>
          <w:shd w:val="clear" w:color="auto" w:fill="FFFFFF"/>
          <w:lang w:val="en-US"/>
        </w:rPr>
        <w:t xml:space="preserve">The pH was determined as proposed by </w:t>
      </w:r>
      <w:proofErr w:type="spellStart"/>
      <w:r w:rsidRPr="00EB27F7">
        <w:rPr>
          <w:rFonts w:ascii="Arial" w:hAnsi="Arial" w:cs="Arial"/>
          <w:color w:val="000000"/>
          <w:sz w:val="20"/>
          <w:szCs w:val="20"/>
          <w:shd w:val="clear" w:color="auto" w:fill="FFFFFF"/>
          <w:lang w:val="en-US"/>
        </w:rPr>
        <w:t>Embrapa</w:t>
      </w:r>
      <w:proofErr w:type="spellEnd"/>
      <w:r w:rsidRPr="00EB27F7">
        <w:rPr>
          <w:rFonts w:ascii="Arial" w:hAnsi="Arial" w:cs="Arial"/>
          <w:color w:val="000000"/>
          <w:sz w:val="20"/>
          <w:szCs w:val="20"/>
          <w:shd w:val="clear" w:color="auto" w:fill="FFFFFF"/>
          <w:lang w:val="en-US"/>
        </w:rPr>
        <w:t>, 1979</w:t>
      </w:r>
      <w:r w:rsidRPr="00EB27F7">
        <w:rPr>
          <w:rFonts w:ascii="Arial" w:hAnsi="Arial" w:cs="Arial"/>
          <w:sz w:val="20"/>
          <w:szCs w:val="20"/>
          <w:shd w:val="clear" w:color="auto" w:fill="FFFFFF"/>
          <w:lang w:val="en-US"/>
        </w:rPr>
        <w:t>.</w:t>
      </w:r>
    </w:p>
    <w:p w:rsidR="00776765" w:rsidRPr="00EB27F7" w:rsidRDefault="00776765" w:rsidP="00776765">
      <w:pPr>
        <w:spacing w:after="0" w:line="480" w:lineRule="auto"/>
        <w:ind w:firstLine="709"/>
        <w:jc w:val="both"/>
        <w:rPr>
          <w:rFonts w:ascii="Arial" w:eastAsia="Times New Roman" w:hAnsi="Arial" w:cs="Arial"/>
          <w:color w:val="000000"/>
          <w:sz w:val="20"/>
          <w:szCs w:val="20"/>
          <w:lang w:val="en-US"/>
        </w:rPr>
      </w:pPr>
      <w:r w:rsidRPr="00EB27F7">
        <w:rPr>
          <w:rFonts w:ascii="Arial" w:eastAsia="Times New Roman" w:hAnsi="Arial" w:cs="Arial"/>
          <w:i/>
          <w:color w:val="000000"/>
          <w:sz w:val="20"/>
          <w:szCs w:val="20"/>
          <w:lang w:val="en-US"/>
        </w:rPr>
        <w:t>Determination of phosphorus (P), zinc, manganese and copper solubilized.</w:t>
      </w:r>
      <w:r w:rsidRPr="00EB27F7">
        <w:rPr>
          <w:rFonts w:ascii="Arial" w:eastAsia="Times New Roman" w:hAnsi="Arial" w:cs="Arial"/>
          <w:color w:val="000000"/>
          <w:sz w:val="20"/>
          <w:szCs w:val="20"/>
          <w:lang w:val="en-US"/>
        </w:rPr>
        <w:t xml:space="preserve"> Phosphorus (P remaining in the granules and available phosphorus in the soil) determination was based on a method reported by </w:t>
      </w:r>
      <w:proofErr w:type="spellStart"/>
      <w:r w:rsidRPr="00EB27F7">
        <w:rPr>
          <w:rFonts w:ascii="Arial" w:eastAsia="Times New Roman" w:hAnsi="Arial" w:cs="Arial"/>
          <w:color w:val="000000"/>
          <w:sz w:val="20"/>
          <w:szCs w:val="20"/>
          <w:lang w:val="en-US"/>
        </w:rPr>
        <w:t>Plotegher</w:t>
      </w:r>
      <w:proofErr w:type="spellEnd"/>
      <w:r w:rsidRPr="00EB27F7">
        <w:rPr>
          <w:rFonts w:ascii="Arial" w:eastAsia="Times New Roman" w:hAnsi="Arial" w:cs="Arial"/>
          <w:color w:val="000000"/>
          <w:sz w:val="20"/>
          <w:szCs w:val="20"/>
          <w:lang w:val="en-US"/>
        </w:rPr>
        <w:t xml:space="preserve"> and Ribeiro (2016), also recommended by Brazilian Ministry of Agriculture, Livestock and Supply for phosphorus quantification in chemical fertilizers. This method consists of phosphorus complexation from an acidified solution of ammonium </w:t>
      </w:r>
      <w:proofErr w:type="spellStart"/>
      <w:r w:rsidRPr="00EB27F7">
        <w:rPr>
          <w:rFonts w:ascii="Arial" w:eastAsia="Times New Roman" w:hAnsi="Arial" w:cs="Arial"/>
          <w:color w:val="000000"/>
          <w:sz w:val="20"/>
          <w:szCs w:val="20"/>
          <w:lang w:val="en-US"/>
        </w:rPr>
        <w:t>molybdate</w:t>
      </w:r>
      <w:proofErr w:type="spellEnd"/>
      <w:r w:rsidRPr="00EB27F7">
        <w:rPr>
          <w:rFonts w:ascii="Arial" w:eastAsia="Times New Roman" w:hAnsi="Arial" w:cs="Arial"/>
          <w:color w:val="000000"/>
          <w:sz w:val="20"/>
          <w:szCs w:val="20"/>
          <w:lang w:val="en-US"/>
        </w:rPr>
        <w:t xml:space="preserve"> (0.08 </w:t>
      </w:r>
      <w:proofErr w:type="spellStart"/>
      <w:r w:rsidRPr="00EB27F7">
        <w:rPr>
          <w:rFonts w:ascii="Arial" w:eastAsia="Times New Roman" w:hAnsi="Arial" w:cs="Arial"/>
          <w:color w:val="000000"/>
          <w:sz w:val="20"/>
          <w:szCs w:val="20"/>
          <w:lang w:val="en-US"/>
        </w:rPr>
        <w:t>mol</w:t>
      </w:r>
      <w:proofErr w:type="spellEnd"/>
      <w:r w:rsidRPr="00EB27F7">
        <w:rPr>
          <w:rFonts w:ascii="Arial" w:eastAsia="Times New Roman" w:hAnsi="Arial" w:cs="Arial"/>
          <w:color w:val="000000"/>
          <w:sz w:val="20"/>
          <w:szCs w:val="20"/>
          <w:lang w:val="en-US"/>
        </w:rPr>
        <w:t xml:space="preserve"> L</w:t>
      </w:r>
      <w:r w:rsidRPr="00EB27F7">
        <w:rPr>
          <w:rFonts w:ascii="Arial" w:eastAsia="Times New Roman" w:hAnsi="Arial" w:cs="Arial"/>
          <w:color w:val="000000"/>
          <w:sz w:val="20"/>
          <w:szCs w:val="20"/>
          <w:vertAlign w:val="superscript"/>
          <w:lang w:val="en-US"/>
        </w:rPr>
        <w:t>-1</w:t>
      </w:r>
      <w:r w:rsidRPr="00EB27F7">
        <w:rPr>
          <w:rFonts w:ascii="Arial" w:eastAsia="Times New Roman" w:hAnsi="Arial" w:cs="Arial"/>
          <w:color w:val="000000"/>
          <w:sz w:val="20"/>
          <w:szCs w:val="20"/>
          <w:lang w:val="en-US"/>
        </w:rPr>
        <w:t xml:space="preserve">) containing ascorbic acid (0.4 </w:t>
      </w:r>
      <w:proofErr w:type="spellStart"/>
      <w:r w:rsidRPr="00EB27F7">
        <w:rPr>
          <w:rFonts w:ascii="Arial" w:eastAsia="Times New Roman" w:hAnsi="Arial" w:cs="Arial"/>
          <w:color w:val="000000"/>
          <w:sz w:val="20"/>
          <w:szCs w:val="20"/>
          <w:lang w:val="en-US"/>
        </w:rPr>
        <w:t>mol</w:t>
      </w:r>
      <w:proofErr w:type="spellEnd"/>
      <w:r w:rsidRPr="00EB27F7">
        <w:rPr>
          <w:rFonts w:ascii="Arial" w:eastAsia="Times New Roman" w:hAnsi="Arial" w:cs="Arial"/>
          <w:color w:val="000000"/>
          <w:sz w:val="20"/>
          <w:szCs w:val="20"/>
          <w:lang w:val="en-US"/>
        </w:rPr>
        <w:t xml:space="preserve"> L</w:t>
      </w:r>
      <w:r w:rsidRPr="00EB27F7">
        <w:rPr>
          <w:rFonts w:ascii="Arial" w:eastAsia="Times New Roman" w:hAnsi="Arial" w:cs="Arial"/>
          <w:color w:val="000000"/>
          <w:sz w:val="20"/>
          <w:szCs w:val="20"/>
          <w:vertAlign w:val="superscript"/>
          <w:lang w:val="en-US"/>
        </w:rPr>
        <w:t>-1</w:t>
      </w:r>
      <w:r w:rsidRPr="00EB27F7">
        <w:rPr>
          <w:rFonts w:ascii="Arial" w:eastAsia="Times New Roman" w:hAnsi="Arial" w:cs="Arial"/>
          <w:color w:val="000000"/>
          <w:sz w:val="20"/>
          <w:szCs w:val="20"/>
          <w:lang w:val="en-US"/>
        </w:rPr>
        <w:t xml:space="preserve">), citric acid (0.03 </w:t>
      </w:r>
      <w:proofErr w:type="spellStart"/>
      <w:r w:rsidRPr="00EB27F7">
        <w:rPr>
          <w:rFonts w:ascii="Arial" w:eastAsia="Times New Roman" w:hAnsi="Arial" w:cs="Arial"/>
          <w:color w:val="000000"/>
          <w:sz w:val="20"/>
          <w:szCs w:val="20"/>
          <w:lang w:val="en-US"/>
        </w:rPr>
        <w:t>mol</w:t>
      </w:r>
      <w:proofErr w:type="spellEnd"/>
      <w:r w:rsidRPr="00EB27F7">
        <w:rPr>
          <w:rFonts w:ascii="Arial" w:eastAsia="Times New Roman" w:hAnsi="Arial" w:cs="Arial"/>
          <w:color w:val="000000"/>
          <w:sz w:val="20"/>
          <w:szCs w:val="20"/>
          <w:lang w:val="en-US"/>
        </w:rPr>
        <w:t xml:space="preserve"> L</w:t>
      </w:r>
      <w:r w:rsidRPr="00EB27F7">
        <w:rPr>
          <w:rFonts w:ascii="Arial" w:eastAsia="Times New Roman" w:hAnsi="Arial" w:cs="Arial"/>
          <w:color w:val="000000"/>
          <w:sz w:val="20"/>
          <w:szCs w:val="20"/>
          <w:vertAlign w:val="superscript"/>
          <w:lang w:val="en-US"/>
        </w:rPr>
        <w:t>-1</w:t>
      </w:r>
      <w:r w:rsidRPr="00EB27F7">
        <w:rPr>
          <w:rFonts w:ascii="Arial" w:eastAsia="Times New Roman" w:hAnsi="Arial" w:cs="Arial"/>
          <w:color w:val="000000"/>
          <w:sz w:val="20"/>
          <w:szCs w:val="20"/>
          <w:lang w:val="en-US"/>
        </w:rPr>
        <w:t xml:space="preserve">) as well </w:t>
      </w:r>
      <w:r w:rsidRPr="00EB27F7">
        <w:rPr>
          <w:rFonts w:ascii="Arial" w:eastAsia="Times New Roman" w:hAnsi="Arial" w:cs="Arial"/>
          <w:color w:val="000000"/>
          <w:sz w:val="20"/>
          <w:szCs w:val="20"/>
          <w:lang w:val="en-US"/>
        </w:rPr>
        <w:lastRenderedPageBreak/>
        <w:t xml:space="preserve">as antimony and potassium tartrate (0.05 </w:t>
      </w:r>
      <w:proofErr w:type="spellStart"/>
      <w:r w:rsidRPr="00EB27F7">
        <w:rPr>
          <w:rFonts w:ascii="Arial" w:eastAsia="Times New Roman" w:hAnsi="Arial" w:cs="Arial"/>
          <w:color w:val="000000"/>
          <w:sz w:val="20"/>
          <w:szCs w:val="20"/>
          <w:lang w:val="en-US"/>
        </w:rPr>
        <w:t>mol</w:t>
      </w:r>
      <w:proofErr w:type="spellEnd"/>
      <w:r w:rsidRPr="00EB27F7">
        <w:rPr>
          <w:rFonts w:ascii="Arial" w:eastAsia="Times New Roman" w:hAnsi="Arial" w:cs="Arial"/>
          <w:color w:val="000000"/>
          <w:sz w:val="20"/>
          <w:szCs w:val="20"/>
          <w:lang w:val="en-US"/>
        </w:rPr>
        <w:t xml:space="preserve"> L</w:t>
      </w:r>
      <w:r w:rsidRPr="00EB27F7">
        <w:rPr>
          <w:rFonts w:ascii="Arial" w:eastAsia="Times New Roman" w:hAnsi="Arial" w:cs="Arial"/>
          <w:color w:val="000000"/>
          <w:sz w:val="20"/>
          <w:szCs w:val="20"/>
          <w:vertAlign w:val="superscript"/>
          <w:lang w:val="en-US"/>
        </w:rPr>
        <w:t>-1</w:t>
      </w:r>
      <w:r w:rsidRPr="00EB27F7">
        <w:rPr>
          <w:rFonts w:ascii="Arial" w:eastAsia="Times New Roman" w:hAnsi="Arial" w:cs="Arial"/>
          <w:color w:val="000000"/>
          <w:sz w:val="20"/>
          <w:szCs w:val="20"/>
          <w:lang w:val="en-US"/>
        </w:rPr>
        <w:t xml:space="preserve">), which allows the formation and reduction of </w:t>
      </w:r>
      <w:proofErr w:type="spellStart"/>
      <w:r w:rsidRPr="00EB27F7">
        <w:rPr>
          <w:rFonts w:ascii="Arial" w:eastAsia="Times New Roman" w:hAnsi="Arial" w:cs="Arial"/>
          <w:color w:val="000000"/>
          <w:sz w:val="20"/>
          <w:szCs w:val="20"/>
          <w:lang w:val="en-US"/>
        </w:rPr>
        <w:t>phosphomolybdic</w:t>
      </w:r>
      <w:proofErr w:type="spellEnd"/>
      <w:r w:rsidRPr="00EB27F7">
        <w:rPr>
          <w:rFonts w:ascii="Arial" w:eastAsia="Times New Roman" w:hAnsi="Arial" w:cs="Arial"/>
          <w:color w:val="000000"/>
          <w:sz w:val="20"/>
          <w:szCs w:val="20"/>
          <w:lang w:val="en-US"/>
        </w:rPr>
        <w:t xml:space="preserve"> acid. This mixture was also allowed to react at 50 °C for 15 min, forming a </w:t>
      </w:r>
      <w:proofErr w:type="spellStart"/>
      <w:r w:rsidRPr="00EB27F7">
        <w:rPr>
          <w:rFonts w:ascii="Arial" w:eastAsia="Times New Roman" w:hAnsi="Arial" w:cs="Arial"/>
          <w:color w:val="000000"/>
          <w:sz w:val="20"/>
          <w:szCs w:val="20"/>
          <w:lang w:val="en-US"/>
        </w:rPr>
        <w:t>phosphoantimonylmolybdenum</w:t>
      </w:r>
      <w:proofErr w:type="spellEnd"/>
      <w:r w:rsidRPr="00EB27F7">
        <w:rPr>
          <w:rFonts w:ascii="Arial" w:eastAsia="Times New Roman" w:hAnsi="Arial" w:cs="Arial"/>
          <w:color w:val="000000"/>
          <w:sz w:val="20"/>
          <w:szCs w:val="20"/>
          <w:lang w:val="en-US"/>
        </w:rPr>
        <w:t xml:space="preserve"> blue complex. The blue complex was quantified by ultraviolet−visible (UV−vis) colorimetric method using a </w:t>
      </w:r>
      <w:proofErr w:type="spellStart"/>
      <w:r w:rsidRPr="00EB27F7">
        <w:rPr>
          <w:rFonts w:ascii="Arial" w:eastAsia="Times New Roman" w:hAnsi="Arial" w:cs="Arial"/>
          <w:color w:val="000000"/>
          <w:sz w:val="20"/>
          <w:szCs w:val="20"/>
          <w:lang w:val="en-US"/>
        </w:rPr>
        <w:t>Femto</w:t>
      </w:r>
      <w:proofErr w:type="spellEnd"/>
      <w:r w:rsidRPr="00EB27F7">
        <w:rPr>
          <w:rFonts w:ascii="Arial" w:eastAsia="Times New Roman" w:hAnsi="Arial" w:cs="Arial"/>
          <w:color w:val="000000"/>
          <w:sz w:val="20"/>
          <w:szCs w:val="20"/>
          <w:lang w:val="en-US"/>
        </w:rPr>
        <w:t xml:space="preserve"> spectrophotometer with a fixed wavelength at 880 nm. Zinc, manganese and copper determination were done by flame atomic absorption spectroscopy (FAAS) using a PerkinElmer model </w:t>
      </w:r>
      <w:proofErr w:type="spellStart"/>
      <w:r w:rsidRPr="00EB27F7">
        <w:rPr>
          <w:rFonts w:ascii="Arial" w:eastAsia="Times New Roman" w:hAnsi="Arial" w:cs="Arial"/>
          <w:color w:val="000000"/>
          <w:sz w:val="20"/>
          <w:szCs w:val="20"/>
          <w:lang w:val="en-US"/>
        </w:rPr>
        <w:t>PinAAcle</w:t>
      </w:r>
      <w:proofErr w:type="spellEnd"/>
      <w:r w:rsidRPr="00EB27F7">
        <w:rPr>
          <w:rFonts w:ascii="Arial" w:eastAsia="Times New Roman" w:hAnsi="Arial" w:cs="Arial"/>
          <w:color w:val="000000"/>
          <w:sz w:val="20"/>
          <w:szCs w:val="20"/>
          <w:lang w:val="en-US"/>
        </w:rPr>
        <w:t xml:space="preserve"> 900T with flame composed of synthetic air (10 mL) and acetylene (2.5 mL) and wavelength at 213.86, 279.48 and 324.75 nm, respectively.</w:t>
      </w:r>
    </w:p>
    <w:p w:rsidR="00776765" w:rsidRPr="00EB27F7" w:rsidRDefault="00776765" w:rsidP="00776765">
      <w:pPr>
        <w:spacing w:after="0" w:line="480" w:lineRule="auto"/>
        <w:jc w:val="both"/>
        <w:rPr>
          <w:rFonts w:ascii="Arial" w:eastAsia="Times New Roman" w:hAnsi="Arial" w:cs="Arial"/>
          <w:color w:val="000000"/>
          <w:sz w:val="20"/>
          <w:szCs w:val="20"/>
          <w:lang w:val="en-US"/>
        </w:rPr>
      </w:pPr>
    </w:p>
    <w:p w:rsidR="00776765" w:rsidRPr="00EB27F7" w:rsidRDefault="00776765">
      <w:pPr>
        <w:rPr>
          <w:rFonts w:ascii="Arial" w:eastAsia="Times New Roman" w:hAnsi="Arial" w:cs="Arial"/>
          <w:b/>
          <w:color w:val="000000"/>
          <w:sz w:val="20"/>
          <w:szCs w:val="20"/>
          <w:lang w:val="en-US"/>
        </w:rPr>
      </w:pPr>
      <w:r w:rsidRPr="00EB27F7">
        <w:rPr>
          <w:rFonts w:ascii="Arial" w:eastAsia="Times New Roman" w:hAnsi="Arial" w:cs="Arial"/>
          <w:b/>
          <w:color w:val="000000"/>
          <w:sz w:val="20"/>
          <w:szCs w:val="20"/>
          <w:lang w:val="en-US"/>
        </w:rPr>
        <w:br w:type="page"/>
      </w:r>
    </w:p>
    <w:p w:rsidR="00776765" w:rsidRPr="00EB27F7" w:rsidRDefault="00776765" w:rsidP="00776765">
      <w:pPr>
        <w:spacing w:after="0" w:line="480" w:lineRule="auto"/>
        <w:jc w:val="both"/>
        <w:rPr>
          <w:rFonts w:ascii="Arial" w:eastAsia="Times New Roman" w:hAnsi="Arial" w:cs="Arial"/>
          <w:color w:val="000000"/>
          <w:sz w:val="20"/>
          <w:szCs w:val="20"/>
          <w:lang w:val="en-US"/>
        </w:rPr>
      </w:pPr>
      <w:r w:rsidRPr="00EB27F7">
        <w:rPr>
          <w:rFonts w:ascii="Arial" w:eastAsia="Times New Roman" w:hAnsi="Arial" w:cs="Arial"/>
          <w:b/>
          <w:color w:val="000000"/>
          <w:sz w:val="20"/>
          <w:szCs w:val="20"/>
          <w:lang w:val="en-US"/>
        </w:rPr>
        <w:lastRenderedPageBreak/>
        <w:t xml:space="preserve">2. </w:t>
      </w:r>
      <w:r w:rsidR="007B1EAC" w:rsidRPr="00EB27F7">
        <w:rPr>
          <w:rFonts w:ascii="Arial" w:eastAsia="Times New Roman" w:hAnsi="Arial" w:cs="Arial"/>
          <w:b/>
          <w:color w:val="000000"/>
          <w:sz w:val="20"/>
          <w:szCs w:val="20"/>
          <w:lang w:val="en-US"/>
        </w:rPr>
        <w:t>Figure and Table</w:t>
      </w:r>
    </w:p>
    <w:p w:rsidR="00776765" w:rsidRPr="00EB27F7" w:rsidRDefault="00776765" w:rsidP="00776765">
      <w:pPr>
        <w:spacing w:after="0" w:line="480" w:lineRule="auto"/>
        <w:jc w:val="center"/>
        <w:rPr>
          <w:rFonts w:ascii="Arial" w:eastAsia="Times New Roman" w:hAnsi="Arial" w:cs="Arial"/>
          <w:color w:val="000000"/>
          <w:sz w:val="20"/>
          <w:szCs w:val="20"/>
          <w:lang w:val="en-US"/>
        </w:rPr>
      </w:pPr>
      <w:r w:rsidRPr="00EB27F7">
        <w:rPr>
          <w:rFonts w:ascii="Arial" w:eastAsia="Times New Roman" w:hAnsi="Arial" w:cs="Arial"/>
          <w:noProof/>
          <w:color w:val="000000"/>
          <w:sz w:val="20"/>
          <w:szCs w:val="20"/>
          <w:lang w:eastAsia="pt-BR"/>
        </w:rPr>
        <w:drawing>
          <wp:inline distT="0" distB="0" distL="0" distR="0" wp14:anchorId="00CA1195" wp14:editId="63113E1E">
            <wp:extent cx="3333897" cy="7005587"/>
            <wp:effectExtent l="0" t="0" r="0" b="5080"/>
            <wp:docPr id="1" name="Imagem 1" descr="D:\Artigos Publicação\Artigos - Em Andamento\Artigo MAP A.niger e Bacteria\MEV\MEV Artigo MAP Niger e Bact - Suplementa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rtigos Publicação\Artigos - Em Andamento\Artigo MAP A.niger e Bacteria\MEV\MEV Artigo MAP Niger e Bact - Suplementar.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40867" cy="7020233"/>
                    </a:xfrm>
                    <a:prstGeom prst="rect">
                      <a:avLst/>
                    </a:prstGeom>
                    <a:noFill/>
                    <a:ln>
                      <a:noFill/>
                    </a:ln>
                  </pic:spPr>
                </pic:pic>
              </a:graphicData>
            </a:graphic>
          </wp:inline>
        </w:drawing>
      </w:r>
    </w:p>
    <w:p w:rsidR="00776765" w:rsidRPr="00EB27F7" w:rsidRDefault="00776765" w:rsidP="00090CC8">
      <w:pPr>
        <w:spacing w:after="0" w:line="360" w:lineRule="auto"/>
        <w:jc w:val="both"/>
        <w:rPr>
          <w:rFonts w:ascii="Arial" w:hAnsi="Arial" w:cs="Arial"/>
          <w:sz w:val="20"/>
          <w:szCs w:val="20"/>
          <w:lang w:val="en-US"/>
        </w:rPr>
      </w:pPr>
      <w:r w:rsidRPr="00EB27F7">
        <w:rPr>
          <w:rFonts w:ascii="Arial" w:hAnsi="Arial" w:cs="Arial"/>
          <w:b/>
          <w:sz w:val="20"/>
          <w:szCs w:val="20"/>
          <w:lang w:val="en-US"/>
        </w:rPr>
        <w:t xml:space="preserve">Figure S1. </w:t>
      </w:r>
      <w:r w:rsidRPr="00EB27F7">
        <w:rPr>
          <w:rFonts w:ascii="Arial" w:hAnsi="Arial" w:cs="Arial"/>
          <w:sz w:val="20"/>
          <w:szCs w:val="20"/>
          <w:lang w:val="en-US"/>
        </w:rPr>
        <w:t xml:space="preserve">Original </w:t>
      </w:r>
      <w:r w:rsidR="00CD2107" w:rsidRPr="00EB27F7">
        <w:rPr>
          <w:rFonts w:ascii="Arial" w:hAnsi="Arial" w:cs="Arial"/>
          <w:sz w:val="20"/>
          <w:szCs w:val="20"/>
          <w:lang w:val="en-US"/>
        </w:rPr>
        <w:t xml:space="preserve">Cross-sectional Scanning Electron Microscopy (SEM) images </w:t>
      </w:r>
      <w:r w:rsidR="002F4BEB" w:rsidRPr="00EB27F7">
        <w:rPr>
          <w:rFonts w:ascii="Arial" w:hAnsi="Arial" w:cs="Arial"/>
          <w:sz w:val="20"/>
          <w:szCs w:val="20"/>
          <w:lang w:val="en-US"/>
        </w:rPr>
        <w:t>of</w:t>
      </w:r>
      <w:r w:rsidR="00CD2107" w:rsidRPr="00EB27F7">
        <w:rPr>
          <w:rFonts w:ascii="Arial" w:hAnsi="Arial" w:cs="Arial"/>
          <w:sz w:val="20"/>
          <w:szCs w:val="20"/>
          <w:lang w:val="en-US"/>
        </w:rPr>
        <w:t xml:space="preserve"> (a) bare and (b) coated MAP granules with </w:t>
      </w:r>
      <w:proofErr w:type="spellStart"/>
      <w:r w:rsidR="00CD2107" w:rsidRPr="00EB27F7">
        <w:rPr>
          <w:rFonts w:ascii="Arial" w:hAnsi="Arial" w:cs="Arial"/>
          <w:sz w:val="20"/>
          <w:szCs w:val="20"/>
          <w:lang w:val="en-US"/>
        </w:rPr>
        <w:t>biocoating</w:t>
      </w:r>
      <w:proofErr w:type="spellEnd"/>
      <w:r w:rsidR="00CD2107" w:rsidRPr="00EB27F7">
        <w:rPr>
          <w:rFonts w:ascii="Arial" w:hAnsi="Arial" w:cs="Arial"/>
          <w:sz w:val="20"/>
          <w:szCs w:val="20"/>
          <w:lang w:val="en-US"/>
        </w:rPr>
        <w:t xml:space="preserve"> containing </w:t>
      </w:r>
      <w:r w:rsidR="00CD2107" w:rsidRPr="00EB27F7">
        <w:rPr>
          <w:rFonts w:ascii="Arial" w:hAnsi="Arial" w:cs="Arial"/>
          <w:i/>
          <w:sz w:val="20"/>
          <w:szCs w:val="20"/>
          <w:lang w:val="en-US"/>
        </w:rPr>
        <w:t xml:space="preserve">Aspergillus </w:t>
      </w:r>
      <w:proofErr w:type="gramStart"/>
      <w:r w:rsidR="00CD2107" w:rsidRPr="00EB27F7">
        <w:rPr>
          <w:rFonts w:ascii="Arial" w:hAnsi="Arial" w:cs="Arial"/>
          <w:i/>
          <w:sz w:val="20"/>
          <w:szCs w:val="20"/>
          <w:lang w:val="en-US"/>
        </w:rPr>
        <w:t>niger</w:t>
      </w:r>
      <w:proofErr w:type="gramEnd"/>
      <w:r w:rsidR="00CD2107" w:rsidRPr="00EB27F7">
        <w:rPr>
          <w:rFonts w:ascii="Arial" w:hAnsi="Arial" w:cs="Arial"/>
          <w:sz w:val="20"/>
          <w:szCs w:val="20"/>
          <w:lang w:val="en-US"/>
        </w:rPr>
        <w:t xml:space="preserve"> (</w:t>
      </w:r>
      <w:proofErr w:type="spellStart"/>
      <w:r w:rsidR="00CD2107" w:rsidRPr="00EB27F7">
        <w:rPr>
          <w:rFonts w:ascii="Arial" w:hAnsi="Arial" w:cs="Arial"/>
          <w:sz w:val="20"/>
          <w:szCs w:val="20"/>
          <w:lang w:val="en-US"/>
        </w:rPr>
        <w:t>MAP</w:t>
      </w:r>
      <w:r w:rsidR="00CD2107" w:rsidRPr="00EB27F7">
        <w:rPr>
          <w:rFonts w:ascii="Arial" w:hAnsi="Arial" w:cs="Arial"/>
          <w:sz w:val="20"/>
          <w:szCs w:val="20"/>
          <w:vertAlign w:val="subscript"/>
          <w:lang w:val="en-US"/>
        </w:rPr>
        <w:t>Mix+A.niger</w:t>
      </w:r>
      <w:proofErr w:type="spellEnd"/>
      <w:r w:rsidR="00CD2107" w:rsidRPr="00EB27F7">
        <w:rPr>
          <w:rFonts w:ascii="Arial" w:hAnsi="Arial" w:cs="Arial"/>
          <w:sz w:val="20"/>
          <w:szCs w:val="20"/>
          <w:lang w:val="en-US"/>
        </w:rPr>
        <w:t xml:space="preserve">) and (c) </w:t>
      </w:r>
      <w:proofErr w:type="spellStart"/>
      <w:r w:rsidR="00CD2107" w:rsidRPr="00EB27F7">
        <w:rPr>
          <w:rFonts w:ascii="Arial" w:hAnsi="Arial" w:cs="Arial"/>
          <w:i/>
          <w:sz w:val="20"/>
          <w:szCs w:val="20"/>
          <w:lang w:val="en-US"/>
        </w:rPr>
        <w:t>Acidithiobacillus</w:t>
      </w:r>
      <w:proofErr w:type="spellEnd"/>
      <w:r w:rsidR="00CD2107" w:rsidRPr="00EB27F7">
        <w:rPr>
          <w:rFonts w:ascii="Arial" w:hAnsi="Arial" w:cs="Arial"/>
          <w:i/>
          <w:sz w:val="20"/>
          <w:szCs w:val="20"/>
          <w:lang w:val="en-US"/>
        </w:rPr>
        <w:t xml:space="preserve"> thiooxidans</w:t>
      </w:r>
      <w:r w:rsidR="00AC6FCE" w:rsidRPr="00EB27F7">
        <w:rPr>
          <w:rFonts w:ascii="Arial" w:hAnsi="Arial" w:cs="Arial"/>
          <w:i/>
          <w:sz w:val="20"/>
          <w:szCs w:val="20"/>
          <w:lang w:val="en-US"/>
        </w:rPr>
        <w:t xml:space="preserve"> </w:t>
      </w:r>
      <w:r w:rsidR="00CD2107" w:rsidRPr="00EB27F7">
        <w:rPr>
          <w:rFonts w:ascii="Arial" w:hAnsi="Arial" w:cs="Arial"/>
          <w:sz w:val="20"/>
          <w:szCs w:val="20"/>
          <w:lang w:val="en-US"/>
        </w:rPr>
        <w:t>(</w:t>
      </w:r>
      <w:proofErr w:type="spellStart"/>
      <w:r w:rsidR="00CD2107" w:rsidRPr="00EB27F7">
        <w:rPr>
          <w:rFonts w:ascii="Arial" w:hAnsi="Arial" w:cs="Arial"/>
          <w:sz w:val="20"/>
          <w:szCs w:val="20"/>
          <w:lang w:val="en-US"/>
        </w:rPr>
        <w:t>MAP</w:t>
      </w:r>
      <w:r w:rsidR="00CD2107" w:rsidRPr="00EB27F7">
        <w:rPr>
          <w:rFonts w:ascii="Arial" w:hAnsi="Arial" w:cs="Arial"/>
          <w:bCs/>
          <w:color w:val="000000"/>
          <w:sz w:val="20"/>
          <w:szCs w:val="20"/>
          <w:vertAlign w:val="subscript"/>
          <w:lang w:val="en-US"/>
        </w:rPr>
        <w:t>Mix+A.thio</w:t>
      </w:r>
      <w:proofErr w:type="spellEnd"/>
      <w:r w:rsidR="00CD2107" w:rsidRPr="00EB27F7">
        <w:rPr>
          <w:rFonts w:ascii="Arial" w:hAnsi="Arial" w:cs="Arial"/>
          <w:bCs/>
          <w:color w:val="000000"/>
          <w:sz w:val="20"/>
          <w:szCs w:val="20"/>
          <w:lang w:val="en-US"/>
        </w:rPr>
        <w:t>)</w:t>
      </w:r>
      <w:r w:rsidR="00CD2107" w:rsidRPr="00EB27F7">
        <w:rPr>
          <w:rFonts w:ascii="Arial" w:hAnsi="Arial" w:cs="Arial"/>
          <w:sz w:val="20"/>
          <w:szCs w:val="20"/>
          <w:lang w:val="en-US"/>
        </w:rPr>
        <w:t xml:space="preserve">. </w:t>
      </w:r>
    </w:p>
    <w:p w:rsidR="00090CC8" w:rsidRPr="00EB27F7" w:rsidRDefault="00090CC8">
      <w:pPr>
        <w:rPr>
          <w:rFonts w:ascii="Arial" w:hAnsi="Arial" w:cs="Arial"/>
          <w:b/>
          <w:sz w:val="20"/>
          <w:szCs w:val="20"/>
          <w:lang w:val="en-US"/>
        </w:rPr>
      </w:pPr>
    </w:p>
    <w:p w:rsidR="00F45105" w:rsidRPr="00EB27F7" w:rsidRDefault="00F45105">
      <w:pPr>
        <w:rPr>
          <w:rFonts w:ascii="Arial" w:hAnsi="Arial" w:cs="Arial"/>
          <w:b/>
          <w:sz w:val="20"/>
          <w:szCs w:val="20"/>
          <w:lang w:val="en-US"/>
        </w:rPr>
      </w:pPr>
      <w:r w:rsidRPr="00EB27F7">
        <w:rPr>
          <w:rFonts w:ascii="Arial" w:hAnsi="Arial" w:cs="Arial"/>
          <w:b/>
          <w:sz w:val="20"/>
          <w:szCs w:val="20"/>
          <w:lang w:val="en-US"/>
        </w:rPr>
        <w:br w:type="page"/>
      </w:r>
    </w:p>
    <w:p w:rsidR="00776765" w:rsidRPr="00EB27F7" w:rsidRDefault="00776765" w:rsidP="00776765">
      <w:pPr>
        <w:spacing w:line="360" w:lineRule="auto"/>
        <w:rPr>
          <w:rFonts w:ascii="Arial" w:hAnsi="Arial" w:cs="Arial"/>
          <w:b/>
          <w:sz w:val="20"/>
          <w:szCs w:val="20"/>
          <w:lang w:val="en-US"/>
        </w:rPr>
      </w:pPr>
      <w:r w:rsidRPr="00EB27F7">
        <w:rPr>
          <w:rFonts w:ascii="Arial" w:hAnsi="Arial" w:cs="Arial"/>
          <w:b/>
          <w:sz w:val="20"/>
          <w:szCs w:val="20"/>
          <w:lang w:val="en-US"/>
        </w:rPr>
        <w:lastRenderedPageBreak/>
        <w:t>Reference - Supplementary Material</w:t>
      </w:r>
    </w:p>
    <w:p w:rsidR="00014441" w:rsidRPr="00EB27F7" w:rsidRDefault="00AA62AF" w:rsidP="00014441">
      <w:pPr>
        <w:pStyle w:val="EndNoteBibliography"/>
        <w:spacing w:after="120" w:line="360" w:lineRule="auto"/>
        <w:jc w:val="both"/>
        <w:rPr>
          <w:rFonts w:ascii="Arial" w:hAnsi="Arial" w:cs="Arial"/>
          <w:sz w:val="20"/>
        </w:rPr>
      </w:pPr>
      <w:r w:rsidRPr="00EB27F7">
        <w:rPr>
          <w:rFonts w:ascii="Arial" w:hAnsi="Arial" w:cs="Arial"/>
          <w:sz w:val="20"/>
          <w:lang w:val="en-US"/>
        </w:rPr>
        <w:t>da Cruz DF</w:t>
      </w:r>
      <w:r w:rsidR="006A67F5" w:rsidRPr="00EB27F7">
        <w:rPr>
          <w:rFonts w:ascii="Arial" w:hAnsi="Arial" w:cs="Arial"/>
          <w:sz w:val="20"/>
          <w:lang w:val="en-US"/>
        </w:rPr>
        <w:t>,</w:t>
      </w:r>
      <w:r w:rsidRPr="00EB27F7">
        <w:rPr>
          <w:rFonts w:ascii="Arial" w:hAnsi="Arial" w:cs="Arial"/>
          <w:sz w:val="20"/>
          <w:lang w:val="en-US"/>
        </w:rPr>
        <w:t xml:space="preserve"> Bortoletto-Santos R</w:t>
      </w:r>
      <w:r w:rsidR="006A67F5" w:rsidRPr="00EB27F7">
        <w:rPr>
          <w:rFonts w:ascii="Arial" w:hAnsi="Arial" w:cs="Arial"/>
          <w:sz w:val="20"/>
          <w:lang w:val="en-US"/>
        </w:rPr>
        <w:t>,</w:t>
      </w:r>
      <w:r w:rsidRPr="00EB27F7">
        <w:rPr>
          <w:rFonts w:ascii="Arial" w:hAnsi="Arial" w:cs="Arial"/>
          <w:sz w:val="20"/>
          <w:lang w:val="en-US"/>
        </w:rPr>
        <w:t xml:space="preserve"> Guimarães GGF</w:t>
      </w:r>
      <w:r w:rsidR="006A67F5" w:rsidRPr="00EB27F7">
        <w:rPr>
          <w:rFonts w:ascii="Arial" w:hAnsi="Arial" w:cs="Arial"/>
          <w:sz w:val="20"/>
          <w:lang w:val="en-US"/>
        </w:rPr>
        <w:t>,</w:t>
      </w:r>
      <w:r w:rsidRPr="00EB27F7">
        <w:rPr>
          <w:rFonts w:ascii="Arial" w:hAnsi="Arial" w:cs="Arial"/>
          <w:sz w:val="20"/>
          <w:lang w:val="en-US"/>
        </w:rPr>
        <w:t xml:space="preserve"> Polito WL, Ribeiro C (2017)</w:t>
      </w:r>
      <w:r w:rsidR="00014441" w:rsidRPr="00EB27F7">
        <w:rPr>
          <w:rFonts w:ascii="Arial" w:hAnsi="Arial" w:cs="Arial"/>
          <w:sz w:val="20"/>
          <w:lang w:val="en-US"/>
        </w:rPr>
        <w:t xml:space="preserve"> Role of polymeric coating on the phosphate availability as a fertilizer: insight from phosphate release by castor polyurethane coatings. </w:t>
      </w:r>
      <w:r w:rsidR="00014441" w:rsidRPr="00EB27F7">
        <w:rPr>
          <w:rFonts w:ascii="Arial" w:hAnsi="Arial" w:cs="Arial"/>
          <w:sz w:val="20"/>
        </w:rPr>
        <w:t>J. Agric. Food Chem.</w:t>
      </w:r>
      <w:r w:rsidRPr="00EB27F7">
        <w:rPr>
          <w:rFonts w:ascii="Arial" w:hAnsi="Arial" w:cs="Arial"/>
          <w:sz w:val="20"/>
        </w:rPr>
        <w:t xml:space="preserve"> 65: </w:t>
      </w:r>
      <w:r w:rsidR="00014441" w:rsidRPr="00EB27F7">
        <w:rPr>
          <w:rFonts w:ascii="Arial" w:hAnsi="Arial" w:cs="Arial"/>
          <w:sz w:val="20"/>
        </w:rPr>
        <w:t>5890-5895.</w:t>
      </w:r>
    </w:p>
    <w:p w:rsidR="00014441" w:rsidRPr="00EB27F7" w:rsidRDefault="00014441" w:rsidP="00014441">
      <w:pPr>
        <w:pStyle w:val="EndNoteBibliography"/>
        <w:spacing w:after="120" w:line="360" w:lineRule="auto"/>
        <w:jc w:val="both"/>
        <w:rPr>
          <w:rFonts w:ascii="Arial" w:hAnsi="Arial" w:cs="Arial"/>
          <w:sz w:val="20"/>
        </w:rPr>
      </w:pPr>
      <w:r w:rsidRPr="00EB27F7">
        <w:rPr>
          <w:rFonts w:ascii="Arial" w:hAnsi="Arial" w:cs="Arial"/>
          <w:sz w:val="20"/>
        </w:rPr>
        <w:t>Embrapa - Empresa Brasileira de Pesquisa Agropecuária</w:t>
      </w:r>
      <w:r w:rsidR="006A67F5" w:rsidRPr="00EB27F7">
        <w:rPr>
          <w:rFonts w:ascii="Arial" w:hAnsi="Arial" w:cs="Arial"/>
          <w:sz w:val="20"/>
        </w:rPr>
        <w:t>, 1979.</w:t>
      </w:r>
      <w:r w:rsidRPr="00EB27F7">
        <w:rPr>
          <w:rFonts w:ascii="Arial" w:hAnsi="Arial" w:cs="Arial"/>
          <w:sz w:val="20"/>
        </w:rPr>
        <w:t xml:space="preserve"> </w:t>
      </w:r>
      <w:r w:rsidRPr="00EB27F7">
        <w:rPr>
          <w:rFonts w:ascii="Arial" w:hAnsi="Arial" w:cs="Arial"/>
          <w:i/>
          <w:sz w:val="20"/>
        </w:rPr>
        <w:t>Soil analysis methods manual</w:t>
      </w:r>
      <w:r w:rsidRPr="00EB27F7">
        <w:rPr>
          <w:rFonts w:ascii="Arial" w:hAnsi="Arial" w:cs="Arial"/>
          <w:sz w:val="20"/>
        </w:rPr>
        <w:t>; National Soil Research Center, Embrapa Solos, Rio de Janeiro, Brazil</w:t>
      </w:r>
      <w:r w:rsidR="006A67F5" w:rsidRPr="00EB27F7">
        <w:rPr>
          <w:rFonts w:ascii="Arial" w:hAnsi="Arial" w:cs="Arial"/>
          <w:sz w:val="20"/>
        </w:rPr>
        <w:t>.</w:t>
      </w:r>
    </w:p>
    <w:p w:rsidR="00776765" w:rsidRPr="00EB27F7" w:rsidRDefault="00AA62AF" w:rsidP="00550806">
      <w:pPr>
        <w:pStyle w:val="EndNoteBibliography"/>
        <w:spacing w:after="120" w:line="360" w:lineRule="auto"/>
        <w:jc w:val="both"/>
        <w:rPr>
          <w:rFonts w:ascii="Arial" w:hAnsi="Arial" w:cs="Arial"/>
          <w:sz w:val="20"/>
          <w:lang w:val="en-US"/>
        </w:rPr>
      </w:pPr>
      <w:r w:rsidRPr="00EB27F7">
        <w:rPr>
          <w:rFonts w:ascii="Arial" w:hAnsi="Arial" w:cs="Arial"/>
          <w:sz w:val="20"/>
          <w:lang w:val="en-US"/>
        </w:rPr>
        <w:t>Kilmer VJ, Alexander LT (1949)</w:t>
      </w:r>
      <w:r w:rsidR="00776765" w:rsidRPr="00EB27F7">
        <w:rPr>
          <w:rFonts w:ascii="Arial" w:hAnsi="Arial" w:cs="Arial"/>
          <w:sz w:val="20"/>
          <w:lang w:val="en-US"/>
        </w:rPr>
        <w:t xml:space="preserve"> Methods of making mechanical analysis of soils. Soil Sci.</w:t>
      </w:r>
      <w:r w:rsidR="00550806" w:rsidRPr="00EB27F7">
        <w:rPr>
          <w:rFonts w:ascii="Arial" w:hAnsi="Arial" w:cs="Arial"/>
          <w:sz w:val="20"/>
          <w:lang w:val="en-US"/>
        </w:rPr>
        <w:t xml:space="preserve"> </w:t>
      </w:r>
      <w:r w:rsidRPr="00EB27F7">
        <w:rPr>
          <w:rFonts w:ascii="Arial" w:hAnsi="Arial" w:cs="Arial"/>
          <w:sz w:val="20"/>
          <w:lang w:val="en-US"/>
        </w:rPr>
        <w:t xml:space="preserve">68: </w:t>
      </w:r>
      <w:r w:rsidR="00776765" w:rsidRPr="00EB27F7">
        <w:rPr>
          <w:rFonts w:ascii="Arial" w:hAnsi="Arial" w:cs="Arial"/>
          <w:sz w:val="20"/>
          <w:lang w:val="en-US"/>
        </w:rPr>
        <w:t>15–24.</w:t>
      </w:r>
    </w:p>
    <w:p w:rsidR="00776765" w:rsidRPr="00EB27F7" w:rsidRDefault="00AA62AF" w:rsidP="00550806">
      <w:pPr>
        <w:pStyle w:val="EndNoteBibliography"/>
        <w:spacing w:after="120" w:line="360" w:lineRule="auto"/>
        <w:jc w:val="both"/>
        <w:rPr>
          <w:rFonts w:ascii="Arial" w:hAnsi="Arial" w:cs="Arial"/>
          <w:sz w:val="20"/>
          <w:lang w:val="en-US"/>
        </w:rPr>
      </w:pPr>
      <w:r w:rsidRPr="00EB27F7">
        <w:rPr>
          <w:rFonts w:ascii="Arial" w:hAnsi="Arial" w:cs="Arial"/>
          <w:sz w:val="20"/>
          <w:lang w:val="en-US"/>
        </w:rPr>
        <w:t>Nelson DW, Sommers LE</w:t>
      </w:r>
      <w:r w:rsidR="006A67F5" w:rsidRPr="00EB27F7">
        <w:rPr>
          <w:rFonts w:ascii="Arial" w:hAnsi="Arial" w:cs="Arial"/>
          <w:sz w:val="20"/>
          <w:lang w:val="en-US"/>
        </w:rPr>
        <w:t xml:space="preserve"> </w:t>
      </w:r>
      <w:r w:rsidRPr="00EB27F7">
        <w:rPr>
          <w:rFonts w:ascii="Arial" w:hAnsi="Arial" w:cs="Arial"/>
          <w:sz w:val="20"/>
          <w:lang w:val="en-US"/>
        </w:rPr>
        <w:t>(1996)</w:t>
      </w:r>
      <w:r w:rsidR="00776765" w:rsidRPr="00EB27F7">
        <w:rPr>
          <w:rFonts w:ascii="Arial" w:hAnsi="Arial" w:cs="Arial"/>
          <w:sz w:val="20"/>
          <w:lang w:val="en-US"/>
        </w:rPr>
        <w:t xml:space="preserve"> Total carbon, organic carbon, and organic matter</w:t>
      </w:r>
      <w:r w:rsidRPr="00EB27F7">
        <w:rPr>
          <w:rFonts w:ascii="Arial" w:hAnsi="Arial" w:cs="Arial"/>
          <w:sz w:val="20"/>
          <w:lang w:val="en-US"/>
        </w:rPr>
        <w:t xml:space="preserve">. </w:t>
      </w:r>
      <w:r w:rsidR="00444C00" w:rsidRPr="00EB27F7">
        <w:rPr>
          <w:rFonts w:ascii="Arial" w:hAnsi="Arial" w:cs="Arial"/>
          <w:sz w:val="20"/>
          <w:lang w:val="en-US"/>
        </w:rPr>
        <w:t>I</w:t>
      </w:r>
      <w:r w:rsidR="00776765" w:rsidRPr="00EB27F7">
        <w:rPr>
          <w:rFonts w:ascii="Arial" w:hAnsi="Arial" w:cs="Arial"/>
          <w:sz w:val="20"/>
          <w:lang w:val="en-US"/>
        </w:rPr>
        <w:t>n: Methods of soil analysis, Part 3, Chemical Methods, SSSA Book Series No. 5, SSSA and ASA, Madison, pp. 916-1010.</w:t>
      </w:r>
    </w:p>
    <w:p w:rsidR="00776765" w:rsidRPr="00EB27F7" w:rsidRDefault="00AA62AF" w:rsidP="00550806">
      <w:pPr>
        <w:spacing w:after="120" w:line="360" w:lineRule="auto"/>
        <w:jc w:val="both"/>
        <w:rPr>
          <w:rFonts w:ascii="Arial" w:eastAsia="Times New Roman" w:hAnsi="Arial" w:cs="Arial"/>
          <w:color w:val="000000"/>
          <w:sz w:val="20"/>
          <w:szCs w:val="20"/>
          <w:lang w:val="en-US"/>
        </w:rPr>
      </w:pPr>
      <w:proofErr w:type="spellStart"/>
      <w:r w:rsidRPr="00EB27F7">
        <w:rPr>
          <w:rFonts w:ascii="Arial" w:eastAsia="Times New Roman" w:hAnsi="Arial" w:cs="Arial"/>
          <w:color w:val="000000"/>
          <w:sz w:val="20"/>
          <w:szCs w:val="20"/>
          <w:lang w:val="en-US"/>
        </w:rPr>
        <w:t>Plotegher</w:t>
      </w:r>
      <w:proofErr w:type="spellEnd"/>
      <w:r w:rsidRPr="00EB27F7">
        <w:rPr>
          <w:rFonts w:ascii="Arial" w:eastAsia="Times New Roman" w:hAnsi="Arial" w:cs="Arial"/>
          <w:color w:val="000000"/>
          <w:sz w:val="20"/>
          <w:szCs w:val="20"/>
          <w:lang w:val="en-US"/>
        </w:rPr>
        <w:t xml:space="preserve"> F, Ribeiro C (2016)</w:t>
      </w:r>
      <w:r w:rsidR="00776765" w:rsidRPr="00EB27F7">
        <w:rPr>
          <w:rFonts w:ascii="Arial" w:eastAsia="Times New Roman" w:hAnsi="Arial" w:cs="Arial"/>
          <w:color w:val="000000"/>
          <w:sz w:val="20"/>
          <w:szCs w:val="20"/>
          <w:lang w:val="en-US"/>
        </w:rPr>
        <w:t xml:space="preserve"> Characterization of single superphosphate powders – a study of milling effects on solubilization kinetics. Mat. Res.</w:t>
      </w:r>
      <w:r w:rsidR="00444C00" w:rsidRPr="00EB27F7">
        <w:rPr>
          <w:rFonts w:ascii="Arial" w:eastAsia="Times New Roman" w:hAnsi="Arial" w:cs="Arial"/>
          <w:color w:val="000000"/>
          <w:sz w:val="20"/>
          <w:szCs w:val="20"/>
          <w:lang w:val="en-US"/>
        </w:rPr>
        <w:t xml:space="preserve"> </w:t>
      </w:r>
      <w:r w:rsidRPr="00EB27F7">
        <w:rPr>
          <w:rFonts w:ascii="Arial" w:eastAsia="Times New Roman" w:hAnsi="Arial" w:cs="Arial"/>
          <w:color w:val="000000"/>
          <w:sz w:val="20"/>
          <w:szCs w:val="20"/>
          <w:lang w:val="en-US"/>
        </w:rPr>
        <w:t>19(1):</w:t>
      </w:r>
      <w:r w:rsidR="00776765" w:rsidRPr="00EB27F7">
        <w:rPr>
          <w:rFonts w:ascii="Arial" w:eastAsia="Times New Roman" w:hAnsi="Arial" w:cs="Arial"/>
          <w:color w:val="000000"/>
          <w:sz w:val="20"/>
          <w:szCs w:val="20"/>
          <w:lang w:val="en-US"/>
        </w:rPr>
        <w:t xml:space="preserve"> 98-105.</w:t>
      </w:r>
    </w:p>
    <w:p w:rsidR="00776765" w:rsidRPr="00EB27F7" w:rsidRDefault="00776765" w:rsidP="00550806">
      <w:pPr>
        <w:spacing w:after="0" w:line="480" w:lineRule="auto"/>
        <w:jc w:val="both"/>
        <w:rPr>
          <w:rFonts w:ascii="Arial" w:hAnsi="Arial" w:cs="Arial"/>
          <w:sz w:val="20"/>
          <w:szCs w:val="20"/>
          <w:lang w:val="en-US"/>
        </w:rPr>
      </w:pPr>
    </w:p>
    <w:sectPr w:rsidR="00776765" w:rsidRPr="00EB27F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765"/>
    <w:rsid w:val="00014441"/>
    <w:rsid w:val="00090CC8"/>
    <w:rsid w:val="001D0CCD"/>
    <w:rsid w:val="00223219"/>
    <w:rsid w:val="00254404"/>
    <w:rsid w:val="002F4BEB"/>
    <w:rsid w:val="003079A4"/>
    <w:rsid w:val="00425F6D"/>
    <w:rsid w:val="00444C00"/>
    <w:rsid w:val="00446C64"/>
    <w:rsid w:val="004E20E8"/>
    <w:rsid w:val="005467D1"/>
    <w:rsid w:val="00550806"/>
    <w:rsid w:val="006751BF"/>
    <w:rsid w:val="006A67F5"/>
    <w:rsid w:val="00731696"/>
    <w:rsid w:val="00776765"/>
    <w:rsid w:val="007B1EAC"/>
    <w:rsid w:val="007F7943"/>
    <w:rsid w:val="00872379"/>
    <w:rsid w:val="0097049F"/>
    <w:rsid w:val="009A6615"/>
    <w:rsid w:val="00A87154"/>
    <w:rsid w:val="00AA62AF"/>
    <w:rsid w:val="00AC6FCE"/>
    <w:rsid w:val="00AD07DB"/>
    <w:rsid w:val="00AE4B8B"/>
    <w:rsid w:val="00BB4679"/>
    <w:rsid w:val="00BF606E"/>
    <w:rsid w:val="00C510EA"/>
    <w:rsid w:val="00C60CC5"/>
    <w:rsid w:val="00CD2107"/>
    <w:rsid w:val="00D63654"/>
    <w:rsid w:val="00D705A5"/>
    <w:rsid w:val="00DF225E"/>
    <w:rsid w:val="00E02615"/>
    <w:rsid w:val="00E35E7B"/>
    <w:rsid w:val="00EB27F7"/>
    <w:rsid w:val="00F4510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76765"/>
    <w:pPr>
      <w:ind w:left="720"/>
      <w:contextualSpacing/>
    </w:pPr>
  </w:style>
  <w:style w:type="paragraph" w:styleId="Textodebalo">
    <w:name w:val="Balloon Text"/>
    <w:basedOn w:val="Normal"/>
    <w:link w:val="TextodebaloChar"/>
    <w:uiPriority w:val="99"/>
    <w:semiHidden/>
    <w:unhideWhenUsed/>
    <w:rsid w:val="0077676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76765"/>
    <w:rPr>
      <w:rFonts w:ascii="Tahoma" w:hAnsi="Tahoma" w:cs="Tahoma"/>
      <w:sz w:val="16"/>
      <w:szCs w:val="16"/>
    </w:rPr>
  </w:style>
  <w:style w:type="paragraph" w:customStyle="1" w:styleId="EndNoteBibliography">
    <w:name w:val="EndNote Bibliography"/>
    <w:basedOn w:val="Normal"/>
    <w:link w:val="EndNoteBibliographyChar"/>
    <w:rsid w:val="00776765"/>
    <w:pPr>
      <w:spacing w:line="240" w:lineRule="auto"/>
      <w:jc w:val="center"/>
    </w:pPr>
    <w:rPr>
      <w:rFonts w:ascii="Calibri" w:eastAsia="Times New Roman" w:hAnsi="Calibri" w:cs="Calibri"/>
      <w:noProof/>
      <w:szCs w:val="20"/>
      <w:lang w:eastAsia="pt-BR"/>
    </w:rPr>
  </w:style>
  <w:style w:type="character" w:customStyle="1" w:styleId="EndNoteBibliographyChar">
    <w:name w:val="EndNote Bibliography Char"/>
    <w:link w:val="EndNoteBibliography"/>
    <w:rsid w:val="00776765"/>
    <w:rPr>
      <w:rFonts w:ascii="Calibri" w:eastAsia="Times New Roman" w:hAnsi="Calibri" w:cs="Calibri"/>
      <w:noProof/>
      <w:szCs w:val="20"/>
      <w:lang w:eastAsia="pt-BR"/>
    </w:rPr>
  </w:style>
  <w:style w:type="table" w:styleId="Tabelacomgrade">
    <w:name w:val="Table Grid"/>
    <w:basedOn w:val="Tabelanormal"/>
    <w:uiPriority w:val="59"/>
    <w:rsid w:val="00C51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76765"/>
    <w:pPr>
      <w:ind w:left="720"/>
      <w:contextualSpacing/>
    </w:pPr>
  </w:style>
  <w:style w:type="paragraph" w:styleId="Textodebalo">
    <w:name w:val="Balloon Text"/>
    <w:basedOn w:val="Normal"/>
    <w:link w:val="TextodebaloChar"/>
    <w:uiPriority w:val="99"/>
    <w:semiHidden/>
    <w:unhideWhenUsed/>
    <w:rsid w:val="0077676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76765"/>
    <w:rPr>
      <w:rFonts w:ascii="Tahoma" w:hAnsi="Tahoma" w:cs="Tahoma"/>
      <w:sz w:val="16"/>
      <w:szCs w:val="16"/>
    </w:rPr>
  </w:style>
  <w:style w:type="paragraph" w:customStyle="1" w:styleId="EndNoteBibliography">
    <w:name w:val="EndNote Bibliography"/>
    <w:basedOn w:val="Normal"/>
    <w:link w:val="EndNoteBibliographyChar"/>
    <w:rsid w:val="00776765"/>
    <w:pPr>
      <w:spacing w:line="240" w:lineRule="auto"/>
      <w:jc w:val="center"/>
    </w:pPr>
    <w:rPr>
      <w:rFonts w:ascii="Calibri" w:eastAsia="Times New Roman" w:hAnsi="Calibri" w:cs="Calibri"/>
      <w:noProof/>
      <w:szCs w:val="20"/>
      <w:lang w:eastAsia="pt-BR"/>
    </w:rPr>
  </w:style>
  <w:style w:type="character" w:customStyle="1" w:styleId="EndNoteBibliographyChar">
    <w:name w:val="EndNote Bibliography Char"/>
    <w:link w:val="EndNoteBibliography"/>
    <w:rsid w:val="00776765"/>
    <w:rPr>
      <w:rFonts w:ascii="Calibri" w:eastAsia="Times New Roman" w:hAnsi="Calibri" w:cs="Calibri"/>
      <w:noProof/>
      <w:szCs w:val="20"/>
      <w:lang w:eastAsia="pt-BR"/>
    </w:rPr>
  </w:style>
  <w:style w:type="table" w:styleId="Tabelacomgrade">
    <w:name w:val="Table Grid"/>
    <w:basedOn w:val="Tabelanormal"/>
    <w:uiPriority w:val="59"/>
    <w:rsid w:val="00C51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471753">
      <w:bodyDiv w:val="1"/>
      <w:marLeft w:val="0"/>
      <w:marRight w:val="0"/>
      <w:marTop w:val="0"/>
      <w:marBottom w:val="0"/>
      <w:divBdr>
        <w:top w:val="none" w:sz="0" w:space="0" w:color="auto"/>
        <w:left w:val="none" w:sz="0" w:space="0" w:color="auto"/>
        <w:bottom w:val="none" w:sz="0" w:space="0" w:color="auto"/>
        <w:right w:val="none" w:sz="0" w:space="0" w:color="auto"/>
      </w:divBdr>
    </w:div>
    <w:div w:id="1335063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BB56B-91C7-43D5-96D3-3E113E73B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5</Pages>
  <Words>1015</Words>
  <Characters>5485</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Ricardo Bortoletto-Santos</dc:creator>
  <cp:lastModifiedBy>Ricardo Bortoletto-Santos</cp:lastModifiedBy>
  <cp:revision>25</cp:revision>
  <dcterms:created xsi:type="dcterms:W3CDTF">2020-07-17T01:06:00Z</dcterms:created>
  <dcterms:modified xsi:type="dcterms:W3CDTF">2021-05-15T00:30:00Z</dcterms:modified>
</cp:coreProperties>
</file>