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jc w:val="both"/>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Supplementary </w:t>
      </w:r>
      <w:r w:rsidDel="00000000" w:rsidR="00000000" w:rsidRPr="00000000">
        <w:rPr>
          <w:rFonts w:ascii="Times New Roman" w:cs="Times New Roman" w:eastAsia="Times New Roman" w:hAnsi="Times New Roman"/>
          <w:b w:val="1"/>
          <w:sz w:val="26"/>
          <w:szCs w:val="26"/>
          <w:rtl w:val="0"/>
        </w:rPr>
        <w:t xml:space="preserve">materials</w:t>
      </w:r>
      <w:r w:rsidDel="00000000" w:rsidR="00000000" w:rsidRPr="00000000">
        <w:rPr>
          <w:rtl w:val="0"/>
        </w:rPr>
      </w:r>
    </w:p>
    <w:p w:rsidR="00000000" w:rsidDel="00000000" w:rsidP="00000000" w:rsidRDefault="00000000" w:rsidRPr="00000000" w14:paraId="00000002">
      <w:pPr>
        <w:spacing w:line="360" w:lineRule="auto"/>
        <w:rPr/>
      </w:pPr>
      <w:r w:rsidDel="00000000" w:rsidR="00000000" w:rsidRPr="00000000">
        <w:rPr>
          <w:rtl w:val="0"/>
        </w:rPr>
      </w:r>
    </w:p>
    <w:p w:rsidR="00000000" w:rsidDel="00000000" w:rsidP="00000000" w:rsidRDefault="00000000" w:rsidRPr="00000000" w14:paraId="00000003">
      <w:pPr>
        <w:spacing w:line="360" w:lineRule="auto"/>
        <w:rPr/>
      </w:pPr>
      <w:r w:rsidDel="00000000" w:rsidR="00000000" w:rsidRPr="00000000">
        <w:rPr>
          <w:rFonts w:ascii="Times New Roman" w:cs="Times New Roman" w:eastAsia="Times New Roman" w:hAnsi="Times New Roman"/>
          <w:b w:val="1"/>
          <w:color w:val="000000"/>
          <w:rtl w:val="0"/>
        </w:rPr>
        <w:t xml:space="preserve">Supplementary Figures      </w:t>
      </w:r>
      <w:r w:rsidDel="00000000" w:rsidR="00000000" w:rsidRPr="00000000">
        <w:rPr>
          <w:rFonts w:ascii="Times New Roman" w:cs="Times New Roman" w:eastAsia="Times New Roman" w:hAnsi="Times New Roman"/>
          <w:b w:val="1"/>
        </w:rPr>
        <w:drawing>
          <wp:inline distB="114300" distT="114300" distL="114300" distR="114300">
            <wp:extent cx="5731200" cy="5715000"/>
            <wp:effectExtent b="0" l="0" r="0" t="0"/>
            <wp:docPr id="15" name="image6.png"/>
            <a:graphic>
              <a:graphicData uri="http://schemas.openxmlformats.org/drawingml/2006/picture">
                <pic:pic>
                  <pic:nvPicPr>
                    <pic:cNvPr id="0" name="image6.png"/>
                    <pic:cNvPicPr preferRelativeResize="0"/>
                  </pic:nvPicPr>
                  <pic:blipFill>
                    <a:blip r:embed="rId7"/>
                    <a:srcRect b="0" l="0" r="0" t="0"/>
                    <a:stretch>
                      <a:fillRect/>
                    </a:stretch>
                  </pic:blipFill>
                  <pic:spPr>
                    <a:xfrm>
                      <a:off x="0" y="0"/>
                      <a:ext cx="5731200" cy="5715000"/>
                    </a:xfrm>
                    <a:prstGeom prst="rect"/>
                    <a:ln/>
                  </pic:spPr>
                </pic:pic>
              </a:graphicData>
            </a:graphic>
          </wp:inline>
        </w:drawing>
      </w:r>
      <w:r w:rsidDel="00000000" w:rsidR="00000000" w:rsidRPr="00000000">
        <w:rPr>
          <w:rFonts w:ascii="Times New Roman" w:cs="Times New Roman" w:eastAsia="Times New Roman" w:hAnsi="Times New Roman"/>
          <w:b w:val="1"/>
          <w:color w:val="000000"/>
          <w:rtl w:val="0"/>
        </w:rPr>
        <w:t xml:space="preserve">Fig</w:t>
      </w:r>
      <w:r w:rsidDel="00000000" w:rsidR="00000000" w:rsidRPr="00000000">
        <w:rPr>
          <w:rFonts w:ascii="Times New Roman" w:cs="Times New Roman" w:eastAsia="Times New Roman" w:hAnsi="Times New Roman"/>
          <w:b w:val="1"/>
          <w:color w:val="000000"/>
          <w:rtl w:val="0"/>
        </w:rPr>
        <w:t xml:space="preserve">. S1 </w:t>
      </w:r>
      <w:r w:rsidDel="00000000" w:rsidR="00000000" w:rsidRPr="00000000">
        <w:rPr>
          <w:rFonts w:ascii="Times New Roman" w:cs="Times New Roman" w:eastAsia="Times New Roman" w:hAnsi="Times New Roman"/>
          <w:b w:val="1"/>
          <w:color w:val="000000"/>
          <w:rtl w:val="0"/>
        </w:rPr>
        <w:t xml:space="preserve">DNA damage in the shotgun and hybridization capture sequencing data. </w:t>
      </w:r>
      <w:r w:rsidDel="00000000" w:rsidR="00000000" w:rsidRPr="00000000">
        <w:rPr>
          <w:rFonts w:ascii="Times New Roman" w:cs="Times New Roman" w:eastAsia="Times New Roman" w:hAnsi="Times New Roman"/>
          <w:color w:val="000000"/>
          <w:rtl w:val="0"/>
        </w:rPr>
        <w:t xml:space="preserve">M</w:t>
      </w:r>
      <w:r w:rsidDel="00000000" w:rsidR="00000000" w:rsidRPr="00000000">
        <w:rPr>
          <w:rFonts w:ascii="Times New Roman" w:cs="Times New Roman" w:eastAsia="Times New Roman" w:hAnsi="Times New Roman"/>
          <w:color w:val="000000"/>
          <w:rtl w:val="0"/>
        </w:rPr>
        <w:t xml:space="preserve">ean nucleotide deaminations per taxon and estimated median age</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color w:val="000000"/>
          <w:rtl w:val="0"/>
        </w:rPr>
        <w:t xml:space="preserve">were calculated across the last 3bp of the forward and reverse strand. </w:t>
      </w:r>
      <w:r w:rsidDel="00000000" w:rsidR="00000000" w:rsidRPr="00000000">
        <w:rPr>
          <w:rFonts w:ascii="Times New Roman" w:cs="Times New Roman" w:eastAsia="Times New Roman" w:hAnsi="Times New Roman"/>
          <w:b w:val="1"/>
          <w:color w:val="000000"/>
          <w:rtl w:val="0"/>
        </w:rPr>
        <w:t xml:space="preserve">a</w:t>
      </w:r>
      <w:r w:rsidDel="00000000" w:rsidR="00000000" w:rsidRPr="00000000">
        <w:rPr>
          <w:rFonts w:ascii="Times New Roman" w:cs="Times New Roman" w:eastAsia="Times New Roman" w:hAnsi="Times New Roman"/>
          <w:color w:val="000000"/>
          <w:rtl w:val="0"/>
        </w:rPr>
        <w:t xml:space="preserve"> Melville Bay 26G. </w:t>
      </w:r>
      <w:r w:rsidDel="00000000" w:rsidR="00000000" w:rsidRPr="00000000">
        <w:rPr>
          <w:rFonts w:ascii="Times New Roman" w:cs="Times New Roman" w:eastAsia="Times New Roman" w:hAnsi="Times New Roman"/>
          <w:b w:val="1"/>
          <w:color w:val="000000"/>
          <w:rtl w:val="0"/>
        </w:rPr>
        <w:t xml:space="preserve">b </w:t>
      </w:r>
      <w:r w:rsidDel="00000000" w:rsidR="00000000" w:rsidRPr="00000000">
        <w:rPr>
          <w:rFonts w:ascii="Times New Roman" w:cs="Times New Roman" w:eastAsia="Times New Roman" w:hAnsi="Times New Roman"/>
          <w:rtl w:val="0"/>
        </w:rPr>
        <w:t xml:space="preserve">Hall Basin 24PC. </w:t>
      </w:r>
      <w:r w:rsidDel="00000000" w:rsidR="00000000" w:rsidRPr="00000000">
        <w:rPr>
          <w:rFonts w:ascii="Times New Roman" w:cs="Times New Roman" w:eastAsia="Times New Roman" w:hAnsi="Times New Roman"/>
          <w:b w:val="1"/>
          <w:rtl w:val="0"/>
        </w:rPr>
        <w:t xml:space="preserve">c</w:t>
      </w:r>
      <w:r w:rsidDel="00000000" w:rsidR="00000000" w:rsidRPr="00000000">
        <w:rPr>
          <w:rFonts w:ascii="Times New Roman" w:cs="Times New Roman" w:eastAsia="Times New Roman" w:hAnsi="Times New Roman"/>
          <w:rtl w:val="0"/>
        </w:rPr>
        <w:t xml:space="preserve"> Lincoln Sea 12-GC. </w:t>
      </w:r>
      <w:r w:rsidDel="00000000" w:rsidR="00000000" w:rsidRPr="00000000">
        <w:rPr>
          <w:rFonts w:ascii="Times New Roman" w:cs="Times New Roman" w:eastAsia="Times New Roman" w:hAnsi="Times New Roman"/>
          <w:b w:val="1"/>
          <w:rtl w:val="0"/>
        </w:rPr>
        <w:t xml:space="preserve">d </w:t>
      </w:r>
      <w:r w:rsidDel="00000000" w:rsidR="00000000" w:rsidRPr="00000000">
        <w:rPr>
          <w:rFonts w:ascii="Times New Roman" w:cs="Times New Roman" w:eastAsia="Times New Roman" w:hAnsi="Times New Roman"/>
          <w:rtl w:val="0"/>
        </w:rPr>
        <w:t xml:space="preserve">North-East Greenland 73G. </w:t>
      </w:r>
      <w:r w:rsidDel="00000000" w:rsidR="00000000" w:rsidRPr="00000000">
        <w:rPr>
          <w:rFonts w:ascii="Times New Roman" w:cs="Times New Roman" w:eastAsia="Times New Roman" w:hAnsi="Times New Roman"/>
          <w:color w:val="000000"/>
          <w:rtl w:val="0"/>
        </w:rPr>
        <w:t xml:space="preserve">Colors</w:t>
      </w:r>
      <w:r w:rsidDel="00000000" w:rsidR="00000000" w:rsidRPr="00000000">
        <w:rPr>
          <w:rFonts w:ascii="Times New Roman" w:cs="Times New Roman" w:eastAsia="Times New Roman" w:hAnsi="Times New Roman"/>
          <w:color w:val="000000"/>
          <w:rtl w:val="0"/>
        </w:rPr>
        <w:t xml:space="preserve"> indicate the number of unique sequences the nucleotide </w:t>
      </w:r>
      <w:r w:rsidDel="00000000" w:rsidR="00000000" w:rsidRPr="00000000">
        <w:rPr>
          <w:rFonts w:ascii="Times New Roman" w:cs="Times New Roman" w:eastAsia="Times New Roman" w:hAnsi="Times New Roman"/>
          <w:rtl w:val="0"/>
        </w:rPr>
        <w:t xml:space="preserve">deamination</w:t>
      </w:r>
      <w:r w:rsidDel="00000000" w:rsidR="00000000" w:rsidRPr="00000000">
        <w:rPr>
          <w:rFonts w:ascii="Times New Roman" w:cs="Times New Roman" w:eastAsia="Times New Roman" w:hAnsi="Times New Roman"/>
          <w:color w:val="000000"/>
          <w:rtl w:val="0"/>
        </w:rPr>
        <w:t xml:space="preserve"> calculations were based on.</w:t>
      </w:r>
      <w:r w:rsidDel="00000000" w:rsidR="00000000" w:rsidRPr="00000000">
        <w:rPr>
          <w:rtl w:val="0"/>
        </w:rPr>
      </w:r>
    </w:p>
    <w:p w:rsidR="00000000" w:rsidDel="00000000" w:rsidP="00000000" w:rsidRDefault="00000000" w:rsidRPr="00000000" w14:paraId="00000004">
      <w:pPr>
        <w:pStyle w:val="Heading4"/>
        <w:jc w:val="both"/>
        <w:rPr>
          <w:rFonts w:ascii="Times New Roman" w:cs="Times New Roman" w:eastAsia="Times New Roman" w:hAnsi="Times New Roman"/>
          <w:color w:val="000000"/>
          <w:u w:val="single"/>
        </w:rPr>
      </w:pPr>
      <w:bookmarkStart w:colFirst="0" w:colLast="0" w:name="_pvv7msb5s3bc" w:id="0"/>
      <w:bookmarkEnd w:id="0"/>
      <w:r w:rsidDel="00000000" w:rsidR="00000000" w:rsidRPr="00000000">
        <w:rPr>
          <w:rtl w:val="0"/>
        </w:rPr>
      </w:r>
    </w:p>
    <w:p w:rsidR="00000000" w:rsidDel="00000000" w:rsidP="00000000" w:rsidRDefault="00000000" w:rsidRPr="00000000" w14:paraId="00000005">
      <w:pPr>
        <w:pStyle w:val="Heading4"/>
        <w:jc w:val="both"/>
        <w:rPr>
          <w:rFonts w:ascii="Times New Roman" w:cs="Times New Roman" w:eastAsia="Times New Roman" w:hAnsi="Times New Roman"/>
        </w:rPr>
      </w:pPr>
      <w:bookmarkStart w:colFirst="0" w:colLast="0" w:name="_1sdfrcgm1i0w" w:id="1"/>
      <w:bookmarkEnd w:id="1"/>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3948113" cy="6270056"/>
            <wp:effectExtent b="0" l="0" r="0" t="0"/>
            <wp:docPr id="11" name="image10.png"/>
            <a:graphic>
              <a:graphicData uri="http://schemas.openxmlformats.org/drawingml/2006/picture">
                <pic:pic>
                  <pic:nvPicPr>
                    <pic:cNvPr id="0" name="image10.png"/>
                    <pic:cNvPicPr preferRelativeResize="0"/>
                  </pic:nvPicPr>
                  <pic:blipFill>
                    <a:blip r:embed="rId8"/>
                    <a:srcRect b="0" l="0" r="0" t="0"/>
                    <a:stretch>
                      <a:fillRect/>
                    </a:stretch>
                  </pic:blipFill>
                  <pic:spPr>
                    <a:xfrm>
                      <a:off x="0" y="0"/>
                      <a:ext cx="3948113" cy="6270056"/>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 S2 Age-depth model of Lincoln Sea 12-GC (</w:t>
      </w:r>
      <w:r w:rsidDel="00000000" w:rsidR="00000000" w:rsidRPr="00000000">
        <w:rPr>
          <w:rFonts w:ascii="Times New Roman" w:cs="Times New Roman" w:eastAsia="Times New Roman" w:hAnsi="Times New Roman"/>
          <w:b w:val="1"/>
          <w:color w:val="2e2e2e"/>
          <w:sz w:val="24"/>
          <w:szCs w:val="24"/>
          <w:rtl w:val="0"/>
        </w:rPr>
        <w:t xml:space="preserve">Ryder19-12-GC1</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Reproduced from </w:t>
      </w:r>
      <w:r w:rsidDel="00000000" w:rsidR="00000000" w:rsidRPr="00000000">
        <w:rPr>
          <w:rFonts w:ascii="Times New Roman" w:cs="Times New Roman" w:eastAsia="Times New Roman" w:hAnsi="Times New Roman"/>
          <w:sz w:val="24"/>
          <w:szCs w:val="24"/>
          <w:rtl w:val="0"/>
        </w:rPr>
        <w:t xml:space="preserve">Detlef et al. (2023)</w:t>
      </w:r>
      <w:r w:rsidDel="00000000" w:rsidR="00000000" w:rsidRPr="00000000">
        <w:rPr>
          <w:rFonts w:ascii="Times New Roman" w:cs="Times New Roman" w:eastAsia="Times New Roman" w:hAnsi="Times New Roman"/>
          <w:sz w:val="24"/>
          <w:szCs w:val="24"/>
          <w:rtl w:val="0"/>
        </w:rPr>
        <w:t xml:space="preserve"> with permission from the publisher </w:t>
      </w:r>
      <w:r w:rsidDel="00000000" w:rsidR="00000000" w:rsidRPr="00000000">
        <w:rPr>
          <w:rFonts w:ascii="Times New Roman" w:cs="Times New Roman" w:eastAsia="Times New Roman" w:hAnsi="Times New Roman"/>
          <w:sz w:val="24"/>
          <w:szCs w:val="24"/>
          <w:highlight w:val="white"/>
          <w:rtl w:val="0"/>
        </w:rPr>
        <w:t xml:space="preserve">under the Creative Commons Attribution 4.0 International License</w:t>
      </w:r>
      <w:r w:rsidDel="00000000" w:rsidR="00000000" w:rsidRPr="00000000">
        <w:rPr>
          <w:rFonts w:ascii="Times New Roman" w:cs="Times New Roman" w:eastAsia="Times New Roman" w:hAnsi="Times New Roman"/>
          <w:sz w:val="24"/>
          <w:szCs w:val="24"/>
          <w:rtl w:val="0"/>
        </w:rPr>
        <w:t xml:space="preserve"> (creativecommons.org/licenses/by/4.0/).</w:t>
      </w:r>
    </w:p>
    <w:p w:rsidR="00000000" w:rsidDel="00000000" w:rsidP="00000000" w:rsidRDefault="00000000" w:rsidRPr="00000000" w14:paraId="0000000A">
      <w:pPr>
        <w:rPr>
          <w:rFonts w:ascii="Times New Roman" w:cs="Times New Roman" w:eastAsia="Times New Roman" w:hAnsi="Times New Roman"/>
          <w:b w:val="1"/>
        </w:rPr>
      </w:pPr>
      <w:r w:rsidDel="00000000" w:rsidR="00000000" w:rsidRPr="00000000">
        <w:rPr/>
        <w:drawing>
          <wp:inline distB="114300" distT="114300" distL="114300" distR="114300">
            <wp:extent cx="4681136" cy="6502054"/>
            <wp:effectExtent b="0" l="0" r="0" t="0"/>
            <wp:docPr id="14" name="image9.png"/>
            <a:graphic>
              <a:graphicData uri="http://schemas.openxmlformats.org/drawingml/2006/picture">
                <pic:pic>
                  <pic:nvPicPr>
                    <pic:cNvPr id="0" name="image9.png"/>
                    <pic:cNvPicPr preferRelativeResize="0"/>
                  </pic:nvPicPr>
                  <pic:blipFill>
                    <a:blip r:embed="rId9"/>
                    <a:srcRect b="0" l="0" r="0" t="0"/>
                    <a:stretch>
                      <a:fillRect/>
                    </a:stretch>
                  </pic:blipFill>
                  <pic:spPr>
                    <a:xfrm>
                      <a:off x="0" y="0"/>
                      <a:ext cx="4681136" cy="6502054"/>
                    </a:xfrm>
                    <a:prstGeom prst="rect"/>
                    <a:ln/>
                  </pic:spPr>
                </pic:pic>
              </a:graphicData>
            </a:graphic>
          </wp:inline>
        </w:drawing>
      </w:r>
      <w:r w:rsidDel="00000000" w:rsidR="00000000" w:rsidRPr="00000000">
        <w:rPr>
          <w:rtl w:val="0"/>
        </w:rPr>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 S3 Age-depth model of North-East Greenland 73G (</w:t>
      </w:r>
      <w:r w:rsidDel="00000000" w:rsidR="00000000" w:rsidRPr="00000000">
        <w:rPr>
          <w:rFonts w:ascii="Times New Roman" w:cs="Times New Roman" w:eastAsia="Times New Roman" w:hAnsi="Times New Roman"/>
          <w:b w:val="1"/>
          <w:color w:val="2e2e2e"/>
          <w:sz w:val="24"/>
          <w:szCs w:val="24"/>
          <w:rtl w:val="0"/>
        </w:rPr>
        <w:t xml:space="preserve">DA17-NG-ST07-073G</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Reproduced from </w:t>
      </w:r>
      <w:r w:rsidDel="00000000" w:rsidR="00000000" w:rsidRPr="00000000">
        <w:rPr>
          <w:rFonts w:ascii="Times New Roman" w:cs="Times New Roman" w:eastAsia="Times New Roman" w:hAnsi="Times New Roman"/>
          <w:sz w:val="24"/>
          <w:szCs w:val="24"/>
          <w:rtl w:val="0"/>
        </w:rPr>
        <w:t xml:space="preserve">Pados-Dibattista et al. (2022)</w:t>
      </w:r>
      <w:r w:rsidDel="00000000" w:rsidR="00000000" w:rsidRPr="00000000">
        <w:rPr>
          <w:rFonts w:ascii="Times New Roman" w:cs="Times New Roman" w:eastAsia="Times New Roman" w:hAnsi="Times New Roman"/>
          <w:sz w:val="24"/>
          <w:szCs w:val="24"/>
          <w:rtl w:val="0"/>
        </w:rPr>
        <w:t xml:space="preserve"> with permission from the publisher </w:t>
      </w:r>
      <w:r w:rsidDel="00000000" w:rsidR="00000000" w:rsidRPr="00000000">
        <w:rPr>
          <w:rFonts w:ascii="Times New Roman" w:cs="Times New Roman" w:eastAsia="Times New Roman" w:hAnsi="Times New Roman"/>
          <w:sz w:val="24"/>
          <w:szCs w:val="24"/>
          <w:highlight w:val="white"/>
          <w:rtl w:val="0"/>
        </w:rPr>
        <w:t xml:space="preserve">under the Creative Commons Attribution 4.0 International License</w:t>
      </w:r>
      <w:r w:rsidDel="00000000" w:rsidR="00000000" w:rsidRPr="00000000">
        <w:rPr>
          <w:rFonts w:ascii="Times New Roman" w:cs="Times New Roman" w:eastAsia="Times New Roman" w:hAnsi="Times New Roman"/>
          <w:sz w:val="24"/>
          <w:szCs w:val="24"/>
          <w:rtl w:val="0"/>
        </w:rPr>
        <w:t xml:space="preserve"> (</w:t>
      </w:r>
      <w:hyperlink r:id="rId10">
        <w:r w:rsidDel="00000000" w:rsidR="00000000" w:rsidRPr="00000000">
          <w:rPr>
            <w:rFonts w:ascii="Times New Roman" w:cs="Times New Roman" w:eastAsia="Times New Roman" w:hAnsi="Times New Roman"/>
            <w:color w:val="1155cc"/>
            <w:sz w:val="24"/>
            <w:szCs w:val="24"/>
            <w:u w:val="single"/>
            <w:rtl w:val="0"/>
          </w:rPr>
          <w:t xml:space="preserve">creativecommons.org/licenses/by/4.0/</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C">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w:drawing>
          <wp:inline distB="114300" distT="114300" distL="114300" distR="114300">
            <wp:extent cx="5731200" cy="4203700"/>
            <wp:effectExtent b="0" l="0" r="0" t="0"/>
            <wp:docPr id="5" name="image8.png"/>
            <a:graphic>
              <a:graphicData uri="http://schemas.openxmlformats.org/drawingml/2006/picture">
                <pic:pic>
                  <pic:nvPicPr>
                    <pic:cNvPr id="0" name="image8.png"/>
                    <pic:cNvPicPr preferRelativeResize="0"/>
                  </pic:nvPicPr>
                  <pic:blipFill>
                    <a:blip r:embed="rId11"/>
                    <a:srcRect b="0" l="0" r="0" t="0"/>
                    <a:stretch>
                      <a:fillRect/>
                    </a:stretch>
                  </pic:blipFill>
                  <pic:spPr>
                    <a:xfrm>
                      <a:off x="0" y="0"/>
                      <a:ext cx="5731200" cy="4203700"/>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rPr/>
      </w:pPr>
      <w:r w:rsidDel="00000000" w:rsidR="00000000" w:rsidRPr="00000000">
        <w:rPr>
          <w:rFonts w:ascii="Times New Roman" w:cs="Times New Roman" w:eastAsia="Times New Roman" w:hAnsi="Times New Roman"/>
          <w:b w:val="1"/>
          <w:rtl w:val="0"/>
        </w:rPr>
        <w:t xml:space="preserve">Fig. S4 </w:t>
      </w:r>
      <w:r w:rsidDel="00000000" w:rsidR="00000000" w:rsidRPr="00000000">
        <w:rPr>
          <w:rFonts w:ascii="Times New Roman" w:cs="Times New Roman" w:eastAsia="Times New Roman" w:hAnsi="Times New Roman"/>
          <w:b w:val="1"/>
          <w:rtl w:val="0"/>
        </w:rPr>
        <w:t xml:space="preserve">Chronology </w:t>
      </w:r>
      <w:r w:rsidDel="00000000" w:rsidR="00000000" w:rsidRPr="00000000">
        <w:rPr>
          <w:rFonts w:ascii="Times New Roman" w:cs="Times New Roman" w:eastAsia="Times New Roman" w:hAnsi="Times New Roman"/>
          <w:b w:val="1"/>
          <w:rtl w:val="0"/>
        </w:rPr>
        <w:t xml:space="preserve">of Melville Bay 26G (LK21-IC-st26-GC1). a</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rtl w:val="0"/>
        </w:rPr>
        <w:t xml:space="preserve">X-ray and high resolution optical line scan images. </w:t>
      </w:r>
      <w:r w:rsidDel="00000000" w:rsidR="00000000" w:rsidRPr="00000000">
        <w:rPr>
          <w:rFonts w:ascii="Times New Roman" w:cs="Times New Roman" w:eastAsia="Times New Roman" w:hAnsi="Times New Roman"/>
          <w:b w:val="1"/>
          <w:rtl w:val="0"/>
        </w:rPr>
        <w:t xml:space="preserve">b</w:t>
      </w:r>
      <w:r w:rsidDel="00000000" w:rsidR="00000000" w:rsidRPr="00000000">
        <w:rPr>
          <w:rFonts w:ascii="Times New Roman" w:cs="Times New Roman" w:eastAsia="Times New Roman" w:hAnsi="Times New Roman"/>
          <w:rtl w:val="0"/>
        </w:rPr>
        <w:t xml:space="preserve"> Magnetic susceptibility (</w:t>
      </w:r>
      <w:r w:rsidDel="00000000" w:rsidR="00000000" w:rsidRPr="00000000">
        <w:rPr>
          <w:rFonts w:ascii="Times New Roman" w:cs="Times New Roman" w:eastAsia="Times New Roman" w:hAnsi="Times New Roman"/>
          <w:rtl w:val="0"/>
        </w:rPr>
        <w:t xml:space="preserve">MagSus</w:t>
      </w:r>
      <w:r w:rsidDel="00000000" w:rsidR="00000000" w:rsidRPr="00000000">
        <w:rPr>
          <w:rFonts w:ascii="Times New Roman" w:cs="Times New Roman" w:eastAsia="Times New Roman" w:hAnsi="Times New Roman"/>
          <w:rtl w:val="0"/>
        </w:rPr>
        <w:t xml:space="preserve">, x10-6 SI) and sedimentation rate (cm yr</w:t>
      </w:r>
      <w:r w:rsidDel="00000000" w:rsidR="00000000" w:rsidRPr="00000000">
        <w:rPr>
          <w:rFonts w:ascii="Times New Roman" w:cs="Times New Roman" w:eastAsia="Times New Roman" w:hAnsi="Times New Roman"/>
          <w:vertAlign w:val="superscript"/>
          <w:rtl w:val="0"/>
        </w:rPr>
        <w:t xml:space="preserve">-1</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c</w:t>
      </w:r>
      <w:r w:rsidDel="00000000" w:rsidR="00000000" w:rsidRPr="00000000">
        <w:rPr>
          <w:rFonts w:ascii="Times New Roman" w:cs="Times New Roman" w:eastAsia="Times New Roman" w:hAnsi="Times New Roman"/>
          <w:rtl w:val="0"/>
        </w:rPr>
        <w:t xml:space="preserve"> The age-depth model with green dots displaying </w:t>
      </w:r>
      <w:r w:rsidDel="00000000" w:rsidR="00000000" w:rsidRPr="00000000">
        <w:rPr>
          <w:rFonts w:ascii="Times New Roman" w:cs="Times New Roman" w:eastAsia="Times New Roman" w:hAnsi="Times New Roman"/>
          <w:vertAlign w:val="superscript"/>
          <w:rtl w:val="0"/>
        </w:rPr>
        <w:t xml:space="preserve">14</w:t>
      </w:r>
      <w:r w:rsidDel="00000000" w:rsidR="00000000" w:rsidRPr="00000000">
        <w:rPr>
          <w:rFonts w:ascii="Times New Roman" w:cs="Times New Roman" w:eastAsia="Times New Roman" w:hAnsi="Times New Roman"/>
          <w:rtl w:val="0"/>
        </w:rPr>
        <w:t xml:space="preserve">C dates of three mixed planktonic foraminifera samples, blue dots displaying </w:t>
      </w:r>
      <w:r w:rsidDel="00000000" w:rsidR="00000000" w:rsidRPr="00000000">
        <w:rPr>
          <w:rFonts w:ascii="Times New Roman" w:cs="Times New Roman" w:eastAsia="Times New Roman" w:hAnsi="Times New Roman"/>
          <w:vertAlign w:val="superscript"/>
          <w:rtl w:val="0"/>
        </w:rPr>
        <w:t xml:space="preserve">14</w:t>
      </w:r>
      <w:r w:rsidDel="00000000" w:rsidR="00000000" w:rsidRPr="00000000">
        <w:rPr>
          <w:rFonts w:ascii="Times New Roman" w:cs="Times New Roman" w:eastAsia="Times New Roman" w:hAnsi="Times New Roman"/>
          <w:rtl w:val="0"/>
        </w:rPr>
        <w:t xml:space="preserve">C dates of three mixed benthic foraminifera samples, and the </w:t>
      </w:r>
      <w:r w:rsidDel="00000000" w:rsidR="00000000" w:rsidRPr="00000000">
        <w:rPr>
          <w:rFonts w:ascii="Times New Roman" w:cs="Times New Roman" w:eastAsia="Times New Roman" w:hAnsi="Times New Roman"/>
          <w:rtl w:val="0"/>
        </w:rPr>
        <w:t xml:space="preserve">gray envelope</w:t>
      </w:r>
      <w:r w:rsidDel="00000000" w:rsidR="00000000" w:rsidRPr="00000000">
        <w:rPr>
          <w:rFonts w:ascii="Times New Roman" w:cs="Times New Roman" w:eastAsia="Times New Roman" w:hAnsi="Times New Roman"/>
          <w:rtl w:val="0"/>
        </w:rPr>
        <w:t xml:space="preserve"> displaying the age-depth </w:t>
      </w:r>
      <w:r w:rsidDel="00000000" w:rsidR="00000000" w:rsidRPr="00000000">
        <w:rPr>
          <w:rFonts w:ascii="Times New Roman" w:cs="Times New Roman" w:eastAsia="Times New Roman" w:hAnsi="Times New Roman"/>
          <w:rtl w:val="0"/>
        </w:rPr>
        <w:t xml:space="preserve">uncertainty range for the derived age model</w:t>
      </w:r>
      <w:r w:rsidDel="00000000" w:rsidR="00000000" w:rsidRPr="00000000">
        <w:rPr>
          <w:rFonts w:ascii="Times New Roman" w:cs="Times New Roman" w:eastAsia="Times New Roman" w:hAnsi="Times New Roman"/>
          <w:rtl w:val="0"/>
        </w:rPr>
        <w:t xml:space="preserve">. T</w:t>
      </w:r>
      <w:r w:rsidDel="00000000" w:rsidR="00000000" w:rsidRPr="00000000">
        <w:rPr>
          <w:rFonts w:ascii="Times New Roman" w:cs="Times New Roman" w:eastAsia="Times New Roman" w:hAnsi="Times New Roman"/>
          <w:rtl w:val="0"/>
        </w:rPr>
        <w:t xml:space="preserve">he yellow star indicates an age constraint (as discussed in the Methods section). </w:t>
      </w: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rPr/>
      </w:pPr>
      <w:r w:rsidDel="00000000" w:rsidR="00000000" w:rsidRPr="00000000">
        <w:rPr/>
        <w:drawing>
          <wp:inline distB="114300" distT="114300" distL="114300" distR="114300">
            <wp:extent cx="5731200" cy="4267200"/>
            <wp:effectExtent b="0" l="0" r="0" t="0"/>
            <wp:docPr id="8" name="image15.jpg"/>
            <a:graphic>
              <a:graphicData uri="http://schemas.openxmlformats.org/drawingml/2006/picture">
                <pic:pic>
                  <pic:nvPicPr>
                    <pic:cNvPr id="0" name="image15.jpg"/>
                    <pic:cNvPicPr preferRelativeResize="0"/>
                  </pic:nvPicPr>
                  <pic:blipFill>
                    <a:blip r:embed="rId12"/>
                    <a:srcRect b="0" l="0" r="0" t="0"/>
                    <a:stretch>
                      <a:fillRect/>
                    </a:stretch>
                  </pic:blipFill>
                  <pic:spPr>
                    <a:xfrm>
                      <a:off x="0" y="0"/>
                      <a:ext cx="5731200" cy="4267200"/>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 S5 Age-depth derivation of Hall Basin 24PC (</w:t>
      </w:r>
      <w:r w:rsidDel="00000000" w:rsidR="00000000" w:rsidRPr="00000000">
        <w:rPr>
          <w:rFonts w:ascii="Times New Roman" w:cs="Times New Roman" w:eastAsia="Times New Roman" w:hAnsi="Times New Roman"/>
          <w:b w:val="1"/>
          <w:color w:val="2e2e2e"/>
          <w:sz w:val="24"/>
          <w:szCs w:val="24"/>
          <w:rtl w:val="0"/>
        </w:rPr>
        <w:t xml:space="preserve">Ryder19-24-PC1</w:t>
      </w:r>
      <w:r w:rsidDel="00000000" w:rsidR="00000000" w:rsidRPr="00000000">
        <w:rPr>
          <w:rFonts w:ascii="Times New Roman" w:cs="Times New Roman" w:eastAsia="Times New Roman" w:hAnsi="Times New Roman"/>
          <w:b w:val="1"/>
          <w:sz w:val="24"/>
          <w:szCs w:val="24"/>
          <w:rtl w:val="0"/>
        </w:rPr>
        <w:t xml:space="preserve">). 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212121"/>
          <w:sz w:val="24"/>
          <w:szCs w:val="24"/>
          <w:highlight w:val="white"/>
          <w:rtl w:val="0"/>
        </w:rPr>
        <w:t xml:space="preserve">Bulk Density, Magnetic Susceptibility and XRF-scanning data of sediment core Ryder19-24PC. </w:t>
      </w:r>
      <w:r w:rsidDel="00000000" w:rsidR="00000000" w:rsidRPr="00000000">
        <w:rPr>
          <w:rFonts w:ascii="Times New Roman" w:cs="Times New Roman" w:eastAsia="Times New Roman" w:hAnsi="Times New Roman"/>
          <w:b w:val="1"/>
          <w:color w:val="212121"/>
          <w:sz w:val="24"/>
          <w:szCs w:val="24"/>
          <w:highlight w:val="white"/>
          <w:rtl w:val="0"/>
        </w:rPr>
        <w:t xml:space="preserve">b</w:t>
      </w:r>
      <w:r w:rsidDel="00000000" w:rsidR="00000000" w:rsidRPr="00000000">
        <w:rPr>
          <w:rFonts w:ascii="Times New Roman" w:cs="Times New Roman" w:eastAsia="Times New Roman" w:hAnsi="Times New Roman"/>
          <w:color w:val="212121"/>
          <w:sz w:val="24"/>
          <w:szCs w:val="24"/>
          <w:highlight w:val="white"/>
          <w:rtl w:val="0"/>
        </w:rPr>
        <w:t xml:space="preserve"> Bulk Density, Magnetic Susceptibility and XRF-scanning data of sediment core OD1507-18GC </w:t>
      </w:r>
      <w:hyperlink r:id="rId13">
        <w:r w:rsidDel="00000000" w:rsidR="00000000" w:rsidRPr="00000000">
          <w:rPr>
            <w:rFonts w:ascii="Times New Roman" w:cs="Times New Roman" w:eastAsia="Times New Roman" w:hAnsi="Times New Roman"/>
            <w:sz w:val="24"/>
            <w:szCs w:val="24"/>
            <w:u w:val="none"/>
            <w:rtl w:val="0"/>
          </w:rPr>
          <w:t xml:space="preserve">(collected at the same station as</w:t>
        </w:r>
      </w:hyperlink>
      <w:hyperlink r:id="rId14">
        <w:r w:rsidDel="00000000" w:rsidR="00000000" w:rsidRPr="00000000">
          <w:rPr>
            <w:rFonts w:ascii="Times New Roman" w:cs="Times New Roman" w:eastAsia="Times New Roman" w:hAnsi="Times New Roman"/>
            <w:color w:val="cc2936"/>
            <w:sz w:val="24"/>
            <w:szCs w:val="24"/>
            <w:u w:val="none"/>
            <w:rtl w:val="0"/>
          </w:rPr>
          <w:t xml:space="preserve"> </w:t>
        </w:r>
      </w:hyperlink>
      <w:r w:rsidDel="00000000" w:rsidR="00000000" w:rsidRPr="00000000">
        <w:rPr>
          <w:rFonts w:ascii="Times New Roman" w:cs="Times New Roman" w:eastAsia="Times New Roman" w:hAnsi="Times New Roman"/>
          <w:color w:val="212121"/>
          <w:sz w:val="24"/>
          <w:szCs w:val="24"/>
          <w:highlight w:val="white"/>
          <w:rtl w:val="0"/>
        </w:rPr>
        <w:t xml:space="preserve">Ryder19-24PC; </w:t>
      </w:r>
      <w:r w:rsidDel="00000000" w:rsidR="00000000" w:rsidRPr="00000000">
        <w:rPr>
          <w:rFonts w:ascii="Times New Roman" w:cs="Times New Roman" w:eastAsia="Times New Roman" w:hAnsi="Times New Roman"/>
          <w:sz w:val="24"/>
          <w:szCs w:val="24"/>
          <w:shd w:fill="auto" w:val="clear"/>
          <w:vertAlign w:val="baseline"/>
          <w:rtl w:val="0"/>
        </w:rPr>
        <w:t xml:space="preserve">Jennings et al., 2022)</w:t>
      </w:r>
      <w:r w:rsidDel="00000000" w:rsidR="00000000" w:rsidRPr="00000000">
        <w:rPr>
          <w:rFonts w:ascii="Times New Roman" w:cs="Times New Roman" w:eastAsia="Times New Roman" w:hAnsi="Times New Roman"/>
          <w:color w:val="212121"/>
          <w:sz w:val="24"/>
          <w:szCs w:val="24"/>
          <w:highlight w:val="white"/>
          <w:rtl w:val="0"/>
        </w:rPr>
        <w:t xml:space="preserve">. </w:t>
      </w:r>
      <w:r w:rsidDel="00000000" w:rsidR="00000000" w:rsidRPr="00000000">
        <w:rPr>
          <w:rFonts w:ascii="Times New Roman" w:cs="Times New Roman" w:eastAsia="Times New Roman" w:hAnsi="Times New Roman"/>
          <w:b w:val="1"/>
          <w:color w:val="212121"/>
          <w:sz w:val="24"/>
          <w:szCs w:val="24"/>
          <w:highlight w:val="white"/>
          <w:rtl w:val="0"/>
        </w:rPr>
        <w:t xml:space="preserve">c</w:t>
      </w:r>
      <w:r w:rsidDel="00000000" w:rsidR="00000000" w:rsidRPr="00000000">
        <w:rPr>
          <w:rFonts w:ascii="Times New Roman" w:cs="Times New Roman" w:eastAsia="Times New Roman" w:hAnsi="Times New Roman"/>
          <w:color w:val="212121"/>
          <w:sz w:val="24"/>
          <w:szCs w:val="24"/>
          <w:highlight w:val="white"/>
          <w:rtl w:val="0"/>
        </w:rPr>
        <w:t xml:space="preserve"> The common age-depth scale based on correlating the XRF-scanning data of the two sediment cores </w:t>
      </w:r>
      <w:r w:rsidDel="00000000" w:rsidR="00000000" w:rsidRPr="00000000">
        <w:rPr>
          <w:rFonts w:ascii="Times New Roman" w:cs="Times New Roman" w:eastAsia="Times New Roman" w:hAnsi="Times New Roman"/>
          <w:sz w:val="24"/>
          <w:szCs w:val="24"/>
          <w:rtl w:val="0"/>
        </w:rPr>
        <w:t xml:space="preserve">(as discussed in the Materials and methods section)</w:t>
      </w:r>
      <w:r w:rsidDel="00000000" w:rsidR="00000000" w:rsidRPr="00000000">
        <w:rPr>
          <w:rFonts w:ascii="Times New Roman" w:cs="Times New Roman" w:eastAsia="Times New Roman" w:hAnsi="Times New Roman"/>
          <w:color w:val="212121"/>
          <w:sz w:val="24"/>
          <w:szCs w:val="24"/>
          <w:highlight w:val="white"/>
          <w:rtl w:val="0"/>
        </w:rPr>
        <w:t xml:space="preserve">. </w:t>
      </w:r>
      <w:r w:rsidDel="00000000" w:rsidR="00000000" w:rsidRPr="00000000">
        <w:rPr>
          <w:rtl w:val="0"/>
        </w:rPr>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734050" cy="7799733"/>
            <wp:effectExtent b="0" l="0" r="0" t="0"/>
            <wp:docPr id="9" name="image2.png"/>
            <a:graphic>
              <a:graphicData uri="http://schemas.openxmlformats.org/drawingml/2006/picture">
                <pic:pic>
                  <pic:nvPicPr>
                    <pic:cNvPr id="0" name="image2.png"/>
                    <pic:cNvPicPr preferRelativeResize="0"/>
                  </pic:nvPicPr>
                  <pic:blipFill>
                    <a:blip r:embed="rId15"/>
                    <a:srcRect b="0" l="0" r="0" t="4782"/>
                    <a:stretch>
                      <a:fillRect/>
                    </a:stretch>
                  </pic:blipFill>
                  <pic:spPr>
                    <a:xfrm>
                      <a:off x="0" y="0"/>
                      <a:ext cx="5734050" cy="7799733"/>
                    </a:xfrm>
                    <a:prstGeom prst="rect"/>
                    <a:ln/>
                  </pic:spPr>
                </pic:pic>
              </a:graphicData>
            </a:graphic>
          </wp:inline>
        </w:drawing>
      </w:r>
      <w:r w:rsidDel="00000000" w:rsidR="00000000" w:rsidRPr="00000000">
        <w:rPr>
          <w:rFonts w:ascii="Times New Roman" w:cs="Times New Roman" w:eastAsia="Times New Roman" w:hAnsi="Times New Roman"/>
          <w:b w:val="1"/>
          <w:sz w:val="24"/>
          <w:szCs w:val="24"/>
          <w:rtl w:val="0"/>
        </w:rPr>
        <w:t xml:space="preserve">Fig. S6 Age-depth model of Hall Basin 24PC (</w:t>
      </w:r>
      <w:r w:rsidDel="00000000" w:rsidR="00000000" w:rsidRPr="00000000">
        <w:rPr>
          <w:rFonts w:ascii="Times New Roman" w:cs="Times New Roman" w:eastAsia="Times New Roman" w:hAnsi="Times New Roman"/>
          <w:b w:val="1"/>
          <w:color w:val="2e2e2e"/>
          <w:sz w:val="24"/>
          <w:szCs w:val="24"/>
          <w:rtl w:val="0"/>
        </w:rPr>
        <w:t xml:space="preserve">Ryder19-24-PC1</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color w:val="212121"/>
          <w:sz w:val="24"/>
          <w:szCs w:val="24"/>
          <w:highlight w:val="white"/>
          <w:rtl w:val="0"/>
        </w:rPr>
        <w:t xml:space="preserve">The age-depth model is based on a derivation of radiocarbon dates from the marine sediment core OD1507-18GC </w:t>
      </w:r>
      <w:r w:rsidDel="00000000" w:rsidR="00000000" w:rsidRPr="00000000">
        <w:rPr>
          <w:rFonts w:ascii="Times New Roman" w:cs="Times New Roman" w:eastAsia="Times New Roman" w:hAnsi="Times New Roman"/>
          <w:sz w:val="24"/>
          <w:szCs w:val="24"/>
          <w:shd w:fill="auto" w:val="clear"/>
          <w:vertAlign w:val="baseline"/>
          <w:rtl w:val="0"/>
        </w:rPr>
        <w:t xml:space="preserve">(Fig</w:t>
      </w:r>
      <w:r w:rsidDel="00000000" w:rsidR="00000000" w:rsidRPr="00000000">
        <w:rPr>
          <w:rFonts w:ascii="Times New Roman" w:cs="Times New Roman" w:eastAsia="Times New Roman" w:hAnsi="Times New Roman"/>
          <w:sz w:val="24"/>
          <w:szCs w:val="24"/>
          <w:rtl w:val="0"/>
        </w:rPr>
        <w:t xml:space="preserve">. S5; </w:t>
      </w:r>
      <w:r w:rsidDel="00000000" w:rsidR="00000000" w:rsidRPr="00000000">
        <w:rPr>
          <w:rFonts w:ascii="Times New Roman" w:cs="Times New Roman" w:eastAsia="Times New Roman" w:hAnsi="Times New Roman"/>
          <w:sz w:val="24"/>
          <w:szCs w:val="24"/>
          <w:shd w:fill="auto" w:val="clear"/>
          <w:vertAlign w:val="baseline"/>
          <w:rtl w:val="0"/>
        </w:rPr>
        <w:t xml:space="preserve">Jennings et al., 2022)</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731200" cy="6388100"/>
            <wp:effectExtent b="0" l="0" r="0" t="0"/>
            <wp:docPr id="2" name="image4.png"/>
            <a:graphic>
              <a:graphicData uri="http://schemas.openxmlformats.org/drawingml/2006/picture">
                <pic:pic>
                  <pic:nvPicPr>
                    <pic:cNvPr id="0" name="image4.png"/>
                    <pic:cNvPicPr preferRelativeResize="0"/>
                  </pic:nvPicPr>
                  <pic:blipFill>
                    <a:blip r:embed="rId16"/>
                    <a:srcRect b="0" l="0" r="0" t="0"/>
                    <a:stretch>
                      <a:fillRect/>
                    </a:stretch>
                  </pic:blipFill>
                  <pic:spPr>
                    <a:xfrm>
                      <a:off x="0" y="0"/>
                      <a:ext cx="5731200" cy="6388100"/>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 S7 Paleoceanographic reconstruction and DNA detections for Melville Bay 26G. a</w:t>
      </w:r>
      <w:r w:rsidDel="00000000" w:rsidR="00000000" w:rsidRPr="00000000">
        <w:rPr>
          <w:rFonts w:ascii="Times New Roman" w:cs="Times New Roman" w:eastAsia="Times New Roman" w:hAnsi="Times New Roman"/>
          <w:sz w:val="24"/>
          <w:szCs w:val="24"/>
          <w:rtl w:val="0"/>
        </w:rPr>
        <w:t xml:space="preserve"> Sea-ice biomarker IP</w:t>
      </w:r>
      <w:r w:rsidDel="00000000" w:rsidR="00000000" w:rsidRPr="00000000">
        <w:rPr>
          <w:rFonts w:ascii="Times New Roman" w:cs="Times New Roman" w:eastAsia="Times New Roman" w:hAnsi="Times New Roman"/>
          <w:sz w:val="24"/>
          <w:szCs w:val="24"/>
          <w:vertAlign w:val="subscript"/>
          <w:rtl w:val="0"/>
        </w:rPr>
        <w:t xml:space="preserve">25</w:t>
      </w:r>
      <w:r w:rsidDel="00000000" w:rsidR="00000000" w:rsidRPr="00000000">
        <w:rPr>
          <w:rFonts w:ascii="Times New Roman" w:cs="Times New Roman" w:eastAsia="Times New Roman" w:hAnsi="Times New Roman"/>
          <w:sz w:val="24"/>
          <w:szCs w:val="24"/>
          <w:rtl w:val="0"/>
        </w:rPr>
        <w:t xml:space="preserve"> indicates the intensity of sea ice algae productivity </w:t>
      </w:r>
      <w:r w:rsidDel="00000000" w:rsidR="00000000" w:rsidRPr="00000000">
        <w:rPr>
          <w:rFonts w:ascii="Times New Roman" w:cs="Times New Roman" w:eastAsia="Times New Roman" w:hAnsi="Times New Roman"/>
          <w:sz w:val="24"/>
          <w:szCs w:val="24"/>
          <w:shd w:fill="auto" w:val="clear"/>
          <w:vertAlign w:val="baseline"/>
          <w:rtl w:val="0"/>
        </w:rPr>
        <w:t xml:space="preserve">(</w:t>
      </w:r>
      <w:r w:rsidDel="00000000" w:rsidR="00000000" w:rsidRPr="00000000">
        <w:rPr>
          <w:rFonts w:ascii="Times New Roman" w:cs="Times New Roman" w:eastAsia="Times New Roman" w:hAnsi="Times New Roman"/>
          <w:sz w:val="24"/>
          <w:szCs w:val="24"/>
          <w:rtl w:val="0"/>
        </w:rPr>
        <w:t xml:space="preserve">GeoB19927-3; </w:t>
      </w:r>
      <w:r w:rsidDel="00000000" w:rsidR="00000000" w:rsidRPr="00000000">
        <w:rPr>
          <w:rFonts w:ascii="Times New Roman" w:cs="Times New Roman" w:eastAsia="Times New Roman" w:hAnsi="Times New Roman"/>
          <w:sz w:val="24"/>
          <w:szCs w:val="24"/>
          <w:shd w:fill="auto" w:val="clear"/>
          <w:vertAlign w:val="baseline"/>
          <w:rtl w:val="0"/>
        </w:rPr>
        <w:t xml:space="preserve">Saini et al., 2020)</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b</w:t>
      </w:r>
      <w:r w:rsidDel="00000000" w:rsidR="00000000" w:rsidRPr="00000000">
        <w:rPr>
          <w:rFonts w:ascii="Times New Roman" w:cs="Times New Roman" w:eastAsia="Times New Roman" w:hAnsi="Times New Roman"/>
          <w:sz w:val="24"/>
          <w:szCs w:val="24"/>
          <w:rtl w:val="0"/>
        </w:rPr>
        <w:t xml:space="preserve"> Brassicasterol and dinosterol indicate primary productivity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tl w:val="0"/>
        </w:rPr>
        <w:t xml:space="preserve">GeoB19927-3; </w:t>
      </w:r>
      <w:r w:rsidDel="00000000" w:rsidR="00000000" w:rsidRPr="00000000">
        <w:rPr>
          <w:rFonts w:ascii="Times New Roman" w:cs="Times New Roman" w:eastAsia="Times New Roman" w:hAnsi="Times New Roman"/>
          <w:sz w:val="24"/>
          <w:szCs w:val="24"/>
          <w:rtl w:val="0"/>
        </w:rPr>
        <w:t xml:space="preserve">Saini et al., 2020)</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c</w:t>
      </w:r>
      <w:r w:rsidDel="00000000" w:rsidR="00000000" w:rsidRPr="00000000">
        <w:rPr>
          <w:rFonts w:ascii="Times New Roman" w:cs="Times New Roman" w:eastAsia="Times New Roman" w:hAnsi="Times New Roman"/>
          <w:sz w:val="24"/>
          <w:szCs w:val="24"/>
          <w:rtl w:val="0"/>
        </w:rPr>
        <w:t xml:space="preserve"> high numbers of benthic foraminifera with preferred habitat of Atlantic-sourced waters indicate the influence of chilled Atlantic water, points representing counts per gram sediment (this study). </w:t>
      </w:r>
      <w:r w:rsidDel="00000000" w:rsidR="00000000" w:rsidRPr="00000000">
        <w:rPr>
          <w:rFonts w:ascii="Times New Roman" w:cs="Times New Roman" w:eastAsia="Times New Roman" w:hAnsi="Times New Roman"/>
          <w:b w:val="1"/>
          <w:sz w:val="24"/>
          <w:szCs w:val="24"/>
          <w:rtl w:val="0"/>
        </w:rPr>
        <w:t xml:space="preserve">d </w:t>
      </w:r>
      <w:r w:rsidDel="00000000" w:rsidR="00000000" w:rsidRPr="00000000">
        <w:rPr>
          <w:rFonts w:ascii="Times New Roman" w:cs="Times New Roman" w:eastAsia="Times New Roman" w:hAnsi="Times New Roman"/>
          <w:sz w:val="24"/>
          <w:szCs w:val="24"/>
          <w:rtl w:val="0"/>
        </w:rPr>
        <w:t xml:space="preserve">Eukaryote detections through </w:t>
      </w:r>
      <w:r w:rsidDel="00000000" w:rsidR="00000000" w:rsidRPr="00000000">
        <w:rPr>
          <w:rFonts w:ascii="Times New Roman" w:cs="Times New Roman" w:eastAsia="Times New Roman" w:hAnsi="Times New Roman"/>
          <w:sz w:val="24"/>
          <w:szCs w:val="24"/>
          <w:rtl w:val="0"/>
        </w:rPr>
        <w:t xml:space="preserve">shotgun</w:t>
      </w:r>
      <w:r w:rsidDel="00000000" w:rsidR="00000000" w:rsidRPr="00000000">
        <w:rPr>
          <w:rFonts w:ascii="Times New Roman" w:cs="Times New Roman" w:eastAsia="Times New Roman" w:hAnsi="Times New Roman"/>
          <w:sz w:val="24"/>
          <w:szCs w:val="24"/>
          <w:rtl w:val="0"/>
        </w:rPr>
        <w:t xml:space="preserve"> sequencing. The triangles on the x-axis show estimated median ages of each DNA sample with lines indicating minimum and maximum ages. Samples with estimated median ages &gt;11.6 ka BP likely represent a short time period at or just prior to the deglaciation of Melville Bay (estimated 11.6 ± 0.3 ka BP; </w:t>
      </w:r>
      <w:r w:rsidDel="00000000" w:rsidR="00000000" w:rsidRPr="00000000">
        <w:rPr>
          <w:rFonts w:ascii="Times New Roman" w:cs="Times New Roman" w:eastAsia="Times New Roman" w:hAnsi="Times New Roman"/>
          <w:sz w:val="24"/>
          <w:szCs w:val="24"/>
          <w:shd w:fill="auto" w:val="clear"/>
          <w:vertAlign w:val="baseline"/>
          <w:rtl w:val="0"/>
        </w:rPr>
        <w:t xml:space="preserve">Søndergaard et al., 2020)</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Pr>
        <w:drawing>
          <wp:inline distB="114300" distT="114300" distL="114300" distR="114300">
            <wp:extent cx="5731200" cy="6362700"/>
            <wp:effectExtent b="0" l="0" r="0" t="0"/>
            <wp:docPr id="13" name="image7.png"/>
            <a:graphic>
              <a:graphicData uri="http://schemas.openxmlformats.org/drawingml/2006/picture">
                <pic:pic>
                  <pic:nvPicPr>
                    <pic:cNvPr id="0" name="image7.png"/>
                    <pic:cNvPicPr preferRelativeResize="0"/>
                  </pic:nvPicPr>
                  <pic:blipFill>
                    <a:blip r:embed="rId17"/>
                    <a:srcRect b="0" l="0" r="0" t="0"/>
                    <a:stretch>
                      <a:fillRect/>
                    </a:stretch>
                  </pic:blipFill>
                  <pic:spPr>
                    <a:xfrm>
                      <a:off x="0" y="0"/>
                      <a:ext cx="5731200" cy="6362700"/>
                    </a:xfrm>
                    <a:prstGeom prst="rect"/>
                    <a:ln/>
                  </pic:spPr>
                </pic:pic>
              </a:graphicData>
            </a:graphic>
          </wp:inline>
        </w:drawing>
      </w:r>
      <w:r w:rsidDel="00000000" w:rsidR="00000000" w:rsidRPr="00000000">
        <w:rPr>
          <w:rFonts w:ascii="Times New Roman" w:cs="Times New Roman" w:eastAsia="Times New Roman" w:hAnsi="Times New Roman"/>
          <w:b w:val="1"/>
          <w:sz w:val="24"/>
          <w:szCs w:val="24"/>
          <w:rtl w:val="0"/>
        </w:rPr>
        <w:t xml:space="preserve">Fig. S8 Paleoceanographic reconstruction and DNA detections for </w:t>
      </w:r>
      <w:r w:rsidDel="00000000" w:rsidR="00000000" w:rsidRPr="00000000">
        <w:rPr>
          <w:rFonts w:ascii="Times New Roman" w:cs="Times New Roman" w:eastAsia="Times New Roman" w:hAnsi="Times New Roman"/>
          <w:b w:val="1"/>
          <w:rtl w:val="0"/>
        </w:rPr>
        <w:t xml:space="preserve">Hall Basin 24PC  &amp; Lincoln Sea 12-GC</w:t>
      </w:r>
      <w:r w:rsidDel="00000000" w:rsidR="00000000" w:rsidRPr="00000000">
        <w:rPr>
          <w:rFonts w:ascii="Times New Roman" w:cs="Times New Roman" w:eastAsia="Times New Roman" w:hAnsi="Times New Roman"/>
          <w:b w:val="1"/>
          <w:sz w:val="24"/>
          <w:szCs w:val="24"/>
          <w:rtl w:val="0"/>
        </w:rPr>
        <w:t xml:space="preserve">. a</w:t>
      </w:r>
      <w:r w:rsidDel="00000000" w:rsidR="00000000" w:rsidRPr="00000000">
        <w:rPr>
          <w:rFonts w:ascii="Times New Roman" w:cs="Times New Roman" w:eastAsia="Times New Roman" w:hAnsi="Times New Roman"/>
          <w:sz w:val="24"/>
          <w:szCs w:val="24"/>
          <w:rtl w:val="0"/>
        </w:rPr>
        <w:t xml:space="preserve"> Temperature reconstruction based on the oxygen isotopic signature (δ¹⁸O) at the Agassiz ice cap as compared to the pre-industrial (1850-1900 CE) average </w:t>
      </w:r>
      <w:r w:rsidDel="00000000" w:rsidR="00000000" w:rsidRPr="00000000">
        <w:rPr>
          <w:rFonts w:ascii="Times New Roman" w:cs="Times New Roman" w:eastAsia="Times New Roman" w:hAnsi="Times New Roman"/>
          <w:sz w:val="24"/>
          <w:szCs w:val="24"/>
          <w:rtl w:val="0"/>
        </w:rPr>
        <w:t xml:space="preserve">(Detlef et al., 2023; Lecavalier et al., 2017)</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b</w:t>
      </w:r>
      <w:r w:rsidDel="00000000" w:rsidR="00000000" w:rsidRPr="00000000">
        <w:rPr>
          <w:rFonts w:ascii="Times New Roman" w:cs="Times New Roman" w:eastAsia="Times New Roman" w:hAnsi="Times New Roman"/>
          <w:sz w:val="24"/>
          <w:szCs w:val="24"/>
          <w:rtl w:val="0"/>
        </w:rPr>
        <w:t xml:space="preserve"> E</w:t>
      </w:r>
      <w:r w:rsidDel="00000000" w:rsidR="00000000" w:rsidRPr="00000000">
        <w:rPr>
          <w:rFonts w:ascii="Times New Roman" w:cs="Times New Roman" w:eastAsia="Times New Roman" w:hAnsi="Times New Roman"/>
          <w:sz w:val="24"/>
          <w:szCs w:val="24"/>
          <w:rtl w:val="0"/>
        </w:rPr>
        <w:t xml:space="preserve">vidence for the opening of Nares Strait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tl w:val="0"/>
        </w:rPr>
        <w:t xml:space="preserve">HLY03-01-05GC; </w:t>
      </w:r>
      <w:r w:rsidDel="00000000" w:rsidR="00000000" w:rsidRPr="00000000">
        <w:rPr>
          <w:rFonts w:ascii="Times New Roman" w:cs="Times New Roman" w:eastAsia="Times New Roman" w:hAnsi="Times New Roman"/>
          <w:sz w:val="24"/>
          <w:szCs w:val="24"/>
          <w:rtl w:val="0"/>
        </w:rPr>
        <w:t xml:space="preserve">Jennings et al., 2011)</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c</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Sea-ice biomarker IP</w:t>
      </w:r>
      <w:r w:rsidDel="00000000" w:rsidR="00000000" w:rsidRPr="00000000">
        <w:rPr>
          <w:rFonts w:ascii="Times New Roman" w:cs="Times New Roman" w:eastAsia="Times New Roman" w:hAnsi="Times New Roman"/>
          <w:sz w:val="24"/>
          <w:szCs w:val="24"/>
          <w:vertAlign w:val="subscript"/>
          <w:rtl w:val="0"/>
        </w:rPr>
        <w:t xml:space="preserve">25</w:t>
      </w:r>
      <w:r w:rsidDel="00000000" w:rsidR="00000000" w:rsidRPr="00000000">
        <w:rPr>
          <w:rFonts w:ascii="Times New Roman" w:cs="Times New Roman" w:eastAsia="Times New Roman" w:hAnsi="Times New Roman"/>
          <w:sz w:val="24"/>
          <w:szCs w:val="24"/>
          <w:rtl w:val="0"/>
        </w:rPr>
        <w:t xml:space="preserve"> indicates the intensity of sea ice algae productivity and brassicasterol indicates primary productivity </w:t>
      </w:r>
      <w:r w:rsidDel="00000000" w:rsidR="00000000" w:rsidRPr="00000000">
        <w:rPr>
          <w:rFonts w:ascii="Times New Roman" w:cs="Times New Roman" w:eastAsia="Times New Roman" w:hAnsi="Times New Roman"/>
          <w:sz w:val="24"/>
          <w:szCs w:val="24"/>
          <w:rtl w:val="0"/>
        </w:rPr>
        <w:t xml:space="preserve">(Lincoln Sea 12-GC; Detlef et al., 2023)</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d </w:t>
      </w:r>
      <w:r w:rsidDel="00000000" w:rsidR="00000000" w:rsidRPr="00000000">
        <w:rPr>
          <w:rFonts w:ascii="Times New Roman" w:cs="Times New Roman" w:eastAsia="Times New Roman" w:hAnsi="Times New Roman"/>
          <w:sz w:val="24"/>
          <w:szCs w:val="24"/>
          <w:rtl w:val="0"/>
        </w:rPr>
        <w:t xml:space="preserve">Eukaryote detections through shotgun sequencing for Hall Basin 24PC. </w:t>
      </w:r>
      <w:r w:rsidDel="00000000" w:rsidR="00000000" w:rsidRPr="00000000">
        <w:rPr>
          <w:rFonts w:ascii="Times New Roman" w:cs="Times New Roman" w:eastAsia="Times New Roman" w:hAnsi="Times New Roman"/>
          <w:b w:val="1"/>
          <w:sz w:val="24"/>
          <w:szCs w:val="24"/>
          <w:rtl w:val="0"/>
        </w:rPr>
        <w:t xml:space="preserve">e</w:t>
      </w:r>
      <w:r w:rsidDel="00000000" w:rsidR="00000000" w:rsidRPr="00000000">
        <w:rPr>
          <w:rFonts w:ascii="Times New Roman" w:cs="Times New Roman" w:eastAsia="Times New Roman" w:hAnsi="Times New Roman"/>
          <w:sz w:val="24"/>
          <w:szCs w:val="24"/>
          <w:rtl w:val="0"/>
        </w:rPr>
        <w:t xml:space="preserve"> Eukaryote detections through shotgun sequencing for Lincoln Sea 12-GC. The triangles on the x-axis show estimated median ages of each DNA sample with lines indicating minimum and maximum ages.</w:t>
      </w:r>
    </w:p>
    <w:p w:rsidR="00000000" w:rsidDel="00000000" w:rsidP="00000000" w:rsidRDefault="00000000" w:rsidRPr="00000000" w14:paraId="0000001D">
      <w:pPr>
        <w:widowControl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w:drawing>
          <wp:inline distB="114300" distT="114300" distL="114300" distR="114300">
            <wp:extent cx="5731200" cy="5791200"/>
            <wp:effectExtent b="0" l="0" r="0" t="0"/>
            <wp:docPr id="1" name="image11.png"/>
            <a:graphic>
              <a:graphicData uri="http://schemas.openxmlformats.org/drawingml/2006/picture">
                <pic:pic>
                  <pic:nvPicPr>
                    <pic:cNvPr id="0" name="image11.png"/>
                    <pic:cNvPicPr preferRelativeResize="0"/>
                  </pic:nvPicPr>
                  <pic:blipFill>
                    <a:blip r:embed="rId18"/>
                    <a:srcRect b="0" l="0" r="0" t="0"/>
                    <a:stretch>
                      <a:fillRect/>
                    </a:stretch>
                  </pic:blipFill>
                  <pic:spPr>
                    <a:xfrm>
                      <a:off x="0" y="0"/>
                      <a:ext cx="5731200" cy="5791200"/>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 S9 Paleoceanographic reconstruction and DNA detections for North-East Greenland 73G. a</w:t>
      </w:r>
      <w:r w:rsidDel="00000000" w:rsidR="00000000" w:rsidRPr="00000000">
        <w:rPr>
          <w:rFonts w:ascii="Times New Roman" w:cs="Times New Roman" w:eastAsia="Times New Roman" w:hAnsi="Times New Roman"/>
          <w:sz w:val="24"/>
          <w:szCs w:val="24"/>
          <w:rtl w:val="0"/>
        </w:rPr>
        <w:t xml:space="preserve"> Sea-ice biomarker IP</w:t>
      </w:r>
      <w:r w:rsidDel="00000000" w:rsidR="00000000" w:rsidRPr="00000000">
        <w:rPr>
          <w:rFonts w:ascii="Times New Roman" w:cs="Times New Roman" w:eastAsia="Times New Roman" w:hAnsi="Times New Roman"/>
          <w:sz w:val="24"/>
          <w:szCs w:val="24"/>
          <w:vertAlign w:val="subscript"/>
          <w:rtl w:val="0"/>
        </w:rPr>
        <w:t xml:space="preserve">25</w:t>
      </w:r>
      <w:r w:rsidDel="00000000" w:rsidR="00000000" w:rsidRPr="00000000">
        <w:rPr>
          <w:rFonts w:ascii="Times New Roman" w:cs="Times New Roman" w:eastAsia="Times New Roman" w:hAnsi="Times New Roman"/>
          <w:sz w:val="24"/>
          <w:szCs w:val="24"/>
          <w:rtl w:val="0"/>
        </w:rPr>
        <w:t xml:space="preserve"> indicates the intensity of sea ice algae productivity </w:t>
      </w:r>
      <w:r w:rsidDel="00000000" w:rsidR="00000000" w:rsidRPr="00000000">
        <w:rPr>
          <w:rFonts w:ascii="Times New Roman" w:cs="Times New Roman" w:eastAsia="Times New Roman" w:hAnsi="Times New Roman"/>
          <w:sz w:val="24"/>
          <w:szCs w:val="24"/>
          <w:shd w:fill="auto" w:val="clear"/>
          <w:vertAlign w:val="baseline"/>
          <w:rtl w:val="0"/>
        </w:rPr>
        <w:t xml:space="preserve">(</w:t>
      </w:r>
      <w:r w:rsidDel="00000000" w:rsidR="00000000" w:rsidRPr="00000000">
        <w:rPr>
          <w:rFonts w:ascii="Times New Roman" w:cs="Times New Roman" w:eastAsia="Times New Roman" w:hAnsi="Times New Roman"/>
          <w:sz w:val="24"/>
          <w:szCs w:val="24"/>
          <w:rtl w:val="0"/>
        </w:rPr>
        <w:t xml:space="preserve">PS93/025-2; </w:t>
      </w:r>
      <w:r w:rsidDel="00000000" w:rsidR="00000000" w:rsidRPr="00000000">
        <w:rPr>
          <w:rFonts w:ascii="Times New Roman" w:cs="Times New Roman" w:eastAsia="Times New Roman" w:hAnsi="Times New Roman"/>
          <w:sz w:val="24"/>
          <w:szCs w:val="24"/>
          <w:shd w:fill="auto" w:val="clear"/>
          <w:vertAlign w:val="baseline"/>
          <w:rtl w:val="0"/>
        </w:rPr>
        <w:t xml:space="preserve">Syring et al., 2020)</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b</w:t>
      </w:r>
      <w:r w:rsidDel="00000000" w:rsidR="00000000" w:rsidRPr="00000000">
        <w:rPr>
          <w:rFonts w:ascii="Times New Roman" w:cs="Times New Roman" w:eastAsia="Times New Roman" w:hAnsi="Times New Roman"/>
          <w:sz w:val="24"/>
          <w:szCs w:val="24"/>
          <w:rtl w:val="0"/>
        </w:rPr>
        <w:t xml:space="preserve"> Brassicasterol and dinosterol indicate primary productivity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tl w:val="0"/>
        </w:rPr>
        <w:t xml:space="preserve">PS93/025-2; </w:t>
      </w:r>
      <w:r w:rsidDel="00000000" w:rsidR="00000000" w:rsidRPr="00000000">
        <w:rPr>
          <w:rFonts w:ascii="Times New Roman" w:cs="Times New Roman" w:eastAsia="Times New Roman" w:hAnsi="Times New Roman"/>
          <w:sz w:val="24"/>
          <w:szCs w:val="24"/>
          <w:rtl w:val="0"/>
        </w:rPr>
        <w:t xml:space="preserve">Syring et al., 2020)</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c</w:t>
      </w:r>
      <w:r w:rsidDel="00000000" w:rsidR="00000000" w:rsidRPr="00000000">
        <w:rPr>
          <w:rFonts w:ascii="Times New Roman" w:cs="Times New Roman" w:eastAsia="Times New Roman" w:hAnsi="Times New Roman"/>
          <w:sz w:val="24"/>
          <w:szCs w:val="24"/>
          <w:rtl w:val="0"/>
        </w:rPr>
        <w:t xml:space="preserve"> High numbers of benthic foraminifera with preferred habitat of Atlantic-sourced waters indicate the influence of Atlantic water, points representing counts per gram sediment </w:t>
      </w:r>
      <w:r w:rsidDel="00000000" w:rsidR="00000000" w:rsidRPr="00000000">
        <w:rPr>
          <w:rFonts w:ascii="Times New Roman" w:cs="Times New Roman" w:eastAsia="Times New Roman" w:hAnsi="Times New Roman"/>
          <w:sz w:val="24"/>
          <w:szCs w:val="24"/>
          <w:shd w:fill="auto" w:val="clear"/>
          <w:vertAlign w:val="baseline"/>
          <w:rtl w:val="0"/>
        </w:rPr>
        <w:t xml:space="preserve">(North-East Greenland 73G; Pados-Dibattista et al., 2022)</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d </w:t>
      </w:r>
      <w:r w:rsidDel="00000000" w:rsidR="00000000" w:rsidRPr="00000000">
        <w:rPr>
          <w:rFonts w:ascii="Times New Roman" w:cs="Times New Roman" w:eastAsia="Times New Roman" w:hAnsi="Times New Roman"/>
          <w:sz w:val="24"/>
          <w:szCs w:val="24"/>
          <w:rtl w:val="0"/>
        </w:rPr>
        <w:t xml:space="preserve">Eukaryote detections through shotgun sequencing. The triangles on the x-axis show estimated median ages of each DNA sample with lines indicating minimum and maximum ages.</w:t>
      </w: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w:drawing>
          <wp:inline distB="114300" distT="114300" distL="114300" distR="114300">
            <wp:extent cx="5731200" cy="4927600"/>
            <wp:effectExtent b="0" l="0" r="0" t="0"/>
            <wp:docPr id="3" name="image13.png"/>
            <a:graphic>
              <a:graphicData uri="http://schemas.openxmlformats.org/drawingml/2006/picture">
                <pic:pic>
                  <pic:nvPicPr>
                    <pic:cNvPr id="0" name="image13.png"/>
                    <pic:cNvPicPr preferRelativeResize="0"/>
                  </pic:nvPicPr>
                  <pic:blipFill>
                    <a:blip r:embed="rId19"/>
                    <a:srcRect b="0" l="0" r="0" t="0"/>
                    <a:stretch>
                      <a:fillRect/>
                    </a:stretch>
                  </pic:blipFill>
                  <pic:spPr>
                    <a:xfrm>
                      <a:off x="0" y="0"/>
                      <a:ext cx="5731200" cy="4927600"/>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sz w:val="24"/>
          <w:szCs w:val="24"/>
          <w:rtl w:val="0"/>
        </w:rPr>
        <w:t xml:space="preserve">Fig. S10 Correlation matrix of DNA detections and interpolated paleoenvironmental proxies.</w:t>
      </w:r>
      <w:r w:rsidDel="00000000" w:rsidR="00000000" w:rsidRPr="00000000">
        <w:rPr>
          <w:rFonts w:ascii="Times New Roman" w:cs="Times New Roman" w:eastAsia="Times New Roman" w:hAnsi="Times New Roman"/>
          <w:sz w:val="24"/>
          <w:szCs w:val="24"/>
          <w:rtl w:val="0"/>
        </w:rPr>
        <w:t xml:space="preserve"> For each sample and across sediment cores, DNA detections based on shotgun sequencing and hybridisation capture and linearly interpolated paleoenvironmental proxy measurements were compiled in a matrix. Pairwise Spearman’s rank correlation coefficients were then calculated and filtered for significant (p &lt; 0.1) correlations.  </w:t>
      </w:r>
      <w:r w:rsidDel="00000000" w:rsidR="00000000" w:rsidRPr="00000000">
        <w:rPr>
          <w:rtl w:val="0"/>
        </w:rPr>
      </w:r>
    </w:p>
    <w:p w:rsidR="00000000" w:rsidDel="00000000" w:rsidP="00000000" w:rsidRDefault="00000000" w:rsidRPr="00000000" w14:paraId="00000022">
      <w:pPr>
        <w:pStyle w:val="Heading4"/>
        <w:jc w:val="both"/>
        <w:rPr>
          <w:rFonts w:ascii="Times New Roman" w:cs="Times New Roman" w:eastAsia="Times New Roman" w:hAnsi="Times New Roman"/>
          <w:b w:val="1"/>
          <w:color w:val="000000"/>
        </w:rPr>
      </w:pPr>
      <w:bookmarkStart w:colFirst="0" w:colLast="0" w:name="_lfzav4z07t7a" w:id="2"/>
      <w:bookmarkEnd w:id="2"/>
      <w:r w:rsidDel="00000000" w:rsidR="00000000" w:rsidRPr="00000000">
        <w:rPr>
          <w:rtl w:val="0"/>
        </w:rPr>
      </w:r>
    </w:p>
    <w:p w:rsidR="00000000" w:rsidDel="00000000" w:rsidP="00000000" w:rsidRDefault="00000000" w:rsidRPr="00000000" w14:paraId="00000023">
      <w:pPr>
        <w:pStyle w:val="Heading4"/>
        <w:jc w:val="both"/>
        <w:rPr>
          <w:rFonts w:ascii="Times New Roman" w:cs="Times New Roman" w:eastAsia="Times New Roman" w:hAnsi="Times New Roman"/>
          <w:b w:val="1"/>
          <w:color w:val="000000"/>
        </w:rPr>
      </w:pPr>
      <w:bookmarkStart w:colFirst="0" w:colLast="0" w:name="_6w8fq7k95o1b" w:id="3"/>
      <w:bookmarkEnd w:id="3"/>
      <w:r w:rsidDel="00000000" w:rsidR="00000000" w:rsidRPr="00000000">
        <w:rPr>
          <w:rFonts w:ascii="Times New Roman" w:cs="Times New Roman" w:eastAsia="Times New Roman" w:hAnsi="Times New Roman"/>
          <w:b w:val="1"/>
          <w:color w:val="000000"/>
        </w:rPr>
        <w:drawing>
          <wp:inline distB="114300" distT="114300" distL="114300" distR="114300">
            <wp:extent cx="5731200" cy="5626100"/>
            <wp:effectExtent b="0" l="0" r="0" t="0"/>
            <wp:docPr id="12" name="image12.png"/>
            <a:graphic>
              <a:graphicData uri="http://schemas.openxmlformats.org/drawingml/2006/picture">
                <pic:pic>
                  <pic:nvPicPr>
                    <pic:cNvPr id="0" name="image12.png"/>
                    <pic:cNvPicPr preferRelativeResize="0"/>
                  </pic:nvPicPr>
                  <pic:blipFill>
                    <a:blip r:embed="rId20"/>
                    <a:srcRect b="0" l="0" r="0" t="0"/>
                    <a:stretch>
                      <a:fillRect/>
                    </a:stretch>
                  </pic:blipFill>
                  <pic:spPr>
                    <a:xfrm>
                      <a:off x="0" y="0"/>
                      <a:ext cx="5731200" cy="5626100"/>
                    </a:xfrm>
                    <a:prstGeom prst="rect"/>
                    <a:ln/>
                  </pic:spPr>
                </pic:pic>
              </a:graphicData>
            </a:graphic>
          </wp:inline>
        </w:drawing>
      </w: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 S11 Redundancy Analysis (RDA) of hybridisation capture detections for Melville Bay 26G and North-East Greenland 73G.</w:t>
      </w:r>
      <w:r w:rsidDel="00000000" w:rsidR="00000000" w:rsidRPr="00000000">
        <w:rPr>
          <w:rFonts w:ascii="Times New Roman" w:cs="Times New Roman" w:eastAsia="Times New Roman" w:hAnsi="Times New Roman"/>
          <w:sz w:val="24"/>
          <w:szCs w:val="24"/>
          <w:rtl w:val="0"/>
        </w:rPr>
        <w:t xml:space="preserve"> For each sample and across the two sediment cores, species-level detections based on hybridisation capture and linearly interpolated paleoenvironmental proxy measurements were compiled in a matrix. A redundancy analysis (RDA) was performed followed by an ANOVA-like permutation test to identify variables that contributed significantly to explaining the diversity of the samples. The interpolated MAAT </w:t>
      </w:r>
      <w:r w:rsidDel="00000000" w:rsidR="00000000" w:rsidRPr="00000000">
        <w:rPr>
          <w:rFonts w:ascii="Times New Roman" w:cs="Times New Roman" w:eastAsia="Times New Roman" w:hAnsi="Times New Roman"/>
          <w:sz w:val="24"/>
          <w:szCs w:val="24"/>
          <w:shd w:fill="auto" w:val="clear"/>
          <w:vertAlign w:val="baseline"/>
          <w:rtl w:val="0"/>
        </w:rPr>
        <w:t xml:space="preserve">(Lecavalier et al., 2017)</w:t>
      </w:r>
      <w:r w:rsidDel="00000000" w:rsidR="00000000" w:rsidRPr="00000000">
        <w:rPr>
          <w:rFonts w:ascii="Times New Roman" w:cs="Times New Roman" w:eastAsia="Times New Roman" w:hAnsi="Times New Roman"/>
          <w:sz w:val="24"/>
          <w:szCs w:val="24"/>
          <w:rtl w:val="0"/>
        </w:rPr>
        <w:t xml:space="preserve"> proved to be s</w:t>
      </w:r>
      <w:r w:rsidDel="00000000" w:rsidR="00000000" w:rsidRPr="00000000">
        <w:rPr>
          <w:rFonts w:ascii="Times New Roman" w:cs="Times New Roman" w:eastAsia="Times New Roman" w:hAnsi="Times New Roman"/>
          <w:sz w:val="24"/>
          <w:szCs w:val="24"/>
          <w:rtl w:val="0"/>
        </w:rPr>
        <w:t xml:space="preserve">ignificant (</w:t>
      </w:r>
      <w:r w:rsidDel="00000000" w:rsidR="00000000" w:rsidRPr="00000000">
        <w:rPr>
          <w:rFonts w:ascii="Times New Roman" w:cs="Times New Roman" w:eastAsia="Times New Roman" w:hAnsi="Times New Roman"/>
          <w:sz w:val="24"/>
          <w:szCs w:val="24"/>
          <w:rtl w:val="0"/>
        </w:rPr>
        <w:t xml:space="preserve">Pr(&gt;F)&lt;0.1; </w:t>
      </w:r>
      <w:r w:rsidDel="00000000" w:rsidR="00000000" w:rsidRPr="00000000">
        <w:rPr>
          <w:rFonts w:ascii="Times New Roman" w:cs="Times New Roman" w:eastAsia="Times New Roman" w:hAnsi="Times New Roman"/>
          <w:sz w:val="24"/>
          <w:szCs w:val="24"/>
          <w:rtl w:val="0"/>
        </w:rPr>
        <w:t xml:space="preserve">black arrow and font), and all other (insignificant) variables are indicated by gray color.  </w:t>
      </w:r>
    </w:p>
    <w:p w:rsidR="00000000" w:rsidDel="00000000" w:rsidP="00000000" w:rsidRDefault="00000000" w:rsidRPr="00000000" w14:paraId="0000002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Pr>
        <w:drawing>
          <wp:inline distB="114300" distT="114300" distL="114300" distR="114300">
            <wp:extent cx="5731200" cy="4292600"/>
            <wp:effectExtent b="0" l="0" r="0" t="0"/>
            <wp:docPr id="10" name="image3.png"/>
            <a:graphic>
              <a:graphicData uri="http://schemas.openxmlformats.org/drawingml/2006/picture">
                <pic:pic>
                  <pic:nvPicPr>
                    <pic:cNvPr id="0" name="image3.png"/>
                    <pic:cNvPicPr preferRelativeResize="0"/>
                  </pic:nvPicPr>
                  <pic:blipFill>
                    <a:blip r:embed="rId21"/>
                    <a:srcRect b="0" l="0" r="0" t="0"/>
                    <a:stretch>
                      <a:fillRect/>
                    </a:stretch>
                  </pic:blipFill>
                  <pic:spPr>
                    <a:xfrm>
                      <a:off x="0" y="0"/>
                      <a:ext cx="5731200" cy="4292600"/>
                    </a:xfrm>
                    <a:prstGeom prst="rect"/>
                    <a:ln/>
                  </pic:spPr>
                </pic:pic>
              </a:graphicData>
            </a:graphic>
          </wp:inline>
        </w:drawing>
      </w:r>
      <w:r w:rsidDel="00000000" w:rsidR="00000000" w:rsidRPr="00000000">
        <w:rPr>
          <w:rFonts w:ascii="Times New Roman" w:cs="Times New Roman" w:eastAsia="Times New Roman" w:hAnsi="Times New Roman"/>
          <w:b w:val="1"/>
          <w:rtl w:val="0"/>
        </w:rPr>
        <w:t xml:space="preserve">Fig. S12 Pairwise sequence similarity calculations. </w:t>
      </w:r>
      <w:r w:rsidDel="00000000" w:rsidR="00000000" w:rsidRPr="00000000">
        <w:rPr>
          <w:rFonts w:ascii="Times New Roman" w:cs="Times New Roman" w:eastAsia="Times New Roman" w:hAnsi="Times New Roman"/>
          <w:rtl w:val="0"/>
        </w:rPr>
        <w:t xml:space="preserve">Inter-specific pairwise sequence similarities (in blue) were calculated for mitochondrial reference genomes belonging to the target group of Arctic marine mammals and their closest relatives (</w:t>
      </w:r>
      <w:r w:rsidDel="00000000" w:rsidR="00000000" w:rsidRPr="00000000">
        <w:rPr>
          <w:rFonts w:ascii="Times New Roman" w:cs="Times New Roman" w:eastAsia="Times New Roman" w:hAnsi="Times New Roman"/>
          <w:rtl w:val="0"/>
        </w:rPr>
        <w:t xml:space="preserve">i.e. other species belonging to the subfamilies Phocinae, Balaenidae, and Monodontidae</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rtl w:val="0"/>
        </w:rPr>
        <w:t xml:space="preserve">Intra-specific pairwise sequence similarities (in yellow) were calculated individually for each target species (e.g. all available mitochondrial reference genomes of bowhead whales, narwhals, etc.).  </w:t>
      </w:r>
      <w:r w:rsidDel="00000000" w:rsidR="00000000" w:rsidRPr="00000000">
        <w:rPr>
          <w:rtl w:val="0"/>
        </w:rPr>
      </w:r>
    </w:p>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pStyle w:val="Heading4"/>
        <w:jc w:val="both"/>
        <w:rPr>
          <w:rFonts w:ascii="Times New Roman" w:cs="Times New Roman" w:eastAsia="Times New Roman" w:hAnsi="Times New Roman"/>
          <w:b w:val="1"/>
          <w:color w:val="000000"/>
        </w:rPr>
      </w:pPr>
      <w:bookmarkStart w:colFirst="0" w:colLast="0" w:name="_ac35ak73xv7" w:id="4"/>
      <w:bookmarkEnd w:id="4"/>
      <w:r w:rsidDel="00000000" w:rsidR="00000000" w:rsidRPr="00000000">
        <w:rPr>
          <w:rFonts w:ascii="Times New Roman" w:cs="Times New Roman" w:eastAsia="Times New Roman" w:hAnsi="Times New Roman"/>
          <w:b w:val="1"/>
          <w:color w:val="000000"/>
          <w:rtl w:val="0"/>
        </w:rPr>
        <w:t xml:space="preserve">Supplementary </w:t>
      </w:r>
      <w:r w:rsidDel="00000000" w:rsidR="00000000" w:rsidRPr="00000000">
        <w:rPr>
          <w:rFonts w:ascii="Times New Roman" w:cs="Times New Roman" w:eastAsia="Times New Roman" w:hAnsi="Times New Roman"/>
          <w:b w:val="1"/>
          <w:color w:val="000000"/>
          <w:rtl w:val="0"/>
        </w:rPr>
        <w:t xml:space="preserve">tables</w:t>
      </w:r>
      <w:r w:rsidDel="00000000" w:rsidR="00000000" w:rsidRPr="00000000">
        <w:rPr>
          <w:rtl w:val="0"/>
        </w:rPr>
      </w:r>
    </w:p>
    <w:p w:rsidR="00000000" w:rsidDel="00000000" w:rsidP="00000000" w:rsidRDefault="00000000" w:rsidRPr="00000000" w14:paraId="00000033">
      <w:pPr>
        <w:spacing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Table S1 Detectable </w:t>
      </w:r>
      <w:r w:rsidDel="00000000" w:rsidR="00000000" w:rsidRPr="00000000">
        <w:rPr>
          <w:rFonts w:ascii="Times New Roman" w:cs="Times New Roman" w:eastAsia="Times New Roman" w:hAnsi="Times New Roman"/>
          <w:b w:val="1"/>
          <w:sz w:val="24"/>
          <w:szCs w:val="24"/>
          <w:vertAlign w:val="superscript"/>
          <w:rtl w:val="0"/>
        </w:rPr>
        <w:t xml:space="preserve">210</w:t>
      </w:r>
      <w:r w:rsidDel="00000000" w:rsidR="00000000" w:rsidRPr="00000000">
        <w:rPr>
          <w:rFonts w:ascii="Times New Roman" w:cs="Times New Roman" w:eastAsia="Times New Roman" w:hAnsi="Times New Roman"/>
          <w:b w:val="1"/>
          <w:sz w:val="24"/>
          <w:szCs w:val="24"/>
          <w:rtl w:val="0"/>
        </w:rPr>
        <w:t xml:space="preserve">Pb measurements excess activity in the uppermost centimeter of the core</w:t>
      </w:r>
    </w:p>
    <w:p w:rsidR="00000000" w:rsidDel="00000000" w:rsidP="00000000" w:rsidRDefault="00000000" w:rsidRPr="00000000" w14:paraId="00000034">
      <w:pPr>
        <w:jc w:val="both"/>
        <w:rPr>
          <w:rFonts w:ascii="Times New Roman" w:cs="Times New Roman" w:eastAsia="Times New Roman" w:hAnsi="Times New Roman"/>
          <w:b w:val="1"/>
          <w:sz w:val="24"/>
          <w:szCs w:val="24"/>
        </w:rPr>
      </w:pPr>
      <w:r w:rsidDel="00000000" w:rsidR="00000000" w:rsidRPr="00000000">
        <w:rPr>
          <w:rtl w:val="0"/>
        </w:rPr>
      </w:r>
    </w:p>
    <w:tbl>
      <w:tblPr>
        <w:tblStyle w:val="Table1"/>
        <w:tblW w:w="42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20"/>
        <w:gridCol w:w="1125"/>
        <w:gridCol w:w="1470"/>
        <w:tblGridChange w:id="0">
          <w:tblGrid>
            <w:gridCol w:w="1620"/>
            <w:gridCol w:w="1125"/>
            <w:gridCol w:w="1470"/>
          </w:tblGrid>
        </w:tblGridChange>
      </w:tblGrid>
      <w:tr>
        <w:trPr>
          <w:cantSplit w:val="0"/>
          <w:trHeight w:val="300" w:hRule="atLeast"/>
          <w:tblHeader w:val="0"/>
        </w:trPr>
        <w:tc>
          <w:tcPr>
            <w:tcBorders>
              <w:top w:color="000000" w:space="0" w:sz="5" w:val="single"/>
              <w:left w:color="000000" w:space="0" w:sz="0" w:val="nil"/>
              <w:bottom w:color="000000" w:space="0" w:sz="5" w:val="single"/>
              <w:right w:color="000000" w:space="0" w:sz="0" w:val="nil"/>
            </w:tcBorders>
            <w:tcMar>
              <w:top w:w="0.0" w:type="dxa"/>
              <w:left w:w="80.0" w:type="dxa"/>
              <w:bottom w:w="0.0" w:type="dxa"/>
              <w:right w:w="80.0" w:type="dxa"/>
            </w:tcMar>
            <w:vAlign w:val="center"/>
          </w:tcPr>
          <w:p w:rsidR="00000000" w:rsidDel="00000000" w:rsidP="00000000" w:rsidRDefault="00000000" w:rsidRPr="00000000" w14:paraId="00000035">
            <w:pPr>
              <w:spacing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Depth (cm)</w:t>
            </w:r>
          </w:p>
        </w:tc>
        <w:tc>
          <w:tcPr>
            <w:tcBorders>
              <w:top w:color="000000" w:space="0" w:sz="5" w:val="single"/>
              <w:left w:color="000000" w:space="0" w:sz="0" w:val="nil"/>
              <w:bottom w:color="000000" w:space="0" w:sz="5" w:val="single"/>
              <w:right w:color="000000" w:space="0" w:sz="0" w:val="nil"/>
            </w:tcBorders>
            <w:tcMar>
              <w:top w:w="0.0" w:type="dxa"/>
              <w:left w:w="80.0" w:type="dxa"/>
              <w:bottom w:w="0.0" w:type="dxa"/>
              <w:right w:w="80.0" w:type="dxa"/>
            </w:tcMar>
            <w:vAlign w:val="center"/>
          </w:tcPr>
          <w:p w:rsidR="00000000" w:rsidDel="00000000" w:rsidP="00000000" w:rsidRDefault="00000000" w:rsidRPr="00000000" w14:paraId="00000036">
            <w:pPr>
              <w:spacing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Age (yrs)</w:t>
            </w:r>
          </w:p>
        </w:tc>
        <w:tc>
          <w:tcPr>
            <w:tcBorders>
              <w:top w:color="000000" w:space="0" w:sz="5" w:val="single"/>
              <w:left w:color="000000" w:space="0" w:sz="0" w:val="nil"/>
              <w:bottom w:color="000000" w:space="0" w:sz="5" w:val="single"/>
              <w:right w:color="000000" w:space="0" w:sz="0" w:val="nil"/>
            </w:tcBorders>
            <w:tcMar>
              <w:top w:w="0.0" w:type="dxa"/>
              <w:left w:w="80.0" w:type="dxa"/>
              <w:bottom w:w="0.0" w:type="dxa"/>
              <w:right w:w="80.0" w:type="dxa"/>
            </w:tcMar>
            <w:vAlign w:val="center"/>
          </w:tcPr>
          <w:p w:rsidR="00000000" w:rsidDel="00000000" w:rsidP="00000000" w:rsidRDefault="00000000" w:rsidRPr="00000000" w14:paraId="00000037">
            <w:pPr>
              <w:spacing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Error (yrs)</w:t>
            </w:r>
          </w:p>
        </w:tc>
      </w:tr>
      <w:tr>
        <w:trPr>
          <w:cantSplit w:val="0"/>
          <w:trHeight w:val="300" w:hRule="atLeast"/>
          <w:tblHeader w:val="0"/>
        </w:trPr>
        <w:tc>
          <w:tcPr>
            <w:tcBorders>
              <w:top w:color="000000" w:space="0" w:sz="0" w:val="nil"/>
              <w:left w:color="000000" w:space="0" w:sz="0" w:val="nil"/>
              <w:bottom w:color="000000" w:space="0" w:sz="0" w:val="nil"/>
              <w:right w:color="000000" w:space="0" w:sz="0" w:val="nil"/>
            </w:tcBorders>
            <w:tcMar>
              <w:top w:w="0.0" w:type="dxa"/>
              <w:left w:w="80.0" w:type="dxa"/>
              <w:bottom w:w="0.0" w:type="dxa"/>
              <w:right w:w="80.0" w:type="dxa"/>
            </w:tcMar>
            <w:vAlign w:val="bottom"/>
          </w:tcPr>
          <w:p w:rsidR="00000000" w:rsidDel="00000000" w:rsidP="00000000" w:rsidRDefault="00000000" w:rsidRPr="00000000" w14:paraId="00000038">
            <w:pPr>
              <w:spacing w:before="24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0.5</w:t>
            </w:r>
          </w:p>
        </w:tc>
        <w:tc>
          <w:tcPr>
            <w:tcBorders>
              <w:top w:color="000000" w:space="0" w:sz="0" w:val="nil"/>
              <w:left w:color="000000" w:space="0" w:sz="0" w:val="nil"/>
              <w:bottom w:color="000000" w:space="0" w:sz="0" w:val="nil"/>
              <w:right w:color="000000" w:space="0" w:sz="0" w:val="nil"/>
            </w:tcBorders>
            <w:tcMar>
              <w:top w:w="0.0" w:type="dxa"/>
              <w:left w:w="80.0" w:type="dxa"/>
              <w:bottom w:w="0.0" w:type="dxa"/>
              <w:right w:w="80.0" w:type="dxa"/>
            </w:tcMar>
            <w:vAlign w:val="bottom"/>
          </w:tcPr>
          <w:p w:rsidR="00000000" w:rsidDel="00000000" w:rsidP="00000000" w:rsidRDefault="00000000" w:rsidRPr="00000000" w14:paraId="00000039">
            <w:pPr>
              <w:spacing w:before="24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tcBorders>
              <w:top w:color="000000" w:space="0" w:sz="0" w:val="nil"/>
              <w:left w:color="000000" w:space="0" w:sz="0" w:val="nil"/>
              <w:bottom w:color="000000" w:space="0" w:sz="0" w:val="nil"/>
              <w:right w:color="000000" w:space="0" w:sz="0" w:val="nil"/>
            </w:tcBorders>
            <w:tcMar>
              <w:top w:w="0.0" w:type="dxa"/>
              <w:left w:w="80.0" w:type="dxa"/>
              <w:bottom w:w="0.0" w:type="dxa"/>
              <w:right w:w="80.0" w:type="dxa"/>
            </w:tcMar>
            <w:vAlign w:val="bottom"/>
          </w:tcPr>
          <w:p w:rsidR="00000000" w:rsidDel="00000000" w:rsidP="00000000" w:rsidRDefault="00000000" w:rsidRPr="00000000" w14:paraId="0000003A">
            <w:pPr>
              <w:spacing w:before="24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w:t>
            </w:r>
          </w:p>
        </w:tc>
      </w:tr>
      <w:tr>
        <w:trPr>
          <w:cantSplit w:val="0"/>
          <w:trHeight w:val="300" w:hRule="atLeast"/>
          <w:tblHeader w:val="0"/>
        </w:trPr>
        <w:tc>
          <w:tcPr>
            <w:tcBorders>
              <w:top w:color="000000" w:space="0" w:sz="0" w:val="nil"/>
              <w:left w:color="000000" w:space="0" w:sz="0" w:val="nil"/>
              <w:bottom w:color="000000" w:space="0" w:sz="0" w:val="nil"/>
              <w:right w:color="000000" w:space="0" w:sz="0" w:val="nil"/>
            </w:tcBorders>
            <w:tcMar>
              <w:top w:w="0.0" w:type="dxa"/>
              <w:left w:w="80.0" w:type="dxa"/>
              <w:bottom w:w="0.0" w:type="dxa"/>
              <w:right w:w="80.0" w:type="dxa"/>
            </w:tcMar>
            <w:vAlign w:val="bottom"/>
          </w:tcPr>
          <w:p w:rsidR="00000000" w:rsidDel="00000000" w:rsidP="00000000" w:rsidRDefault="00000000" w:rsidRPr="00000000" w14:paraId="0000003B">
            <w:pPr>
              <w:spacing w:before="24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w:t>
            </w:r>
          </w:p>
        </w:tc>
        <w:tc>
          <w:tcPr>
            <w:tcBorders>
              <w:top w:color="000000" w:space="0" w:sz="0" w:val="nil"/>
              <w:left w:color="000000" w:space="0" w:sz="0" w:val="nil"/>
              <w:bottom w:color="000000" w:space="0" w:sz="0" w:val="nil"/>
              <w:right w:color="000000" w:space="0" w:sz="0" w:val="nil"/>
            </w:tcBorders>
            <w:tcMar>
              <w:top w:w="0.0" w:type="dxa"/>
              <w:left w:w="80.0" w:type="dxa"/>
              <w:bottom w:w="0.0" w:type="dxa"/>
              <w:right w:w="80.0" w:type="dxa"/>
            </w:tcMar>
            <w:vAlign w:val="bottom"/>
          </w:tcPr>
          <w:p w:rsidR="00000000" w:rsidDel="00000000" w:rsidP="00000000" w:rsidRDefault="00000000" w:rsidRPr="00000000" w14:paraId="0000003C">
            <w:pPr>
              <w:spacing w:before="24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p>
        </w:tc>
        <w:tc>
          <w:tcPr>
            <w:tcBorders>
              <w:top w:color="000000" w:space="0" w:sz="0" w:val="nil"/>
              <w:left w:color="000000" w:space="0" w:sz="0" w:val="nil"/>
              <w:bottom w:color="000000" w:space="0" w:sz="0" w:val="nil"/>
              <w:right w:color="000000" w:space="0" w:sz="0" w:val="nil"/>
            </w:tcBorders>
            <w:tcMar>
              <w:top w:w="0.0" w:type="dxa"/>
              <w:left w:w="80.0" w:type="dxa"/>
              <w:bottom w:w="0.0" w:type="dxa"/>
              <w:right w:w="80.0" w:type="dxa"/>
            </w:tcMar>
            <w:vAlign w:val="bottom"/>
          </w:tcPr>
          <w:p w:rsidR="00000000" w:rsidDel="00000000" w:rsidP="00000000" w:rsidRDefault="00000000" w:rsidRPr="00000000" w14:paraId="0000003D">
            <w:pPr>
              <w:spacing w:before="24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w:t>
            </w:r>
          </w:p>
        </w:tc>
      </w:tr>
      <w:tr>
        <w:trPr>
          <w:cantSplit w:val="0"/>
          <w:trHeight w:val="300" w:hRule="atLeast"/>
          <w:tblHeader w:val="0"/>
        </w:trPr>
        <w:tc>
          <w:tcPr>
            <w:tcBorders>
              <w:top w:color="000000" w:space="0" w:sz="0" w:val="nil"/>
              <w:left w:color="000000" w:space="0" w:sz="0" w:val="nil"/>
              <w:bottom w:color="000000" w:space="0" w:sz="0" w:val="nil"/>
              <w:right w:color="000000" w:space="0" w:sz="0" w:val="nil"/>
            </w:tcBorders>
            <w:tcMar>
              <w:top w:w="0.0" w:type="dxa"/>
              <w:left w:w="80.0" w:type="dxa"/>
              <w:bottom w:w="0.0" w:type="dxa"/>
              <w:right w:w="80.0" w:type="dxa"/>
            </w:tcMar>
            <w:vAlign w:val="bottom"/>
          </w:tcPr>
          <w:p w:rsidR="00000000" w:rsidDel="00000000" w:rsidP="00000000" w:rsidRDefault="00000000" w:rsidRPr="00000000" w14:paraId="0000003E">
            <w:pPr>
              <w:spacing w:before="24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w:t>
            </w:r>
          </w:p>
        </w:tc>
        <w:tc>
          <w:tcPr>
            <w:tcBorders>
              <w:top w:color="000000" w:space="0" w:sz="0" w:val="nil"/>
              <w:left w:color="000000" w:space="0" w:sz="0" w:val="nil"/>
              <w:bottom w:color="000000" w:space="0" w:sz="0" w:val="nil"/>
              <w:right w:color="000000" w:space="0" w:sz="0" w:val="nil"/>
            </w:tcBorders>
            <w:tcMar>
              <w:top w:w="0.0" w:type="dxa"/>
              <w:left w:w="80.0" w:type="dxa"/>
              <w:bottom w:w="0.0" w:type="dxa"/>
              <w:right w:w="80.0" w:type="dxa"/>
            </w:tcMar>
            <w:vAlign w:val="bottom"/>
          </w:tcPr>
          <w:p w:rsidR="00000000" w:rsidDel="00000000" w:rsidP="00000000" w:rsidRDefault="00000000" w:rsidRPr="00000000" w14:paraId="0000003F">
            <w:pPr>
              <w:spacing w:before="24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55</w:t>
            </w:r>
          </w:p>
        </w:tc>
        <w:tc>
          <w:tcPr>
            <w:tcBorders>
              <w:top w:color="000000" w:space="0" w:sz="0" w:val="nil"/>
              <w:left w:color="000000" w:space="0" w:sz="0" w:val="nil"/>
              <w:bottom w:color="000000" w:space="0" w:sz="0" w:val="nil"/>
              <w:right w:color="000000" w:space="0" w:sz="0" w:val="nil"/>
            </w:tcBorders>
            <w:tcMar>
              <w:top w:w="0.0" w:type="dxa"/>
              <w:left w:w="80.0" w:type="dxa"/>
              <w:bottom w:w="0.0" w:type="dxa"/>
              <w:right w:w="80.0" w:type="dxa"/>
            </w:tcMar>
            <w:vAlign w:val="bottom"/>
          </w:tcPr>
          <w:p w:rsidR="00000000" w:rsidDel="00000000" w:rsidP="00000000" w:rsidRDefault="00000000" w:rsidRPr="00000000" w14:paraId="00000040">
            <w:pPr>
              <w:spacing w:before="24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49</w:t>
            </w:r>
          </w:p>
        </w:tc>
      </w:tr>
      <w:tr>
        <w:trPr>
          <w:cantSplit w:val="0"/>
          <w:trHeight w:val="300" w:hRule="atLeast"/>
          <w:tblHeader w:val="0"/>
        </w:trPr>
        <w:tc>
          <w:tcPr>
            <w:tcBorders>
              <w:top w:color="000000" w:space="0" w:sz="0" w:val="nil"/>
              <w:left w:color="000000" w:space="0" w:sz="0" w:val="nil"/>
              <w:bottom w:color="000000" w:space="0" w:sz="0" w:val="nil"/>
              <w:right w:color="000000" w:space="0" w:sz="0" w:val="nil"/>
            </w:tcBorders>
            <w:tcMar>
              <w:top w:w="0.0" w:type="dxa"/>
              <w:left w:w="80.0" w:type="dxa"/>
              <w:bottom w:w="0.0" w:type="dxa"/>
              <w:right w:w="80.0" w:type="dxa"/>
            </w:tcMar>
            <w:vAlign w:val="bottom"/>
          </w:tcPr>
          <w:p w:rsidR="00000000" w:rsidDel="00000000" w:rsidP="00000000" w:rsidRDefault="00000000" w:rsidRPr="00000000" w14:paraId="00000041">
            <w:pPr>
              <w:spacing w:before="24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7.5</w:t>
            </w:r>
          </w:p>
        </w:tc>
        <w:tc>
          <w:tcPr>
            <w:tcBorders>
              <w:top w:color="000000" w:space="0" w:sz="0" w:val="nil"/>
              <w:left w:color="000000" w:space="0" w:sz="0" w:val="nil"/>
              <w:bottom w:color="000000" w:space="0" w:sz="0" w:val="nil"/>
              <w:right w:color="000000" w:space="0" w:sz="0" w:val="nil"/>
            </w:tcBorders>
            <w:tcMar>
              <w:top w:w="0.0" w:type="dxa"/>
              <w:left w:w="80.0" w:type="dxa"/>
              <w:bottom w:w="0.0" w:type="dxa"/>
              <w:right w:w="80.0" w:type="dxa"/>
            </w:tcMar>
            <w:vAlign w:val="bottom"/>
          </w:tcPr>
          <w:p w:rsidR="00000000" w:rsidDel="00000000" w:rsidP="00000000" w:rsidRDefault="00000000" w:rsidRPr="00000000" w14:paraId="00000042">
            <w:pPr>
              <w:spacing w:before="24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89</w:t>
            </w:r>
          </w:p>
        </w:tc>
        <w:tc>
          <w:tcPr>
            <w:tcBorders>
              <w:top w:color="000000" w:space="0" w:sz="0" w:val="nil"/>
              <w:left w:color="000000" w:space="0" w:sz="0" w:val="nil"/>
              <w:bottom w:color="000000" w:space="0" w:sz="0" w:val="nil"/>
              <w:right w:color="000000" w:space="0" w:sz="0" w:val="nil"/>
            </w:tcBorders>
            <w:tcMar>
              <w:top w:w="0.0" w:type="dxa"/>
              <w:left w:w="80.0" w:type="dxa"/>
              <w:bottom w:w="0.0" w:type="dxa"/>
              <w:right w:w="80.0" w:type="dxa"/>
            </w:tcMar>
            <w:vAlign w:val="bottom"/>
          </w:tcPr>
          <w:p w:rsidR="00000000" w:rsidDel="00000000" w:rsidP="00000000" w:rsidRDefault="00000000" w:rsidRPr="00000000" w14:paraId="00000043">
            <w:pPr>
              <w:spacing w:before="24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67</w:t>
            </w:r>
          </w:p>
        </w:tc>
      </w:tr>
      <w:tr>
        <w:trPr>
          <w:cantSplit w:val="0"/>
          <w:trHeight w:val="300" w:hRule="atLeast"/>
          <w:tblHeader w:val="0"/>
        </w:trPr>
        <w:tc>
          <w:tcPr>
            <w:tcBorders>
              <w:top w:color="000000" w:space="0" w:sz="0" w:val="nil"/>
              <w:left w:color="000000" w:space="0" w:sz="0" w:val="nil"/>
              <w:bottom w:color="000000" w:space="0" w:sz="5" w:val="single"/>
              <w:right w:color="000000" w:space="0" w:sz="0" w:val="nil"/>
            </w:tcBorders>
            <w:tcMar>
              <w:top w:w="0.0" w:type="dxa"/>
              <w:left w:w="80.0" w:type="dxa"/>
              <w:bottom w:w="0.0" w:type="dxa"/>
              <w:right w:w="80.0" w:type="dxa"/>
            </w:tcMar>
            <w:vAlign w:val="bottom"/>
          </w:tcPr>
          <w:p w:rsidR="00000000" w:rsidDel="00000000" w:rsidP="00000000" w:rsidRDefault="00000000" w:rsidRPr="00000000" w14:paraId="00000044">
            <w:pPr>
              <w:spacing w:before="24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w:t>
            </w:r>
          </w:p>
        </w:tc>
        <w:tc>
          <w:tcPr>
            <w:tcBorders>
              <w:top w:color="000000" w:space="0" w:sz="0" w:val="nil"/>
              <w:left w:color="000000" w:space="0" w:sz="0" w:val="nil"/>
              <w:bottom w:color="000000" w:space="0" w:sz="5" w:val="single"/>
              <w:right w:color="000000" w:space="0" w:sz="0" w:val="nil"/>
            </w:tcBorders>
            <w:tcMar>
              <w:top w:w="0.0" w:type="dxa"/>
              <w:left w:w="80.0" w:type="dxa"/>
              <w:bottom w:w="0.0" w:type="dxa"/>
              <w:right w:w="80.0" w:type="dxa"/>
            </w:tcMar>
            <w:vAlign w:val="bottom"/>
          </w:tcPr>
          <w:p w:rsidR="00000000" w:rsidDel="00000000" w:rsidP="00000000" w:rsidRDefault="00000000" w:rsidRPr="00000000" w14:paraId="00000045">
            <w:pPr>
              <w:spacing w:before="24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118</w:t>
            </w:r>
          </w:p>
        </w:tc>
        <w:tc>
          <w:tcPr>
            <w:tcBorders>
              <w:top w:color="000000" w:space="0" w:sz="0" w:val="nil"/>
              <w:left w:color="000000" w:space="0" w:sz="0" w:val="nil"/>
              <w:bottom w:color="000000" w:space="0" w:sz="5" w:val="single"/>
              <w:right w:color="000000" w:space="0" w:sz="0" w:val="nil"/>
            </w:tcBorders>
            <w:tcMar>
              <w:top w:w="0.0" w:type="dxa"/>
              <w:left w:w="80.0" w:type="dxa"/>
              <w:bottom w:w="0.0" w:type="dxa"/>
              <w:right w:w="80.0" w:type="dxa"/>
            </w:tcMar>
            <w:vAlign w:val="bottom"/>
          </w:tcPr>
          <w:p w:rsidR="00000000" w:rsidDel="00000000" w:rsidP="00000000" w:rsidRDefault="00000000" w:rsidRPr="00000000" w14:paraId="00000046">
            <w:pPr>
              <w:spacing w:before="24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108</w:t>
            </w:r>
          </w:p>
        </w:tc>
      </w:tr>
    </w:tbl>
    <w:p w:rsidR="00000000" w:rsidDel="00000000" w:rsidP="00000000" w:rsidRDefault="00000000" w:rsidRPr="00000000" w14:paraId="00000047">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pStyle w:val="Heading4"/>
        <w:jc w:val="both"/>
        <w:rPr>
          <w:rFonts w:ascii="Times New Roman" w:cs="Times New Roman" w:eastAsia="Times New Roman" w:hAnsi="Times New Roman"/>
          <w:b w:val="1"/>
          <w:color w:val="000000"/>
        </w:rPr>
      </w:pPr>
      <w:bookmarkStart w:colFirst="0" w:colLast="0" w:name="_basczgsvoebl" w:id="5"/>
      <w:bookmarkEnd w:id="5"/>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pStyle w:val="Heading4"/>
        <w:jc w:val="both"/>
        <w:rPr>
          <w:rFonts w:ascii="Times New Roman" w:cs="Times New Roman" w:eastAsia="Times New Roman" w:hAnsi="Times New Roman"/>
          <w:color w:val="000000"/>
        </w:rPr>
      </w:pPr>
      <w:bookmarkStart w:colFirst="0" w:colLast="0" w:name="_4b80rqo7xb38" w:id="6"/>
      <w:bookmarkEnd w:id="6"/>
      <w:r w:rsidDel="00000000" w:rsidR="00000000" w:rsidRPr="00000000">
        <w:rPr>
          <w:rFonts w:ascii="Times New Roman" w:cs="Times New Roman" w:eastAsia="Times New Roman" w:hAnsi="Times New Roman"/>
          <w:b w:val="1"/>
          <w:color w:val="000000"/>
          <w:rtl w:val="0"/>
        </w:rPr>
        <w:t xml:space="preserve">Table S</w:t>
      </w:r>
      <w:r w:rsidDel="00000000" w:rsidR="00000000" w:rsidRPr="00000000">
        <w:rPr>
          <w:rFonts w:ascii="Times New Roman" w:cs="Times New Roman" w:eastAsia="Times New Roman" w:hAnsi="Times New Roman"/>
          <w:b w:val="1"/>
          <w:color w:val="000000"/>
          <w:rtl w:val="0"/>
        </w:rPr>
        <w:t xml:space="preserve">2</w:t>
      </w:r>
      <w:r w:rsidDel="00000000" w:rsidR="00000000" w:rsidRPr="00000000">
        <w:rPr>
          <w:rFonts w:ascii="Times New Roman" w:cs="Times New Roman" w:eastAsia="Times New Roman" w:hAnsi="Times New Roman"/>
          <w:b w:val="1"/>
          <w:color w:val="000000"/>
          <w:rtl w:val="0"/>
        </w:rPr>
        <w:t xml:space="preserve"> </w:t>
      </w:r>
      <w:r w:rsidDel="00000000" w:rsidR="00000000" w:rsidRPr="00000000">
        <w:rPr>
          <w:rFonts w:ascii="Times New Roman" w:cs="Times New Roman" w:eastAsia="Times New Roman" w:hAnsi="Times New Roman"/>
          <w:b w:val="1"/>
          <w:color w:val="000000"/>
          <w:rtl w:val="0"/>
        </w:rPr>
        <w:t xml:space="preserve">Unmodeled and modeled radiocarbon dates of</w:t>
      </w:r>
      <w:r w:rsidDel="00000000" w:rsidR="00000000" w:rsidRPr="00000000">
        <w:rPr>
          <w:rFonts w:ascii="Times New Roman" w:cs="Times New Roman" w:eastAsia="Times New Roman" w:hAnsi="Times New Roman"/>
          <w:b w:val="1"/>
          <w:color w:val="000000"/>
          <w:rtl w:val="0"/>
        </w:rPr>
        <w:t xml:space="preserve"> the marine sediment core </w:t>
      </w:r>
      <w:r w:rsidDel="00000000" w:rsidR="00000000" w:rsidRPr="00000000">
        <w:rPr>
          <w:rFonts w:ascii="Times New Roman" w:cs="Times New Roman" w:eastAsia="Times New Roman" w:hAnsi="Times New Roman"/>
          <w:b w:val="1"/>
          <w:color w:val="000000"/>
          <w:rtl w:val="0"/>
        </w:rPr>
        <w:t xml:space="preserve">Melville Bay 26G</w:t>
      </w:r>
      <w:r w:rsidDel="00000000" w:rsidR="00000000" w:rsidRPr="00000000">
        <w:rPr>
          <w:rFonts w:ascii="Times New Roman" w:cs="Times New Roman" w:eastAsia="Times New Roman" w:hAnsi="Times New Roman"/>
          <w:b w:val="1"/>
          <w:color w:val="000000"/>
          <w:rtl w:val="0"/>
        </w:rPr>
        <w:t xml:space="preserve"> (</w:t>
      </w:r>
      <w:r w:rsidDel="00000000" w:rsidR="00000000" w:rsidRPr="00000000">
        <w:rPr>
          <w:rFonts w:ascii="Times New Roman" w:cs="Times New Roman" w:eastAsia="Times New Roman" w:hAnsi="Times New Roman"/>
          <w:b w:val="1"/>
          <w:color w:val="000000"/>
          <w:rtl w:val="0"/>
        </w:rPr>
        <w:t xml:space="preserve">LK21-IC-st26-</w:t>
      </w:r>
      <w:r w:rsidDel="00000000" w:rsidR="00000000" w:rsidRPr="00000000">
        <w:rPr>
          <w:rFonts w:ascii="Times New Roman" w:cs="Times New Roman" w:eastAsia="Times New Roman" w:hAnsi="Times New Roman"/>
          <w:b w:val="1"/>
          <w:color w:val="000000"/>
          <w:rtl w:val="0"/>
        </w:rPr>
        <w:t xml:space="preserve">GC1</w:t>
      </w:r>
      <w:r w:rsidDel="00000000" w:rsidR="00000000" w:rsidRPr="00000000">
        <w:rPr>
          <w:rFonts w:ascii="Times New Roman" w:cs="Times New Roman" w:eastAsia="Times New Roman" w:hAnsi="Times New Roman"/>
          <w:b w:val="1"/>
          <w:color w:val="000000"/>
          <w:rtl w:val="0"/>
        </w:rPr>
        <w:t xml:space="preserve">). </w:t>
      </w:r>
      <w:r w:rsidDel="00000000" w:rsidR="00000000" w:rsidRPr="00000000">
        <w:rPr>
          <w:rFonts w:ascii="Times New Roman" w:cs="Times New Roman" w:eastAsia="Times New Roman" w:hAnsi="Times New Roman"/>
          <w:color w:val="000000"/>
          <w:rtl w:val="0"/>
        </w:rPr>
        <w:t xml:space="preserve">For the modeled ages, unmodeled ages were corrected using the </w:t>
      </w:r>
      <w:r w:rsidDel="00000000" w:rsidR="00000000" w:rsidRPr="00000000">
        <w:rPr>
          <w:rFonts w:ascii="Times New Roman" w:cs="Times New Roman" w:eastAsia="Times New Roman" w:hAnsi="Times New Roman"/>
          <w:color w:val="444746"/>
          <w:rtl w:val="0"/>
        </w:rPr>
        <w:t xml:space="preserve">Marine20 calibration curve </w:t>
      </w:r>
      <w:r w:rsidDel="00000000" w:rsidR="00000000" w:rsidRPr="00000000">
        <w:rPr>
          <w:rFonts w:ascii="Times New Roman" w:cs="Times New Roman" w:eastAsia="Times New Roman" w:hAnsi="Times New Roman"/>
          <w:shd w:fill="auto" w:val="clear"/>
          <w:vertAlign w:val="baseline"/>
          <w:rtl w:val="0"/>
        </w:rPr>
        <w:t xml:space="preserve">(Heaton et al., 2020)</w:t>
      </w:r>
      <w:r w:rsidDel="00000000" w:rsidR="00000000" w:rsidRPr="00000000">
        <w:rPr>
          <w:rFonts w:ascii="Times New Roman" w:cs="Times New Roman" w:eastAsia="Times New Roman" w:hAnsi="Times New Roman"/>
          <w:color w:val="444746"/>
          <w:rtl w:val="0"/>
        </w:rPr>
        <w:t xml:space="preserve"> and a local reservoir correction (ΔR) o</w:t>
      </w:r>
      <w:r w:rsidDel="00000000" w:rsidR="00000000" w:rsidRPr="00000000">
        <w:rPr>
          <w:rFonts w:ascii="Times New Roman" w:cs="Times New Roman" w:eastAsia="Times New Roman" w:hAnsi="Times New Roman"/>
          <w:color w:val="444746"/>
          <w:rtl w:val="0"/>
        </w:rPr>
        <w:t xml:space="preserve">f -49 ± 59 y</w:t>
      </w:r>
      <w:r w:rsidDel="00000000" w:rsidR="00000000" w:rsidRPr="00000000">
        <w:rPr>
          <w:rFonts w:ascii="Times New Roman" w:cs="Times New Roman" w:eastAsia="Times New Roman" w:hAnsi="Times New Roman"/>
          <w:color w:val="444746"/>
          <w:rtl w:val="0"/>
        </w:rPr>
        <w:t xml:space="preserve">ears </w:t>
      </w:r>
      <w:r w:rsidDel="00000000" w:rsidR="00000000" w:rsidRPr="00000000">
        <w:rPr>
          <w:rFonts w:ascii="Times New Roman" w:cs="Times New Roman" w:eastAsia="Times New Roman" w:hAnsi="Times New Roman"/>
          <w:shd w:fill="auto" w:val="clear"/>
          <w:vertAlign w:val="baseline"/>
          <w:rtl w:val="0"/>
        </w:rPr>
        <w:t xml:space="preserve">(Pearce et al., 2023)</w:t>
      </w:r>
      <w:r w:rsidDel="00000000" w:rsidR="00000000" w:rsidRPr="00000000">
        <w:rPr>
          <w:rFonts w:ascii="Times New Roman" w:cs="Times New Roman" w:eastAsia="Times New Roman" w:hAnsi="Times New Roman"/>
          <w:color w:val="444746"/>
          <w:rtl w:val="0"/>
        </w:rPr>
        <w:t xml:space="preserve">.</w:t>
      </w:r>
      <w:r w:rsidDel="00000000" w:rsidR="00000000" w:rsidRPr="00000000">
        <w:rPr>
          <w:rtl w:val="0"/>
        </w:rPr>
      </w:r>
    </w:p>
    <w:p w:rsidR="00000000" w:rsidDel="00000000" w:rsidP="00000000" w:rsidRDefault="00000000" w:rsidRPr="00000000" w14:paraId="0000004B">
      <w:pPr>
        <w:pStyle w:val="Heading4"/>
        <w:jc w:val="both"/>
        <w:rPr>
          <w:rFonts w:ascii="Times New Roman" w:cs="Times New Roman" w:eastAsia="Times New Roman" w:hAnsi="Times New Roman"/>
        </w:rPr>
      </w:pPr>
      <w:bookmarkStart w:colFirst="0" w:colLast="0" w:name="_ofs7a2yos47f" w:id="7"/>
      <w:bookmarkEnd w:id="7"/>
      <w:r w:rsidDel="00000000" w:rsidR="00000000" w:rsidRPr="00000000">
        <w:rPr/>
        <w:drawing>
          <wp:inline distB="114300" distT="114300" distL="114300" distR="114300">
            <wp:extent cx="5731200" cy="3302000"/>
            <wp:effectExtent b="0" l="0" r="0" t="0"/>
            <wp:docPr id="4" name="image5.png"/>
            <a:graphic>
              <a:graphicData uri="http://schemas.openxmlformats.org/drawingml/2006/picture">
                <pic:pic>
                  <pic:nvPicPr>
                    <pic:cNvPr id="0" name="image5.png"/>
                    <pic:cNvPicPr preferRelativeResize="0"/>
                  </pic:nvPicPr>
                  <pic:blipFill>
                    <a:blip r:embed="rId22"/>
                    <a:srcRect b="0" l="0" r="0" t="0"/>
                    <a:stretch>
                      <a:fillRect/>
                    </a:stretch>
                  </pic:blipFill>
                  <pic:spPr>
                    <a:xfrm>
                      <a:off x="0" y="0"/>
                      <a:ext cx="5731200" cy="3302000"/>
                    </a:xfrm>
                    <a:prstGeom prst="rect"/>
                    <a:ln/>
                  </pic:spPr>
                </pic:pic>
              </a:graphicData>
            </a:graphic>
          </wp:inline>
        </w:drawing>
      </w:r>
      <w:r w:rsidDel="00000000" w:rsidR="00000000" w:rsidRPr="00000000">
        <w:rPr>
          <w:rtl w:val="0"/>
        </w:rPr>
      </w:r>
    </w:p>
    <w:p w:rsidR="00000000" w:rsidDel="00000000" w:rsidP="00000000" w:rsidRDefault="00000000" w:rsidRPr="00000000" w14:paraId="0000004C">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D">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24"/>
          <w:szCs w:val="24"/>
          <w:rtl w:val="0"/>
        </w:rPr>
        <w:t xml:space="preserve">Table S3 Hybridization capture panel. </w:t>
      </w:r>
      <w:r w:rsidDel="00000000" w:rsidR="00000000" w:rsidRPr="00000000">
        <w:rPr>
          <w:rFonts w:ascii="Times New Roman" w:cs="Times New Roman" w:eastAsia="Times New Roman" w:hAnsi="Times New Roman"/>
          <w:sz w:val="24"/>
          <w:szCs w:val="24"/>
          <w:rtl w:val="0"/>
        </w:rPr>
        <w:t xml:space="preserve">The mitochondrial genomes of each </w:t>
      </w:r>
      <w:r w:rsidDel="00000000" w:rsidR="00000000" w:rsidRPr="00000000">
        <w:rPr>
          <w:rFonts w:ascii="Times New Roman" w:cs="Times New Roman" w:eastAsia="Times New Roman" w:hAnsi="Times New Roman"/>
          <w:sz w:val="24"/>
          <w:szCs w:val="24"/>
          <w:rtl w:val="0"/>
        </w:rPr>
        <w:t xml:space="preserve">species</w:t>
      </w:r>
      <w:r w:rsidDel="00000000" w:rsidR="00000000" w:rsidRPr="00000000">
        <w:rPr>
          <w:rFonts w:ascii="Times New Roman" w:cs="Times New Roman" w:eastAsia="Times New Roman" w:hAnsi="Times New Roman"/>
          <w:sz w:val="24"/>
          <w:szCs w:val="24"/>
          <w:rtl w:val="0"/>
        </w:rPr>
        <w:t xml:space="preserve"> used to design the hybridization capture panel are indicated by the NCBI accession IDs. Seven of the species included in the capture panel are endemic to the Arctic and five are temperate species typically found at lower latitudes.</w:t>
      </w:r>
      <w:r w:rsidDel="00000000" w:rsidR="00000000" w:rsidRPr="00000000">
        <w:rPr>
          <w:rtl w:val="0"/>
        </w:rPr>
      </w:r>
    </w:p>
    <w:p w:rsidR="00000000" w:rsidDel="00000000" w:rsidP="00000000" w:rsidRDefault="00000000" w:rsidRPr="00000000" w14:paraId="0000004E">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4748213" cy="2862893"/>
            <wp:effectExtent b="0" l="0" r="0" t="0"/>
            <wp:docPr id="6" name="image14.png"/>
            <a:graphic>
              <a:graphicData uri="http://schemas.openxmlformats.org/drawingml/2006/picture">
                <pic:pic>
                  <pic:nvPicPr>
                    <pic:cNvPr id="0" name="image14.png"/>
                    <pic:cNvPicPr preferRelativeResize="0"/>
                  </pic:nvPicPr>
                  <pic:blipFill>
                    <a:blip r:embed="rId23"/>
                    <a:srcRect b="0" l="1328" r="0" t="0"/>
                    <a:stretch>
                      <a:fillRect/>
                    </a:stretch>
                  </pic:blipFill>
                  <pic:spPr>
                    <a:xfrm>
                      <a:off x="0" y="0"/>
                      <a:ext cx="4748213" cy="2862893"/>
                    </a:xfrm>
                    <a:prstGeom prst="rect"/>
                    <a:ln/>
                  </pic:spPr>
                </pic:pic>
              </a:graphicData>
            </a:graphic>
          </wp:inline>
        </w:drawing>
      </w:r>
      <w:r w:rsidDel="00000000" w:rsidR="00000000" w:rsidRPr="00000000">
        <w:rPr>
          <w:rtl w:val="0"/>
        </w:rPr>
      </w:r>
    </w:p>
    <w:p w:rsidR="00000000" w:rsidDel="00000000" w:rsidP="00000000" w:rsidRDefault="00000000" w:rsidRPr="00000000" w14:paraId="0000004F">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0">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1">
      <w:pPr>
        <w:pStyle w:val="Heading4"/>
        <w:jc w:val="both"/>
        <w:rPr>
          <w:rFonts w:ascii="Times New Roman" w:cs="Times New Roman" w:eastAsia="Times New Roman" w:hAnsi="Times New Roman"/>
          <w:color w:val="000000"/>
        </w:rPr>
      </w:pPr>
      <w:bookmarkStart w:colFirst="0" w:colLast="0" w:name="_16dyv36qn1ja" w:id="8"/>
      <w:bookmarkEnd w:id="8"/>
      <w:r w:rsidDel="00000000" w:rsidR="00000000" w:rsidRPr="00000000">
        <w:rPr>
          <w:rFonts w:ascii="Times New Roman" w:cs="Times New Roman" w:eastAsia="Times New Roman" w:hAnsi="Times New Roman"/>
          <w:b w:val="1"/>
          <w:color w:val="000000"/>
          <w:rtl w:val="0"/>
        </w:rPr>
        <w:t xml:space="preserve">Table S4 Known spatial distribution of the detected marine </w:t>
      </w:r>
      <w:r w:rsidDel="00000000" w:rsidR="00000000" w:rsidRPr="00000000">
        <w:rPr>
          <w:rFonts w:ascii="Times New Roman" w:cs="Times New Roman" w:eastAsia="Times New Roman" w:hAnsi="Times New Roman"/>
          <w:b w:val="1"/>
          <w:color w:val="000000"/>
          <w:rtl w:val="0"/>
        </w:rPr>
        <w:t xml:space="preserve">mammal </w:t>
      </w:r>
      <w:r w:rsidDel="00000000" w:rsidR="00000000" w:rsidRPr="00000000">
        <w:rPr>
          <w:rFonts w:ascii="Times New Roman" w:cs="Times New Roman" w:eastAsia="Times New Roman" w:hAnsi="Times New Roman"/>
          <w:b w:val="1"/>
          <w:color w:val="000000"/>
          <w:rtl w:val="0"/>
        </w:rPr>
        <w:t xml:space="preserve">species. </w:t>
      </w:r>
      <w:r w:rsidDel="00000000" w:rsidR="00000000" w:rsidRPr="00000000">
        <w:rPr>
          <w:rFonts w:ascii="Times New Roman" w:cs="Times New Roman" w:eastAsia="Times New Roman" w:hAnsi="Times New Roman"/>
          <w:color w:val="000000"/>
          <w:rtl w:val="0"/>
        </w:rPr>
        <w:t xml:space="preserve">Bold font indicates year-round presence </w:t>
      </w:r>
      <w:r w:rsidDel="00000000" w:rsidR="00000000" w:rsidRPr="00000000">
        <w:rPr>
          <w:rFonts w:ascii="Times New Roman" w:cs="Times New Roman" w:eastAsia="Times New Roman" w:hAnsi="Times New Roman"/>
          <w:color w:val="000000"/>
          <w:rtl w:val="0"/>
        </w:rPr>
        <w:t xml:space="preserve">in the area; </w:t>
      </w:r>
      <w:r w:rsidDel="00000000" w:rsidR="00000000" w:rsidRPr="00000000">
        <w:rPr>
          <w:rFonts w:ascii="Times New Roman" w:cs="Times New Roman" w:eastAsia="Times New Roman" w:hAnsi="Times New Roman"/>
          <w:color w:val="000000"/>
          <w:rtl w:val="0"/>
        </w:rPr>
        <w:t xml:space="preserve">regular font indicates summer presence of the species. Question marks (?) indicate the expected presence of the species in the area, despite the absence of observational data, </w:t>
      </w:r>
      <w:r w:rsidDel="00000000" w:rsidR="00000000" w:rsidRPr="00000000">
        <w:rPr>
          <w:rFonts w:ascii="Times New Roman" w:cs="Times New Roman" w:eastAsia="Times New Roman" w:hAnsi="Times New Roman"/>
          <w:color w:val="000000"/>
          <w:rtl w:val="0"/>
        </w:rPr>
        <w:t xml:space="preserve">based on personal communication with experts</w:t>
      </w:r>
      <w:r w:rsidDel="00000000" w:rsidR="00000000" w:rsidRPr="00000000">
        <w:rPr>
          <w:rFonts w:ascii="Times New Roman" w:cs="Times New Roman" w:eastAsia="Times New Roman" w:hAnsi="Times New Roman"/>
          <w:color w:val="000000"/>
          <w:rtl w:val="0"/>
        </w:rPr>
        <w:t xml:space="preserve"> from</w:t>
      </w:r>
      <w:r w:rsidDel="00000000" w:rsidR="00000000" w:rsidRPr="00000000">
        <w:rPr>
          <w:rFonts w:ascii="Times New Roman" w:cs="Times New Roman" w:eastAsia="Times New Roman" w:hAnsi="Times New Roman"/>
          <w:color w:val="000000"/>
          <w:rtl w:val="0"/>
        </w:rPr>
        <w:t xml:space="preserve"> the Greenland Institute of Natural Resources </w:t>
      </w:r>
      <w:r w:rsidDel="00000000" w:rsidR="00000000" w:rsidRPr="00000000">
        <w:rPr>
          <w:rFonts w:ascii="Times New Roman" w:cs="Times New Roman" w:eastAsia="Times New Roman" w:hAnsi="Times New Roman"/>
          <w:color w:val="000000"/>
          <w:rtl w:val="0"/>
        </w:rPr>
        <w:t xml:space="preserve">(M.P. Heide-Jørgensen, 19th Jan. 2024 and A. Rosing-Asvid, 10th Jan. 2024).</w:t>
      </w:r>
    </w:p>
    <w:p w:rsidR="00000000" w:rsidDel="00000000" w:rsidP="00000000" w:rsidRDefault="00000000" w:rsidRPr="00000000" w14:paraId="00000052">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w:drawing>
          <wp:inline distB="114300" distT="114300" distL="114300" distR="114300">
            <wp:extent cx="5731200" cy="5016500"/>
            <wp:effectExtent b="0" l="0" r="0" t="0"/>
            <wp:docPr id="7" name="image1.png"/>
            <a:graphic>
              <a:graphicData uri="http://schemas.openxmlformats.org/drawingml/2006/picture">
                <pic:pic>
                  <pic:nvPicPr>
                    <pic:cNvPr id="0" name="image1.png"/>
                    <pic:cNvPicPr preferRelativeResize="0"/>
                  </pic:nvPicPr>
                  <pic:blipFill>
                    <a:blip r:embed="rId24"/>
                    <a:srcRect b="0" l="0" r="0" t="0"/>
                    <a:stretch>
                      <a:fillRect/>
                    </a:stretch>
                  </pic:blipFill>
                  <pic:spPr>
                    <a:xfrm>
                      <a:off x="0" y="0"/>
                      <a:ext cx="5731200" cy="5016500"/>
                    </a:xfrm>
                    <a:prstGeom prst="rect"/>
                    <a:ln/>
                  </pic:spPr>
                </pic:pic>
              </a:graphicData>
            </a:graphic>
          </wp:inline>
        </w:drawing>
      </w:r>
      <w:r w:rsidDel="00000000" w:rsidR="00000000" w:rsidRPr="00000000">
        <w:rPr>
          <w:rtl w:val="0"/>
        </w:rPr>
      </w:r>
    </w:p>
    <w:p w:rsidR="00000000" w:rsidDel="00000000" w:rsidP="00000000" w:rsidRDefault="00000000" w:rsidRPr="00000000" w14:paraId="00000053">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4">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5">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6">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7">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8">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9">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A">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B">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C">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D">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Supplementary references</w:t>
      </w:r>
    </w:p>
    <w:p w:rsidR="00000000" w:rsidDel="00000000" w:rsidP="00000000" w:rsidRDefault="00000000" w:rsidRPr="00000000" w14:paraId="0000005E">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rFonts w:ascii="Times New Roman" w:cs="Times New Roman" w:eastAsia="Times New Roman" w:hAnsi="Times New Roman"/>
          <w:b w:val="1"/>
          <w:sz w:val="24"/>
          <w:szCs w:val="24"/>
        </w:rPr>
      </w:pPr>
      <w:r w:rsidDel="00000000" w:rsidR="00000000" w:rsidRPr="00000000">
        <w:rPr>
          <w:shd w:fill="auto" w:val="clear"/>
          <w:vertAlign w:val="baseline"/>
          <w:rtl w:val="0"/>
        </w:rPr>
        <w:t xml:space="preserve">Detlef, H., O’Regan, M., Stranne, C., Jensen, M. M., Glasius, M., Cronin, T. M., Jakobsson, M., &amp; Pearce, C. (2023). Seasonal sea-ice in the Arctic’s last ice area during the Early Holocene. </w:t>
      </w:r>
      <w:r w:rsidDel="00000000" w:rsidR="00000000" w:rsidRPr="00000000">
        <w:rPr>
          <w:i w:val="1"/>
          <w:shd w:fill="auto" w:val="clear"/>
          <w:vertAlign w:val="baseline"/>
          <w:rtl w:val="0"/>
        </w:rPr>
        <w:t xml:space="preserve">Communications Earth &amp; Environment</w:t>
      </w:r>
      <w:r w:rsidDel="00000000" w:rsidR="00000000" w:rsidRPr="00000000">
        <w:rPr>
          <w:shd w:fill="auto" w:val="clear"/>
          <w:vertAlign w:val="baseline"/>
          <w:rtl w:val="0"/>
        </w:rPr>
        <w:t xml:space="preserve">, </w:t>
      </w:r>
      <w:r w:rsidDel="00000000" w:rsidR="00000000" w:rsidRPr="00000000">
        <w:rPr>
          <w:i w:val="1"/>
          <w:shd w:fill="auto" w:val="clear"/>
          <w:vertAlign w:val="baseline"/>
          <w:rtl w:val="0"/>
        </w:rPr>
        <w:t xml:space="preserve">4</w:t>
      </w:r>
      <w:r w:rsidDel="00000000" w:rsidR="00000000" w:rsidRPr="00000000">
        <w:rPr>
          <w:shd w:fill="auto" w:val="clear"/>
          <w:vertAlign w:val="baseline"/>
          <w:rtl w:val="0"/>
        </w:rPr>
        <w:t xml:space="preserve">(1), 86. https://doi.org/10.1038/s43247-023-00720-w</w:t>
      </w:r>
      <w:r w:rsidDel="00000000" w:rsidR="00000000" w:rsidRPr="00000000">
        <w:rPr>
          <w:rtl w:val="0"/>
        </w:rPr>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rFonts w:ascii="Times New Roman" w:cs="Times New Roman" w:eastAsia="Times New Roman" w:hAnsi="Times New Roman"/>
          <w:b w:val="1"/>
          <w:sz w:val="24"/>
          <w:szCs w:val="24"/>
        </w:rPr>
      </w:pPr>
      <w:r w:rsidDel="00000000" w:rsidR="00000000" w:rsidRPr="00000000">
        <w:rPr>
          <w:shd w:fill="auto" w:val="clear"/>
          <w:vertAlign w:val="baseline"/>
          <w:rtl w:val="0"/>
        </w:rPr>
        <w:t xml:space="preserve">Heaton, T. J., Köhler, P., Butzin, M., Bard, E., Reimer, R. W., Austin, W. E. N., Bronk Ramsey, C., Grootes, P. M., Hughen, K. A., Kromer, B., Reimer, P. J., Adkins, J., Burke, A., Cook, M. S., Olsen, J., &amp; Skinner, L. C. (2020). Marine20—The Marine Radiocarbon Age Calibration Curve (0–55,000 cal BP). </w:t>
      </w:r>
      <w:r w:rsidDel="00000000" w:rsidR="00000000" w:rsidRPr="00000000">
        <w:rPr>
          <w:i w:val="1"/>
          <w:shd w:fill="auto" w:val="clear"/>
          <w:vertAlign w:val="baseline"/>
          <w:rtl w:val="0"/>
        </w:rPr>
        <w:t xml:space="preserve">Radiocarbon</w:t>
      </w:r>
      <w:r w:rsidDel="00000000" w:rsidR="00000000" w:rsidRPr="00000000">
        <w:rPr>
          <w:shd w:fill="auto" w:val="clear"/>
          <w:vertAlign w:val="baseline"/>
          <w:rtl w:val="0"/>
        </w:rPr>
        <w:t xml:space="preserve">, </w:t>
      </w:r>
      <w:r w:rsidDel="00000000" w:rsidR="00000000" w:rsidRPr="00000000">
        <w:rPr>
          <w:i w:val="1"/>
          <w:shd w:fill="auto" w:val="clear"/>
          <w:vertAlign w:val="baseline"/>
          <w:rtl w:val="0"/>
        </w:rPr>
        <w:t xml:space="preserve">62</w:t>
      </w:r>
      <w:r w:rsidDel="00000000" w:rsidR="00000000" w:rsidRPr="00000000">
        <w:rPr>
          <w:shd w:fill="auto" w:val="clear"/>
          <w:vertAlign w:val="baseline"/>
          <w:rtl w:val="0"/>
        </w:rPr>
        <w:t xml:space="preserve">(4), 779–820. https://doi.org/10.1017/RDC.2020.68</w:t>
      </w:r>
      <w:r w:rsidDel="00000000" w:rsidR="00000000" w:rsidRPr="00000000">
        <w:rPr>
          <w:rtl w:val="0"/>
        </w:rPr>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rFonts w:ascii="Times New Roman" w:cs="Times New Roman" w:eastAsia="Times New Roman" w:hAnsi="Times New Roman"/>
          <w:b w:val="1"/>
          <w:sz w:val="24"/>
          <w:szCs w:val="24"/>
        </w:rPr>
      </w:pPr>
      <w:r w:rsidDel="00000000" w:rsidR="00000000" w:rsidRPr="00000000">
        <w:rPr>
          <w:shd w:fill="auto" w:val="clear"/>
          <w:vertAlign w:val="baseline"/>
          <w:rtl w:val="0"/>
        </w:rPr>
        <w:t xml:space="preserve">Jennings, A., Reilly, B., Andrews, J., Hogan, K., Walczak, M., Jakobsson, M., Stoner, J., Mix, A., Nicholls, K. W., O’Regan, M., Prins, M. A., &amp; Troelstra, S. R. (2022). Modern and early Holocene ice shelf sediment facies from Petermann Fjord and northern Nares Strait, northwest Greenland. </w:t>
      </w:r>
      <w:r w:rsidDel="00000000" w:rsidR="00000000" w:rsidRPr="00000000">
        <w:rPr>
          <w:i w:val="1"/>
          <w:shd w:fill="auto" w:val="clear"/>
          <w:vertAlign w:val="baseline"/>
          <w:rtl w:val="0"/>
        </w:rPr>
        <w:t xml:space="preserve">Quaternary Science Reviews</w:t>
      </w:r>
      <w:r w:rsidDel="00000000" w:rsidR="00000000" w:rsidRPr="00000000">
        <w:rPr>
          <w:shd w:fill="auto" w:val="clear"/>
          <w:vertAlign w:val="baseline"/>
          <w:rtl w:val="0"/>
        </w:rPr>
        <w:t xml:space="preserve">, </w:t>
      </w:r>
      <w:r w:rsidDel="00000000" w:rsidR="00000000" w:rsidRPr="00000000">
        <w:rPr>
          <w:i w:val="1"/>
          <w:shd w:fill="auto" w:val="clear"/>
          <w:vertAlign w:val="baseline"/>
          <w:rtl w:val="0"/>
        </w:rPr>
        <w:t xml:space="preserve">283</w:t>
      </w:r>
      <w:r w:rsidDel="00000000" w:rsidR="00000000" w:rsidRPr="00000000">
        <w:rPr>
          <w:shd w:fill="auto" w:val="clear"/>
          <w:vertAlign w:val="baseline"/>
          <w:rtl w:val="0"/>
        </w:rPr>
        <w:t xml:space="preserve">, 107460. https://doi.org/10.1016/j.quascirev.2022.107460</w:t>
      </w:r>
      <w:r w:rsidDel="00000000" w:rsidR="00000000" w:rsidRPr="00000000">
        <w:rPr>
          <w:rtl w:val="0"/>
        </w:rPr>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rFonts w:ascii="Times New Roman" w:cs="Times New Roman" w:eastAsia="Times New Roman" w:hAnsi="Times New Roman"/>
          <w:b w:val="1"/>
          <w:sz w:val="24"/>
          <w:szCs w:val="24"/>
        </w:rPr>
      </w:pPr>
      <w:r w:rsidDel="00000000" w:rsidR="00000000" w:rsidRPr="00000000">
        <w:rPr>
          <w:shd w:fill="auto" w:val="clear"/>
          <w:vertAlign w:val="baseline"/>
          <w:rtl w:val="0"/>
        </w:rPr>
        <w:t xml:space="preserve">Jennings, A., Sheldon, C., Cronin, T., Francus, P., Stoner, J., &amp; Andrews, J. (2011). The Holocene History of Nares Strait: Transition from Glacial Bay to Arctic-Atlantic Throughflow. </w:t>
      </w:r>
      <w:r w:rsidDel="00000000" w:rsidR="00000000" w:rsidRPr="00000000">
        <w:rPr>
          <w:i w:val="1"/>
          <w:shd w:fill="auto" w:val="clear"/>
          <w:vertAlign w:val="baseline"/>
          <w:rtl w:val="0"/>
        </w:rPr>
        <w:t xml:space="preserve">Oceanography</w:t>
      </w:r>
      <w:r w:rsidDel="00000000" w:rsidR="00000000" w:rsidRPr="00000000">
        <w:rPr>
          <w:shd w:fill="auto" w:val="clear"/>
          <w:vertAlign w:val="baseline"/>
          <w:rtl w:val="0"/>
        </w:rPr>
        <w:t xml:space="preserve">, </w:t>
      </w:r>
      <w:r w:rsidDel="00000000" w:rsidR="00000000" w:rsidRPr="00000000">
        <w:rPr>
          <w:i w:val="1"/>
          <w:shd w:fill="auto" w:val="clear"/>
          <w:vertAlign w:val="baseline"/>
          <w:rtl w:val="0"/>
        </w:rPr>
        <w:t xml:space="preserve">24</w:t>
      </w:r>
      <w:r w:rsidDel="00000000" w:rsidR="00000000" w:rsidRPr="00000000">
        <w:rPr>
          <w:shd w:fill="auto" w:val="clear"/>
          <w:vertAlign w:val="baseline"/>
          <w:rtl w:val="0"/>
        </w:rPr>
        <w:t xml:space="preserve">(3), 26–41. https://doi.org/10.5670/oceanog.2011.52</w:t>
      </w:r>
      <w:r w:rsidDel="00000000" w:rsidR="00000000" w:rsidRPr="00000000">
        <w:rPr>
          <w:rtl w:val="0"/>
        </w:rPr>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rFonts w:ascii="Times New Roman" w:cs="Times New Roman" w:eastAsia="Times New Roman" w:hAnsi="Times New Roman"/>
          <w:b w:val="1"/>
          <w:sz w:val="24"/>
          <w:szCs w:val="24"/>
        </w:rPr>
      </w:pPr>
      <w:r w:rsidDel="00000000" w:rsidR="00000000" w:rsidRPr="00000000">
        <w:rPr>
          <w:shd w:fill="auto" w:val="clear"/>
          <w:vertAlign w:val="baseline"/>
          <w:rtl w:val="0"/>
        </w:rPr>
        <w:t xml:space="preserve">Lecavalier, B. S., Fisher, D. A., Milne, G. A., Vinther, B. M., Tarasov, L., Huybrechts, P., Lacelle, D., Main, B., Zheng, J., Bourgeois, J., &amp; Dyke, A. S. (2017). High Arctic Holocene temperature record from the Agassiz ice cap and Greenland ice sheet evolution. </w:t>
      </w:r>
      <w:r w:rsidDel="00000000" w:rsidR="00000000" w:rsidRPr="00000000">
        <w:rPr>
          <w:i w:val="1"/>
          <w:shd w:fill="auto" w:val="clear"/>
          <w:vertAlign w:val="baseline"/>
          <w:rtl w:val="0"/>
        </w:rPr>
        <w:t xml:space="preserve">Proceedings of the National Academy of Sciences</w:t>
      </w:r>
      <w:r w:rsidDel="00000000" w:rsidR="00000000" w:rsidRPr="00000000">
        <w:rPr>
          <w:shd w:fill="auto" w:val="clear"/>
          <w:vertAlign w:val="baseline"/>
          <w:rtl w:val="0"/>
        </w:rPr>
        <w:t xml:space="preserve">, </w:t>
      </w:r>
      <w:r w:rsidDel="00000000" w:rsidR="00000000" w:rsidRPr="00000000">
        <w:rPr>
          <w:i w:val="1"/>
          <w:shd w:fill="auto" w:val="clear"/>
          <w:vertAlign w:val="baseline"/>
          <w:rtl w:val="0"/>
        </w:rPr>
        <w:t xml:space="preserve">114</w:t>
      </w:r>
      <w:r w:rsidDel="00000000" w:rsidR="00000000" w:rsidRPr="00000000">
        <w:rPr>
          <w:shd w:fill="auto" w:val="clear"/>
          <w:vertAlign w:val="baseline"/>
          <w:rtl w:val="0"/>
        </w:rPr>
        <w:t xml:space="preserve">(23), 5952–5957. https://doi.org/10.1073/pnas.1616287114</w:t>
      </w:r>
      <w:r w:rsidDel="00000000" w:rsidR="00000000" w:rsidRPr="00000000">
        <w:rPr>
          <w:rtl w:val="0"/>
        </w:rPr>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rFonts w:ascii="Times New Roman" w:cs="Times New Roman" w:eastAsia="Times New Roman" w:hAnsi="Times New Roman"/>
          <w:b w:val="1"/>
          <w:sz w:val="24"/>
          <w:szCs w:val="24"/>
        </w:rPr>
      </w:pPr>
      <w:r w:rsidDel="00000000" w:rsidR="00000000" w:rsidRPr="00000000">
        <w:rPr>
          <w:shd w:fill="auto" w:val="clear"/>
          <w:vertAlign w:val="baseline"/>
          <w:rtl w:val="0"/>
        </w:rPr>
        <w:t xml:space="preserve">Pados-Dibattista, T., Pearce, C., Detlef, H., Bendtsen, J., &amp; Seidenkrantz, M.-S. (2022). Holocene palaeoceanography of the Northeast Greenland shelf. </w:t>
      </w:r>
      <w:r w:rsidDel="00000000" w:rsidR="00000000" w:rsidRPr="00000000">
        <w:rPr>
          <w:i w:val="1"/>
          <w:shd w:fill="auto" w:val="clear"/>
          <w:vertAlign w:val="baseline"/>
          <w:rtl w:val="0"/>
        </w:rPr>
        <w:t xml:space="preserve">Climate of the Past</w:t>
      </w:r>
      <w:r w:rsidDel="00000000" w:rsidR="00000000" w:rsidRPr="00000000">
        <w:rPr>
          <w:shd w:fill="auto" w:val="clear"/>
          <w:vertAlign w:val="baseline"/>
          <w:rtl w:val="0"/>
        </w:rPr>
        <w:t xml:space="preserve">, </w:t>
      </w:r>
      <w:r w:rsidDel="00000000" w:rsidR="00000000" w:rsidRPr="00000000">
        <w:rPr>
          <w:i w:val="1"/>
          <w:shd w:fill="auto" w:val="clear"/>
          <w:vertAlign w:val="baseline"/>
          <w:rtl w:val="0"/>
        </w:rPr>
        <w:t xml:space="preserve">18</w:t>
      </w:r>
      <w:r w:rsidDel="00000000" w:rsidR="00000000" w:rsidRPr="00000000">
        <w:rPr>
          <w:shd w:fill="auto" w:val="clear"/>
          <w:vertAlign w:val="baseline"/>
          <w:rtl w:val="0"/>
        </w:rPr>
        <w:t xml:space="preserve">(1), 103–127. https://doi.org/10.5194/cp-18-103-2022</w:t>
      </w:r>
      <w:r w:rsidDel="00000000" w:rsidR="00000000" w:rsidRPr="00000000">
        <w:rPr>
          <w:rtl w:val="0"/>
        </w:rPr>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rFonts w:ascii="Times New Roman" w:cs="Times New Roman" w:eastAsia="Times New Roman" w:hAnsi="Times New Roman"/>
          <w:b w:val="1"/>
          <w:sz w:val="24"/>
          <w:szCs w:val="24"/>
        </w:rPr>
      </w:pPr>
      <w:r w:rsidDel="00000000" w:rsidR="00000000" w:rsidRPr="00000000">
        <w:rPr>
          <w:shd w:fill="auto" w:val="clear"/>
          <w:vertAlign w:val="baseline"/>
          <w:rtl w:val="0"/>
        </w:rPr>
        <w:t xml:space="preserve">Pearce, C., Özdemir, K. S., Forchhammer Mathiasen, R., Detlef, H., &amp; Olsen, J. (2023). The marine reservoir age of Greenland coastal waters. </w:t>
      </w:r>
      <w:r w:rsidDel="00000000" w:rsidR="00000000" w:rsidRPr="00000000">
        <w:rPr>
          <w:i w:val="1"/>
          <w:shd w:fill="auto" w:val="clear"/>
          <w:vertAlign w:val="baseline"/>
          <w:rtl w:val="0"/>
        </w:rPr>
        <w:t xml:space="preserve">Geochronology</w:t>
      </w:r>
      <w:r w:rsidDel="00000000" w:rsidR="00000000" w:rsidRPr="00000000">
        <w:rPr>
          <w:shd w:fill="auto" w:val="clear"/>
          <w:vertAlign w:val="baseline"/>
          <w:rtl w:val="0"/>
        </w:rPr>
        <w:t xml:space="preserve">, </w:t>
      </w:r>
      <w:r w:rsidDel="00000000" w:rsidR="00000000" w:rsidRPr="00000000">
        <w:rPr>
          <w:i w:val="1"/>
          <w:shd w:fill="auto" w:val="clear"/>
          <w:vertAlign w:val="baseline"/>
          <w:rtl w:val="0"/>
        </w:rPr>
        <w:t xml:space="preserve">5</w:t>
      </w:r>
      <w:r w:rsidDel="00000000" w:rsidR="00000000" w:rsidRPr="00000000">
        <w:rPr>
          <w:shd w:fill="auto" w:val="clear"/>
          <w:vertAlign w:val="baseline"/>
          <w:rtl w:val="0"/>
        </w:rPr>
        <w:t xml:space="preserve">(2), 451–465. https://doi.org/10.5194/gchron-5-451-2023</w:t>
      </w:r>
      <w:r w:rsidDel="00000000" w:rsidR="00000000" w:rsidRPr="00000000">
        <w:rPr>
          <w:rtl w:val="0"/>
        </w:rPr>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rFonts w:ascii="Times New Roman" w:cs="Times New Roman" w:eastAsia="Times New Roman" w:hAnsi="Times New Roman"/>
          <w:b w:val="1"/>
          <w:sz w:val="24"/>
          <w:szCs w:val="24"/>
        </w:rPr>
      </w:pPr>
      <w:r w:rsidDel="00000000" w:rsidR="00000000" w:rsidRPr="00000000">
        <w:rPr>
          <w:shd w:fill="auto" w:val="clear"/>
          <w:vertAlign w:val="baseline"/>
          <w:rtl w:val="0"/>
        </w:rPr>
        <w:t xml:space="preserve">Saini, J., Stein, R., Fahl, K., Weiser, J., Hebbeln, D., Hillaire-Marcel, C., &amp; De Vernal, A. (2020). Holocene variability in sea ice and primary productivity in the northeastern Baffin Bay. </w:t>
      </w:r>
      <w:r w:rsidDel="00000000" w:rsidR="00000000" w:rsidRPr="00000000">
        <w:rPr>
          <w:i w:val="1"/>
          <w:shd w:fill="auto" w:val="clear"/>
          <w:vertAlign w:val="baseline"/>
          <w:rtl w:val="0"/>
        </w:rPr>
        <w:t xml:space="preserve">Arktos</w:t>
      </w:r>
      <w:r w:rsidDel="00000000" w:rsidR="00000000" w:rsidRPr="00000000">
        <w:rPr>
          <w:shd w:fill="auto" w:val="clear"/>
          <w:vertAlign w:val="baseline"/>
          <w:rtl w:val="0"/>
        </w:rPr>
        <w:t xml:space="preserve">, </w:t>
      </w:r>
      <w:r w:rsidDel="00000000" w:rsidR="00000000" w:rsidRPr="00000000">
        <w:rPr>
          <w:i w:val="1"/>
          <w:shd w:fill="auto" w:val="clear"/>
          <w:vertAlign w:val="baseline"/>
          <w:rtl w:val="0"/>
        </w:rPr>
        <w:t xml:space="preserve">6</w:t>
      </w:r>
      <w:r w:rsidDel="00000000" w:rsidR="00000000" w:rsidRPr="00000000">
        <w:rPr>
          <w:shd w:fill="auto" w:val="clear"/>
          <w:vertAlign w:val="baseline"/>
          <w:rtl w:val="0"/>
        </w:rPr>
        <w:t xml:space="preserve">(1–3), 55–73. https://doi.org/10.1007/s41063-020-00075-y</w:t>
      </w:r>
      <w:r w:rsidDel="00000000" w:rsidR="00000000" w:rsidRPr="00000000">
        <w:rPr>
          <w:rtl w:val="0"/>
        </w:rPr>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rFonts w:ascii="Times New Roman" w:cs="Times New Roman" w:eastAsia="Times New Roman" w:hAnsi="Times New Roman"/>
          <w:b w:val="1"/>
          <w:sz w:val="24"/>
          <w:szCs w:val="24"/>
        </w:rPr>
      </w:pPr>
      <w:r w:rsidDel="00000000" w:rsidR="00000000" w:rsidRPr="00000000">
        <w:rPr>
          <w:shd w:fill="auto" w:val="clear"/>
          <w:vertAlign w:val="baseline"/>
          <w:rtl w:val="0"/>
        </w:rPr>
        <w:t xml:space="preserve">Søndergaard, A. S., Larsen, N. K., Lecavalier, B. S., Olsen, J., Fitzpatrick, N. P., Kjær, K. H., &amp; Khan, S. A. (2020). Early Holocene collapse of marine-based ice in northwest Greenland triggered by atmospheric warming. </w:t>
      </w:r>
      <w:r w:rsidDel="00000000" w:rsidR="00000000" w:rsidRPr="00000000">
        <w:rPr>
          <w:i w:val="1"/>
          <w:shd w:fill="auto" w:val="clear"/>
          <w:vertAlign w:val="baseline"/>
          <w:rtl w:val="0"/>
        </w:rPr>
        <w:t xml:space="preserve">Quaternary Science Reviews</w:t>
      </w:r>
      <w:r w:rsidDel="00000000" w:rsidR="00000000" w:rsidRPr="00000000">
        <w:rPr>
          <w:shd w:fill="auto" w:val="clear"/>
          <w:vertAlign w:val="baseline"/>
          <w:rtl w:val="0"/>
        </w:rPr>
        <w:t xml:space="preserve">, </w:t>
      </w:r>
      <w:r w:rsidDel="00000000" w:rsidR="00000000" w:rsidRPr="00000000">
        <w:rPr>
          <w:i w:val="1"/>
          <w:shd w:fill="auto" w:val="clear"/>
          <w:vertAlign w:val="baseline"/>
          <w:rtl w:val="0"/>
        </w:rPr>
        <w:t xml:space="preserve">239</w:t>
      </w:r>
      <w:r w:rsidDel="00000000" w:rsidR="00000000" w:rsidRPr="00000000">
        <w:rPr>
          <w:shd w:fill="auto" w:val="clear"/>
          <w:vertAlign w:val="baseline"/>
          <w:rtl w:val="0"/>
        </w:rPr>
        <w:t xml:space="preserve">, 106360. https://doi.org/10.1016/j.quascirev.2020.106360</w:t>
      </w:r>
      <w:r w:rsidDel="00000000" w:rsidR="00000000" w:rsidRPr="00000000">
        <w:rPr>
          <w:rtl w:val="0"/>
        </w:rPr>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rFonts w:ascii="Times New Roman" w:cs="Times New Roman" w:eastAsia="Times New Roman" w:hAnsi="Times New Roman"/>
          <w:b w:val="1"/>
          <w:sz w:val="24"/>
          <w:szCs w:val="24"/>
        </w:rPr>
      </w:pPr>
      <w:r w:rsidDel="00000000" w:rsidR="00000000" w:rsidRPr="00000000">
        <w:rPr>
          <w:shd w:fill="auto" w:val="clear"/>
          <w:vertAlign w:val="baseline"/>
          <w:rtl w:val="0"/>
        </w:rPr>
        <w:t xml:space="preserve">Syring, N., Stein, R., Fahl, K., Vahlenkamp, M., Zehnich, M., Spielhagen, R. F., &amp; Niessen, F. (2020). Holocene changes in sea-ice cover and polynya formation along the eastern North Greenland shelf: New insights from biomarker records. </w:t>
      </w:r>
      <w:r w:rsidDel="00000000" w:rsidR="00000000" w:rsidRPr="00000000">
        <w:rPr>
          <w:i w:val="1"/>
          <w:shd w:fill="auto" w:val="clear"/>
          <w:vertAlign w:val="baseline"/>
          <w:rtl w:val="0"/>
        </w:rPr>
        <w:t xml:space="preserve">Quaternary Science Reviews</w:t>
      </w:r>
      <w:r w:rsidDel="00000000" w:rsidR="00000000" w:rsidRPr="00000000">
        <w:rPr>
          <w:shd w:fill="auto" w:val="clear"/>
          <w:vertAlign w:val="baseline"/>
          <w:rtl w:val="0"/>
        </w:rPr>
        <w:t xml:space="preserve">, </w:t>
      </w:r>
      <w:r w:rsidDel="00000000" w:rsidR="00000000" w:rsidRPr="00000000">
        <w:rPr>
          <w:i w:val="1"/>
          <w:shd w:fill="auto" w:val="clear"/>
          <w:vertAlign w:val="baseline"/>
          <w:rtl w:val="0"/>
        </w:rPr>
        <w:t xml:space="preserve">231</w:t>
      </w:r>
      <w:r w:rsidDel="00000000" w:rsidR="00000000" w:rsidRPr="00000000">
        <w:rPr>
          <w:shd w:fill="auto" w:val="clear"/>
          <w:vertAlign w:val="baseline"/>
          <w:rtl w:val="0"/>
        </w:rPr>
        <w:t xml:space="preserve">, 106173. https://doi.org/10.1016/j.quascirev.2020.106173</w:t>
      </w:r>
      <w:r w:rsidDel="00000000" w:rsidR="00000000" w:rsidRPr="00000000">
        <w:rPr>
          <w:rtl w:val="0"/>
        </w:rPr>
      </w:r>
    </w:p>
    <w:sectPr>
      <w:headerReference r:id="rId25"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9">
    <w:pPr>
      <w:jc w:val="righ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A">
    <w:pPr>
      <w:widowControl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B">
    <w:pPr>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C">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12.png"/><Relationship Id="rId22" Type="http://schemas.openxmlformats.org/officeDocument/2006/relationships/image" Target="media/image5.png"/><Relationship Id="rId21" Type="http://schemas.openxmlformats.org/officeDocument/2006/relationships/image" Target="media/image3.png"/><Relationship Id="rId24" Type="http://schemas.openxmlformats.org/officeDocument/2006/relationships/image" Target="media/image1.png"/><Relationship Id="rId23" Type="http://schemas.openxmlformats.org/officeDocument/2006/relationships/image" Target="media/image1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9.png"/><Relationship Id="rId25"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6.png"/><Relationship Id="rId8" Type="http://schemas.openxmlformats.org/officeDocument/2006/relationships/image" Target="media/image10.png"/><Relationship Id="rId11" Type="http://schemas.openxmlformats.org/officeDocument/2006/relationships/image" Target="media/image8.png"/><Relationship Id="rId10" Type="http://schemas.openxmlformats.org/officeDocument/2006/relationships/hyperlink" Target="http://creativecommons.org/licenses/by/4.0/" TargetMode="External"/><Relationship Id="rId13" Type="http://schemas.openxmlformats.org/officeDocument/2006/relationships/hyperlink" Target="https://www.zotero.org/google-docs/?broken=ZSY33A" TargetMode="External"/><Relationship Id="rId12" Type="http://schemas.openxmlformats.org/officeDocument/2006/relationships/image" Target="media/image15.jpg"/><Relationship Id="rId15" Type="http://schemas.openxmlformats.org/officeDocument/2006/relationships/image" Target="media/image2.png"/><Relationship Id="rId14" Type="http://schemas.openxmlformats.org/officeDocument/2006/relationships/hyperlink" Target="https://www.zotero.org/google-docs/?broken=ZSY33A" TargetMode="External"/><Relationship Id="rId17" Type="http://schemas.openxmlformats.org/officeDocument/2006/relationships/image" Target="media/image7.png"/><Relationship Id="rId16" Type="http://schemas.openxmlformats.org/officeDocument/2006/relationships/image" Target="media/image4.png"/><Relationship Id="rId19" Type="http://schemas.openxmlformats.org/officeDocument/2006/relationships/image" Target="media/image13.png"/><Relationship Id="rId18"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tyleName="APA" SelectedStyle="/APASixthEditionOfficeOnline.xsl" Version="6">
  <b:Source>
    <b:Tag>source1</b:Tag>
    <b:SourceType>JournalArticle</b:SourceType>
    <b:URL>https://www.nature.com/articles/s43017-021-00158-8</b:URL>
    <b:Gdcea>{"AccessedType":"Website"}</b:Gdcea>
  </b:Source>
</b:Sources>
</file>

<file path=customXML/itemProps1.xml><?xml version="1.0" encoding="utf-8"?>
<ds:datastoreItem xmlns:ds="http://schemas.openxmlformats.org/officeDocument/2006/customXml" ds:itemID="{22222222-1234-1234-1234-123412341234}">
  <ds:schemaRefs>
    <ds:schemaRef ds:uri="http://schemas.openxmlformats.org/officeDocument/2006/bibliography"/>
  </ds:schemaRefs>
</ds:datastoreItem>
</file>