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25FBF8" w14:textId="0FF6BFD5" w:rsidR="00030553" w:rsidRDefault="00030553" w:rsidP="00A413CE">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Supplementary Information for: </w:t>
      </w:r>
      <w:r w:rsidR="00136DDF">
        <w:rPr>
          <w:rFonts w:ascii="Times New Roman" w:hAnsi="Times New Roman" w:cs="Times New Roman"/>
          <w:b/>
          <w:bCs/>
          <w:sz w:val="28"/>
          <w:szCs w:val="28"/>
        </w:rPr>
        <w:t>“</w:t>
      </w:r>
      <w:r w:rsidR="00DF3F76" w:rsidRPr="009F7445">
        <w:rPr>
          <w:rFonts w:ascii="Times New Roman" w:hAnsi="Times New Roman" w:cs="Times New Roman"/>
          <w:b/>
          <w:bCs/>
          <w:i/>
          <w:iCs/>
          <w:sz w:val="28"/>
          <w:szCs w:val="28"/>
        </w:rPr>
        <w:t>Brain metabolic-functional (de)coupling: from health to glioma dysfunction</w:t>
      </w:r>
      <w:r w:rsidR="00136DDF">
        <w:rPr>
          <w:rFonts w:ascii="Times New Roman" w:hAnsi="Times New Roman" w:cs="Times New Roman"/>
          <w:b/>
          <w:bCs/>
          <w:sz w:val="28"/>
          <w:szCs w:val="28"/>
        </w:rPr>
        <w:t>”</w:t>
      </w:r>
    </w:p>
    <w:p w14:paraId="37379E65" w14:textId="77777777" w:rsidR="00166BF2" w:rsidRPr="00B35B1B" w:rsidRDefault="00166BF2" w:rsidP="00166BF2">
      <w:pPr>
        <w:spacing w:after="0" w:line="360" w:lineRule="auto"/>
        <w:rPr>
          <w:rFonts w:ascii="Times New Roman" w:hAnsi="Times New Roman" w:cs="Times New Roman"/>
          <w:sz w:val="22"/>
          <w:szCs w:val="22"/>
          <w:lang w:val="it-IT"/>
        </w:rPr>
      </w:pPr>
      <w:r w:rsidRPr="00B35B1B">
        <w:rPr>
          <w:rFonts w:ascii="Times New Roman" w:hAnsi="Times New Roman" w:cs="Times New Roman"/>
          <w:sz w:val="22"/>
          <w:szCs w:val="22"/>
          <w:lang w:val="it-IT"/>
        </w:rPr>
        <w:t>G. Vallini</w:t>
      </w:r>
      <w:r w:rsidRPr="00B35B1B">
        <w:rPr>
          <w:rFonts w:ascii="Times New Roman" w:hAnsi="Times New Roman" w:cs="Times New Roman"/>
          <w:vertAlign w:val="superscript"/>
          <w:lang w:val="it-IT"/>
        </w:rPr>
        <w:t>†</w:t>
      </w:r>
      <w:r w:rsidRPr="00B35B1B">
        <w:rPr>
          <w:rFonts w:ascii="Times New Roman" w:hAnsi="Times New Roman" w:cs="Times New Roman"/>
          <w:sz w:val="22"/>
          <w:szCs w:val="22"/>
          <w:lang w:val="it-IT"/>
        </w:rPr>
        <w:t>, G. Baron</w:t>
      </w:r>
      <w:r w:rsidRPr="00B35B1B">
        <w:rPr>
          <w:rFonts w:ascii="Times New Roman" w:hAnsi="Times New Roman" w:cs="Times New Roman"/>
          <w:vertAlign w:val="superscript"/>
          <w:lang w:val="it-IT"/>
        </w:rPr>
        <w:t>†</w:t>
      </w:r>
      <w:r w:rsidRPr="00B35B1B">
        <w:rPr>
          <w:rFonts w:ascii="Times New Roman" w:hAnsi="Times New Roman" w:cs="Times New Roman"/>
          <w:sz w:val="22"/>
          <w:szCs w:val="22"/>
          <w:lang w:val="it-IT"/>
        </w:rPr>
        <w:t xml:space="preserve">, E. Silvestri, T. Volpi, A. G. </w:t>
      </w:r>
      <w:proofErr w:type="spellStart"/>
      <w:r w:rsidRPr="00B35B1B">
        <w:rPr>
          <w:rFonts w:ascii="Times New Roman" w:hAnsi="Times New Roman" w:cs="Times New Roman"/>
          <w:sz w:val="22"/>
          <w:szCs w:val="22"/>
          <w:lang w:val="it-IT"/>
        </w:rPr>
        <w:t>Vlassenko</w:t>
      </w:r>
      <w:proofErr w:type="spellEnd"/>
      <w:r w:rsidRPr="00B35B1B">
        <w:rPr>
          <w:rFonts w:ascii="Times New Roman" w:hAnsi="Times New Roman" w:cs="Times New Roman"/>
          <w:sz w:val="22"/>
          <w:szCs w:val="22"/>
          <w:lang w:val="it-IT"/>
        </w:rPr>
        <w:t xml:space="preserve">, M. S. </w:t>
      </w:r>
      <w:proofErr w:type="spellStart"/>
      <w:r w:rsidRPr="00B35B1B">
        <w:rPr>
          <w:rFonts w:ascii="Times New Roman" w:hAnsi="Times New Roman" w:cs="Times New Roman"/>
          <w:sz w:val="22"/>
          <w:szCs w:val="22"/>
          <w:lang w:val="it-IT"/>
        </w:rPr>
        <w:t>Goyal</w:t>
      </w:r>
      <w:proofErr w:type="spellEnd"/>
      <w:r w:rsidRPr="00B35B1B">
        <w:rPr>
          <w:rFonts w:ascii="Times New Roman" w:hAnsi="Times New Roman" w:cs="Times New Roman"/>
          <w:sz w:val="22"/>
          <w:szCs w:val="22"/>
          <w:lang w:val="it-IT"/>
        </w:rPr>
        <w:t>, A. Chiuso, D. Cecchin, M. Corbetta, A. Bertoldo*</w:t>
      </w:r>
    </w:p>
    <w:p w14:paraId="6BC44DB3" w14:textId="77777777" w:rsidR="00166BF2" w:rsidRDefault="00166BF2" w:rsidP="00166BF2">
      <w:pPr>
        <w:spacing w:after="0" w:line="360" w:lineRule="auto"/>
        <w:rPr>
          <w:rFonts w:ascii="Times New Roman" w:hAnsi="Times New Roman" w:cs="Times New Roman"/>
          <w:b/>
          <w:bCs/>
          <w:i/>
          <w:iCs/>
          <w:sz w:val="22"/>
          <w:szCs w:val="22"/>
        </w:rPr>
      </w:pPr>
      <w:r w:rsidRPr="00B35B1B">
        <w:rPr>
          <w:rFonts w:ascii="Times New Roman" w:hAnsi="Times New Roman" w:cs="Times New Roman"/>
          <w:vertAlign w:val="superscript"/>
        </w:rPr>
        <w:t xml:space="preserve">† </w:t>
      </w:r>
      <w:proofErr w:type="gramStart"/>
      <w:r w:rsidRPr="00B35B1B">
        <w:rPr>
          <w:rFonts w:ascii="Times New Roman" w:hAnsi="Times New Roman" w:cs="Times New Roman"/>
          <w:b/>
          <w:bCs/>
          <w:i/>
          <w:iCs/>
          <w:sz w:val="22"/>
          <w:szCs w:val="22"/>
        </w:rPr>
        <w:t>these</w:t>
      </w:r>
      <w:proofErr w:type="gramEnd"/>
      <w:r w:rsidRPr="00B35B1B">
        <w:rPr>
          <w:rFonts w:ascii="Times New Roman" w:hAnsi="Times New Roman" w:cs="Times New Roman"/>
          <w:b/>
          <w:bCs/>
          <w:i/>
          <w:iCs/>
          <w:sz w:val="22"/>
          <w:szCs w:val="22"/>
        </w:rPr>
        <w:t xml:space="preserve"> authors contributed equally to the work</w:t>
      </w:r>
    </w:p>
    <w:p w14:paraId="020F8FBF" w14:textId="77777777" w:rsidR="00DB5786" w:rsidRPr="00B35B1B" w:rsidRDefault="00DB5786" w:rsidP="00166BF2">
      <w:pPr>
        <w:spacing w:after="0" w:line="360" w:lineRule="auto"/>
        <w:rPr>
          <w:rFonts w:ascii="Times New Roman" w:hAnsi="Times New Roman" w:cs="Times New Roman"/>
          <w:b/>
          <w:bCs/>
          <w:i/>
          <w:iCs/>
          <w:sz w:val="22"/>
          <w:szCs w:val="22"/>
        </w:rPr>
      </w:pPr>
    </w:p>
    <w:p w14:paraId="387B8A0D" w14:textId="77777777" w:rsidR="00DB5786" w:rsidRPr="00B35B1B" w:rsidRDefault="00DB5786" w:rsidP="00DB5786">
      <w:pPr>
        <w:spacing w:after="0" w:line="360" w:lineRule="auto"/>
        <w:rPr>
          <w:rFonts w:ascii="Times New Roman" w:hAnsi="Times New Roman" w:cs="Times New Roman"/>
        </w:rPr>
      </w:pPr>
      <w:r w:rsidRPr="00AE4485">
        <w:rPr>
          <w:rFonts w:ascii="Times New Roman" w:hAnsi="Times New Roman" w:cs="Times New Roman"/>
          <w:b/>
          <w:bCs/>
        </w:rPr>
        <w:t>Correspondence and requests for materials should be addressed to</w:t>
      </w:r>
      <w:r>
        <w:rPr>
          <w:rFonts w:ascii="Times New Roman" w:hAnsi="Times New Roman" w:cs="Times New Roman"/>
          <w:b/>
          <w:bCs/>
        </w:rPr>
        <w:t xml:space="preserve"> </w:t>
      </w:r>
      <w:r w:rsidRPr="00AE4485">
        <w:rPr>
          <w:rFonts w:ascii="Times New Roman" w:hAnsi="Times New Roman" w:cs="Times New Roman"/>
          <w:b/>
          <w:bCs/>
        </w:rPr>
        <w:t xml:space="preserve">Alessandra </w:t>
      </w:r>
      <w:proofErr w:type="spellStart"/>
      <w:r w:rsidRPr="00AE4485">
        <w:rPr>
          <w:rFonts w:ascii="Times New Roman" w:hAnsi="Times New Roman" w:cs="Times New Roman"/>
          <w:b/>
          <w:bCs/>
        </w:rPr>
        <w:t>Bertoldo</w:t>
      </w:r>
      <w:proofErr w:type="spellEnd"/>
    </w:p>
    <w:p w14:paraId="766BEA5D" w14:textId="77777777" w:rsidR="00DB5786" w:rsidRPr="00B35B1B" w:rsidRDefault="00DB5786" w:rsidP="00DB5786">
      <w:pPr>
        <w:autoSpaceDE w:val="0"/>
        <w:autoSpaceDN w:val="0"/>
        <w:adjustRightInd w:val="0"/>
        <w:spacing w:after="0" w:line="360" w:lineRule="auto"/>
        <w:rPr>
          <w:rFonts w:ascii="Times New Roman" w:hAnsi="Times New Roman" w:cs="Times New Roman"/>
        </w:rPr>
      </w:pPr>
      <w:r w:rsidRPr="00B35B1B">
        <w:rPr>
          <w:rFonts w:ascii="Times New Roman" w:hAnsi="Times New Roman" w:cs="Times New Roman"/>
        </w:rPr>
        <w:t>Department of Information Engineering, University of Padova, Padova, Italy</w:t>
      </w:r>
    </w:p>
    <w:p w14:paraId="250AE33B" w14:textId="77777777" w:rsidR="00DB5786" w:rsidRPr="00B35B1B" w:rsidRDefault="00DB5786" w:rsidP="00DB5786">
      <w:pPr>
        <w:autoSpaceDE w:val="0"/>
        <w:autoSpaceDN w:val="0"/>
        <w:adjustRightInd w:val="0"/>
        <w:spacing w:after="0" w:line="360" w:lineRule="auto"/>
        <w:rPr>
          <w:rFonts w:ascii="Times New Roman" w:hAnsi="Times New Roman" w:cs="Times New Roman"/>
          <w:lang w:val="it-IT"/>
        </w:rPr>
      </w:pPr>
      <w:r w:rsidRPr="00B35B1B">
        <w:rPr>
          <w:rFonts w:ascii="Times New Roman" w:hAnsi="Times New Roman" w:cs="Times New Roman"/>
          <w:lang w:val="it-IT"/>
        </w:rPr>
        <w:t xml:space="preserve">Padova </w:t>
      </w:r>
      <w:proofErr w:type="spellStart"/>
      <w:r w:rsidRPr="00B35B1B">
        <w:rPr>
          <w:rFonts w:ascii="Times New Roman" w:hAnsi="Times New Roman" w:cs="Times New Roman"/>
          <w:lang w:val="it-IT"/>
        </w:rPr>
        <w:t>Neuroscience</w:t>
      </w:r>
      <w:proofErr w:type="spellEnd"/>
      <w:r w:rsidRPr="00B35B1B">
        <w:rPr>
          <w:rFonts w:ascii="Times New Roman" w:hAnsi="Times New Roman" w:cs="Times New Roman"/>
          <w:lang w:val="it-IT"/>
        </w:rPr>
        <w:t xml:space="preserve"> Center, University of Padova, Padova, </w:t>
      </w:r>
      <w:proofErr w:type="spellStart"/>
      <w:r w:rsidRPr="00B35B1B">
        <w:rPr>
          <w:rFonts w:ascii="Times New Roman" w:hAnsi="Times New Roman" w:cs="Times New Roman"/>
          <w:lang w:val="it-IT"/>
        </w:rPr>
        <w:t>Italy</w:t>
      </w:r>
      <w:proofErr w:type="spellEnd"/>
    </w:p>
    <w:p w14:paraId="2DBC0210" w14:textId="77777777" w:rsidR="00DB5786" w:rsidRPr="00112760" w:rsidRDefault="00DB5786" w:rsidP="00DB5786">
      <w:pPr>
        <w:spacing w:after="0" w:line="360" w:lineRule="auto"/>
        <w:rPr>
          <w:rFonts w:ascii="Times New Roman" w:hAnsi="Times New Roman" w:cs="Times New Roman"/>
          <w:lang w:val="it-IT"/>
        </w:rPr>
      </w:pPr>
      <w:r w:rsidRPr="00D34122">
        <w:rPr>
          <w:rFonts w:ascii="Times New Roman" w:hAnsi="Times New Roman" w:cs="Times New Roman"/>
          <w:lang w:val="it-IT"/>
        </w:rPr>
        <w:t xml:space="preserve">E-mail: </w:t>
      </w:r>
      <w:hyperlink r:id="rId9" w:tgtFrame="_blank" w:history="1">
        <w:r w:rsidRPr="00112760">
          <w:rPr>
            <w:rStyle w:val="Hyperlink"/>
            <w:rFonts w:ascii="Times New Roman" w:hAnsi="Times New Roman" w:cs="Times New Roman"/>
            <w:lang w:val="it-IT"/>
          </w:rPr>
          <w:t>alessandra.bertoldo@unipd.it</w:t>
        </w:r>
      </w:hyperlink>
    </w:p>
    <w:p w14:paraId="20A7D90F" w14:textId="77777777" w:rsidR="00DB5786" w:rsidRPr="00B35B1B" w:rsidRDefault="00DB5786" w:rsidP="00DB5786">
      <w:pPr>
        <w:autoSpaceDE w:val="0"/>
        <w:autoSpaceDN w:val="0"/>
        <w:adjustRightInd w:val="0"/>
        <w:spacing w:after="0" w:line="360" w:lineRule="auto"/>
        <w:rPr>
          <w:rFonts w:ascii="Times New Roman" w:hAnsi="Times New Roman" w:cs="Times New Roman"/>
        </w:rPr>
      </w:pPr>
      <w:hyperlink r:id="rId10" w:history="1">
        <w:r w:rsidRPr="00B35B1B">
          <w:rPr>
            <w:rStyle w:val="Hyperlink"/>
            <w:rFonts w:ascii="Times New Roman" w:hAnsi="Times New Roman" w:cs="Times New Roman"/>
          </w:rPr>
          <w:t>https://orcid.org/0000-0002-6262-6354</w:t>
        </w:r>
      </w:hyperlink>
    </w:p>
    <w:p w14:paraId="3D0A6E09" w14:textId="77777777" w:rsidR="009F7445" w:rsidRDefault="009F7445" w:rsidP="00A413CE">
      <w:pPr>
        <w:spacing w:after="0" w:line="360" w:lineRule="auto"/>
        <w:jc w:val="center"/>
        <w:rPr>
          <w:rFonts w:ascii="Times New Roman" w:hAnsi="Times New Roman" w:cs="Times New Roman"/>
          <w:b/>
          <w:bCs/>
          <w:sz w:val="28"/>
          <w:szCs w:val="28"/>
        </w:rPr>
      </w:pPr>
    </w:p>
    <w:p w14:paraId="5AFE711F" w14:textId="265DE4F9" w:rsidR="00D02E40" w:rsidRPr="004F1F31" w:rsidRDefault="00C32ABE" w:rsidP="002C459F">
      <w:pPr>
        <w:spacing w:after="0" w:line="480" w:lineRule="auto"/>
        <w:jc w:val="center"/>
        <w:rPr>
          <w:rFonts w:ascii="Times New Roman" w:hAnsi="Times New Roman" w:cs="Times New Roman"/>
          <w:b/>
          <w:bCs/>
          <w:sz w:val="28"/>
          <w:szCs w:val="28"/>
        </w:rPr>
      </w:pPr>
      <w:r w:rsidRPr="004F1F31">
        <w:rPr>
          <w:rFonts w:ascii="Times New Roman" w:hAnsi="Times New Roman" w:cs="Times New Roman"/>
          <w:b/>
          <w:bCs/>
          <w:sz w:val="28"/>
          <w:szCs w:val="28"/>
        </w:rPr>
        <w:t>Supplementary Methods</w:t>
      </w:r>
    </w:p>
    <w:p w14:paraId="175C1F8C" w14:textId="7685A5D7" w:rsidR="00024680" w:rsidRPr="007061DD" w:rsidRDefault="00024680" w:rsidP="00DC0ED9">
      <w:pPr>
        <w:spacing w:after="0" w:line="360" w:lineRule="auto"/>
        <w:rPr>
          <w:rFonts w:ascii="Times New Roman" w:hAnsi="Times New Roman" w:cs="Times New Roman"/>
          <w:b/>
          <w:bCs/>
        </w:rPr>
      </w:pPr>
      <w:r w:rsidRPr="007061DD">
        <w:rPr>
          <w:rFonts w:ascii="Times New Roman" w:hAnsi="Times New Roman" w:cs="Times New Roman"/>
          <w:b/>
          <w:bCs/>
        </w:rPr>
        <w:t>Data a</w:t>
      </w:r>
      <w:r w:rsidR="00AE6279" w:rsidRPr="007061DD">
        <w:rPr>
          <w:rFonts w:ascii="Times New Roman" w:hAnsi="Times New Roman" w:cs="Times New Roman"/>
          <w:b/>
          <w:bCs/>
        </w:rPr>
        <w:t>cquisition</w:t>
      </w:r>
    </w:p>
    <w:p w14:paraId="61BA5D71" w14:textId="013C1AC8" w:rsidR="00D20717" w:rsidRPr="007061DD" w:rsidRDefault="00D20717" w:rsidP="00DC0ED9">
      <w:pPr>
        <w:spacing w:after="0" w:line="360" w:lineRule="auto"/>
        <w:jc w:val="both"/>
        <w:rPr>
          <w:rFonts w:ascii="Times New Roman" w:hAnsi="Times New Roman" w:cs="Times New Roman"/>
        </w:rPr>
      </w:pPr>
      <w:r w:rsidRPr="007061DD">
        <w:rPr>
          <w:rFonts w:ascii="Times New Roman" w:hAnsi="Times New Roman" w:cs="Times New Roman"/>
        </w:rPr>
        <w:t>For each</w:t>
      </w:r>
      <w:r w:rsidR="0009398C" w:rsidRPr="007061DD">
        <w:rPr>
          <w:rFonts w:ascii="Times New Roman" w:hAnsi="Times New Roman" w:cs="Times New Roman"/>
        </w:rPr>
        <w:t xml:space="preserve"> healthy control (</w:t>
      </w:r>
      <w:r w:rsidRPr="007061DD">
        <w:rPr>
          <w:rFonts w:ascii="Times New Roman" w:hAnsi="Times New Roman" w:cs="Times New Roman"/>
        </w:rPr>
        <w:t>HC</w:t>
      </w:r>
      <w:r w:rsidR="0009398C" w:rsidRPr="007061DD">
        <w:rPr>
          <w:rFonts w:ascii="Times New Roman" w:hAnsi="Times New Roman" w:cs="Times New Roman"/>
        </w:rPr>
        <w:t>)</w:t>
      </w:r>
      <w:r w:rsidRPr="007061DD">
        <w:rPr>
          <w:rFonts w:ascii="Times New Roman" w:hAnsi="Times New Roman" w:cs="Times New Roman"/>
        </w:rPr>
        <w:t xml:space="preserve">, a structural MRI scan was acquired on a Siemens </w:t>
      </w:r>
      <w:proofErr w:type="spellStart"/>
      <w:r w:rsidRPr="007061DD">
        <w:rPr>
          <w:rFonts w:ascii="Times New Roman" w:hAnsi="Times New Roman" w:cs="Times New Roman"/>
        </w:rPr>
        <w:t>Magnetom</w:t>
      </w:r>
      <w:proofErr w:type="spellEnd"/>
      <w:r w:rsidRPr="007061DD">
        <w:rPr>
          <w:rFonts w:ascii="Times New Roman" w:hAnsi="Times New Roman" w:cs="Times New Roman"/>
        </w:rPr>
        <w:t xml:space="preserve"> </w:t>
      </w:r>
      <w:proofErr w:type="spellStart"/>
      <w:r w:rsidRPr="007061DD">
        <w:rPr>
          <w:rFonts w:ascii="Times New Roman" w:hAnsi="Times New Roman" w:cs="Times New Roman"/>
        </w:rPr>
        <w:t>Prisma</w:t>
      </w:r>
      <w:r w:rsidRPr="007061DD">
        <w:rPr>
          <w:rFonts w:ascii="Times New Roman" w:hAnsi="Times New Roman" w:cs="Times New Roman"/>
          <w:vertAlign w:val="superscript"/>
        </w:rPr>
        <w:t>fit</w:t>
      </w:r>
      <w:proofErr w:type="spellEnd"/>
      <w:r w:rsidRPr="007061DD">
        <w:rPr>
          <w:rFonts w:ascii="Times New Roman" w:hAnsi="Times New Roman" w:cs="Times New Roman"/>
        </w:rPr>
        <w:t xml:space="preserve"> scanner, with a 3D sagittal T1-weighted magnetization-prepared 180° radio-frequency pulses and rapid gradient-echo multi-echo sequence (TE = 1.81, 3.6, 5.39, 7.18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TR = 2500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TI = 1000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and voxels size of 0.8×0.8×0.8 mm</w:t>
      </w:r>
      <w:r w:rsidRPr="007061DD">
        <w:rPr>
          <w:rFonts w:ascii="Times New Roman" w:hAnsi="Times New Roman" w:cs="Times New Roman"/>
          <w:vertAlign w:val="superscript"/>
        </w:rPr>
        <w:t>3</w:t>
      </w:r>
      <w:r w:rsidRPr="007061DD">
        <w:rPr>
          <w:rFonts w:ascii="Times New Roman" w:hAnsi="Times New Roman" w:cs="Times New Roman"/>
        </w:rPr>
        <w:t>). The final T1-weighted image was obtained by averaging the first two echoes</w:t>
      </w:r>
      <w:r w:rsidRPr="007061DD">
        <w:rPr>
          <w:rFonts w:ascii="Times New Roman" w:hAnsi="Times New Roman" w:cs="Times New Roman"/>
        </w:rPr>
        <w:fldChar w:fldCharType="begin" w:fldLock="1"/>
      </w:r>
      <w:r w:rsidR="001D7DE4" w:rsidRPr="007061DD">
        <w:rPr>
          <w:rFonts w:ascii="Times New Roman" w:hAnsi="Times New Roman" w:cs="Times New Roman"/>
        </w:rPr>
        <w:instrText>ADDIN CSL_CITATION {"citationItems":[{"id":"ITEM-1","itemData":{"DOI":"10.1016/j.neuroimage.2021.118543","ISSN":"10959572","PMID":"34508893","abstract":"The Human Connectome Project (HCP) was launched in 2010 as an ambitious effort to accelerate advances in human neuroimaging, particularly for measures of brain connectivity; apply these advances to study a large number of healthy young adults; and freely share the data and tools with the scientific community. NIH awarded grants to two consortia; this retrospective focuses on the “WU-Minn-Ox” HCP consortium centered at Washington University, the University of Minnesota, and University of Oxford. In just over 6 years, the WU-Minn-Ox consortium succeeded in its core objectives by: 1) improving MR scanner hardware, pulse sequence design, and image reconstruction methods, 2) acquiring and analyzing multimodal MRI and MEG data of unprecedented quality together with behavioral measures from more than 1100 HCP participants, and 3) freely sharing the data (via the ConnectomeDB database) and associated analysis and visualization tools. To date, more than 27 Petabytes of data have been shared, and 1538 papers acknowledging HCP data use have been published. The “HCP-style” neuroimaging paradigm has emerged as a set of best-practice strategies for optimizing data acquisition and analysis. This article reviews the history of the HCP, including comments on key events and decisions associated with major project components. We discuss several scientific advances using HCP data, including improved cortical parcellations, analyses of connectivity based on functional and diffusion MRI, and analyses of brain-behavior relationships. We also touch upon our efforts to develop and share a variety of associated data processing and analysis tools along with detailed documentation, tutorials, and an educational course to train the next generation of neuroimagers. We conclude with a look forward at opportunities and challenges facing the human neuroimaging field from the perspective of the HCP consortium.","author":[{"dropping-particle":"","family":"Elam","given":"Jennifer Stine","non-dropping-particle":"","parse-names":false,"suffix":""},{"dropping-particle":"","family":"Glasser","given":"Matthew F.","non-dropping-particle":"","parse-names":false,"suffix":""},{"dropping-particle":"","family":"Harms","given":"Michael P.","non-dropping-particle":"","parse-names":false,"suffix":""},{"dropping-particle":"","family":"Sotiropoulos","given":"Stamatios N.","non-dropping-particle":"","parse-names":false,"suffix":""},{"dropping-particle":"","family":"Andersson","given":"Jesper L.R.","non-dropping-particle":"","parse-names":false,"suffix":""},{"dropping-particle":"","family":"Burgess","given":"Gregory C.","non-dropping-particle":"","parse-names":false,"suffix":""},{"dropping-particle":"","family":"Curtiss","given":"Sandra W.","non-dropping-particle":"","parse-names":false,"suffix":""},{"dropping-particle":"","family":"Oostenveld","given":"Robert","non-dropping-particle":"","parse-names":false,"suffix":""},{"dropping-particle":"","family":"Larson-Prior","given":"Linda J.","non-dropping-particle":"","parse-names":false,"suffix":""},{"dropping-particle":"","family":"Schoffelen","given":"Jan Mathijs","non-dropping-particle":"","parse-names":false,"suffix":""},{"dropping-particle":"","family":"Hodge","given":"Michael R.","non-dropping-particle":"","parse-names":false,"suffix":""},{"dropping-particle":"","family":"Cler","given":"Eileen A.","non-dropping-particle":"","parse-names":false,"suffix":""},{"dropping-particle":"","family":"Marcus","given":"Daniel M.","non-dropping-particle":"","parse-names":false,"suffix":""},{"dropping-particle":"","family":"Barch","given":"Deanna M.","non-dropping-particle":"","parse-names":false,"suffix":""},{"dropping-particle":"","family":"Yacoub","given":"Essa","non-dropping-particle":"","parse-names":false,"suffix":""},{"dropping-particle":"","family":"Smith","given":"Stephen M.","non-dropping-particle":"","parse-names":false,"suffix":""},{"dropping-particle":"","family":"Ugurbil","given":"Kamil","non-dropping-particle":"","parse-names":false,"suffix":""},{"dropping-particle":"","family":"Essen","given":"David C.","non-dropping-particle":"Van","parse-names":false,"suffix":""}],"container-title":"NeuroImage","id":"ITEM-1","issue":"May","issued":{"date-parts":[["2021"]]},"page":"118543","publisher":"Elsevier Inc.","title":"The Human Connectome Project: A retrospective","type":"article-journal","volume":"244"},"uris":["http://www.mendeley.com/documents/?uuid=4d5eacf0-cc1f-499b-a56e-9263147a1f2b"]}],"mendeley":{"formattedCitation":"&lt;sup&gt;1&lt;/sup&gt;","plainTextFormattedCitation":"1","previouslyFormattedCitation":"&lt;sup&gt;1&lt;/sup&gt;"},"properties":{"noteIndex":0},"schema":"https://github.com/citation-style-language/schema/raw/master/csl-citation.json"}</w:instrText>
      </w:r>
      <w:r w:rsidRPr="007061DD">
        <w:rPr>
          <w:rFonts w:ascii="Times New Roman" w:hAnsi="Times New Roman" w:cs="Times New Roman"/>
        </w:rPr>
        <w:fldChar w:fldCharType="separate"/>
      </w:r>
      <w:r w:rsidR="00E979EE" w:rsidRPr="007061DD">
        <w:rPr>
          <w:rFonts w:ascii="Times New Roman" w:hAnsi="Times New Roman" w:cs="Times New Roman"/>
          <w:noProof/>
          <w:vertAlign w:val="superscript"/>
        </w:rPr>
        <w:t>1</w:t>
      </w:r>
      <w:r w:rsidRPr="007061DD">
        <w:rPr>
          <w:rFonts w:ascii="Times New Roman" w:hAnsi="Times New Roman" w:cs="Times New Roman"/>
        </w:rPr>
        <w:fldChar w:fldCharType="end"/>
      </w:r>
      <w:r w:rsidRPr="007061DD">
        <w:rPr>
          <w:rFonts w:ascii="Times New Roman" w:hAnsi="Times New Roman" w:cs="Times New Roman"/>
        </w:rPr>
        <w:t>. Dynamic PET acquisitions (60</w:t>
      </w:r>
      <w:r w:rsidR="00101FA4" w:rsidRPr="007061DD">
        <w:rPr>
          <w:rFonts w:ascii="Times New Roman" w:hAnsi="Times New Roman" w:cs="Times New Roman"/>
        </w:rPr>
        <w:t xml:space="preserve"> </w:t>
      </w:r>
      <w:r w:rsidRPr="007061DD">
        <w:rPr>
          <w:rFonts w:ascii="Times New Roman" w:hAnsi="Times New Roman" w:cs="Times New Roman"/>
        </w:rPr>
        <w:t>minute</w:t>
      </w:r>
      <w:r w:rsidR="00101FA4" w:rsidRPr="007061DD">
        <w:rPr>
          <w:rFonts w:ascii="Times New Roman" w:hAnsi="Times New Roman" w:cs="Times New Roman"/>
        </w:rPr>
        <w:t>s</w:t>
      </w:r>
      <w:r w:rsidRPr="007061DD">
        <w:rPr>
          <w:rFonts w:ascii="Times New Roman" w:hAnsi="Times New Roman" w:cs="Times New Roman"/>
        </w:rPr>
        <w:t>) were performed following an intravenous bolus injection of 187.7 ± 12.1 MBq and reconstructed by filtered back-projection (ramp filter, 5 mm FWHM).</w:t>
      </w:r>
    </w:p>
    <w:p w14:paraId="4FFF482F" w14:textId="0B703A9B" w:rsidR="00510A8D" w:rsidRPr="007061DD" w:rsidRDefault="00510A8D"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Patient data were acquired on a 3T Siemens Biograph PET/MR scanner. Anatomical images comprised a T1-weighted (T1w) 3D magnetization-prepared rapid gradient-echo acquisition (TE=3.24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w:t>
      </w:r>
      <w:r w:rsidR="004D675C" w:rsidRPr="007061DD">
        <w:rPr>
          <w:rFonts w:ascii="Times New Roman" w:hAnsi="Times New Roman" w:cs="Times New Roman"/>
        </w:rPr>
        <w:t xml:space="preserve">TR=2400 </w:t>
      </w:r>
      <w:proofErr w:type="spellStart"/>
      <w:r w:rsidR="004D675C" w:rsidRPr="007061DD">
        <w:rPr>
          <w:rFonts w:ascii="Times New Roman" w:hAnsi="Times New Roman" w:cs="Times New Roman"/>
        </w:rPr>
        <w:t>ms</w:t>
      </w:r>
      <w:proofErr w:type="spellEnd"/>
      <w:r w:rsidR="004D675C" w:rsidRPr="007061DD">
        <w:rPr>
          <w:rFonts w:ascii="Times New Roman" w:hAnsi="Times New Roman" w:cs="Times New Roman"/>
        </w:rPr>
        <w:t xml:space="preserve">, </w:t>
      </w:r>
      <w:r w:rsidRPr="007061DD">
        <w:rPr>
          <w:rFonts w:ascii="Times New Roman" w:hAnsi="Times New Roman" w:cs="Times New Roman"/>
        </w:rPr>
        <w:t xml:space="preserve">TI=1000 </w:t>
      </w:r>
      <w:proofErr w:type="spellStart"/>
      <w:r w:rsidRPr="007061DD">
        <w:rPr>
          <w:rFonts w:ascii="Times New Roman" w:hAnsi="Times New Roman" w:cs="Times New Roman"/>
        </w:rPr>
        <w:t>ms</w:t>
      </w:r>
      <w:proofErr w:type="spellEnd"/>
      <w:r w:rsidRPr="007061DD">
        <w:rPr>
          <w:rFonts w:ascii="Times New Roman" w:hAnsi="Times New Roman" w:cs="Times New Roman"/>
        </w:rPr>
        <w:t>, FA=8°, FOV=256×256 mm, voxel size=1×1×1 mm</w:t>
      </w:r>
      <w:r w:rsidRPr="007061DD">
        <w:rPr>
          <w:rFonts w:ascii="Times New Roman" w:hAnsi="Times New Roman" w:cs="Times New Roman"/>
          <w:vertAlign w:val="superscript"/>
        </w:rPr>
        <w:t>3</w:t>
      </w:r>
      <w:r w:rsidRPr="007061DD">
        <w:rPr>
          <w:rFonts w:ascii="Times New Roman" w:hAnsi="Times New Roman" w:cs="Times New Roman"/>
        </w:rPr>
        <w:t xml:space="preserve">) acquired both before and after contrast agent injection, a 3D T2-weighted image (TR=3200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TE=535 </w:t>
      </w:r>
      <w:proofErr w:type="spellStart"/>
      <w:r w:rsidRPr="007061DD">
        <w:rPr>
          <w:rFonts w:ascii="Times New Roman" w:hAnsi="Times New Roman" w:cs="Times New Roman"/>
        </w:rPr>
        <w:t>ms</w:t>
      </w:r>
      <w:proofErr w:type="spellEnd"/>
      <w:r w:rsidRPr="007061DD">
        <w:rPr>
          <w:rFonts w:ascii="Times New Roman" w:hAnsi="Times New Roman" w:cs="Times New Roman"/>
        </w:rPr>
        <w:t>, FOV=256×256 mm, voxel size=1×1×1 mm</w:t>
      </w:r>
      <w:r w:rsidRPr="007061DD">
        <w:rPr>
          <w:rFonts w:ascii="Times New Roman" w:hAnsi="Times New Roman" w:cs="Times New Roman"/>
          <w:vertAlign w:val="superscript"/>
        </w:rPr>
        <w:t>3</w:t>
      </w:r>
      <w:r w:rsidRPr="007061DD">
        <w:rPr>
          <w:rFonts w:ascii="Times New Roman" w:hAnsi="Times New Roman" w:cs="Times New Roman"/>
        </w:rPr>
        <w:t xml:space="preserve">) and a 3D fluid attenuation inversion recovery image (TR=5000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TE=284 </w:t>
      </w:r>
      <w:proofErr w:type="spellStart"/>
      <w:r w:rsidRPr="007061DD">
        <w:rPr>
          <w:rFonts w:ascii="Times New Roman" w:hAnsi="Times New Roman" w:cs="Times New Roman"/>
        </w:rPr>
        <w:t>ms</w:t>
      </w:r>
      <w:proofErr w:type="spellEnd"/>
      <w:r w:rsidRPr="007061DD">
        <w:rPr>
          <w:rFonts w:ascii="Times New Roman" w:hAnsi="Times New Roman" w:cs="Times New Roman"/>
        </w:rPr>
        <w:t xml:space="preserve">, TI=1800 </w:t>
      </w:r>
      <w:proofErr w:type="spellStart"/>
      <w:r w:rsidRPr="007061DD">
        <w:rPr>
          <w:rFonts w:ascii="Times New Roman" w:hAnsi="Times New Roman" w:cs="Times New Roman"/>
        </w:rPr>
        <w:t>ms</w:t>
      </w:r>
      <w:proofErr w:type="spellEnd"/>
      <w:r w:rsidRPr="007061DD">
        <w:rPr>
          <w:rFonts w:ascii="Times New Roman" w:hAnsi="Times New Roman" w:cs="Times New Roman"/>
        </w:rPr>
        <w:t>, FOV=256×256 mm, voxel size=1×1×1 mm</w:t>
      </w:r>
      <w:r w:rsidRPr="007061DD">
        <w:rPr>
          <w:rFonts w:ascii="Times New Roman" w:hAnsi="Times New Roman" w:cs="Times New Roman"/>
          <w:vertAlign w:val="superscript"/>
        </w:rPr>
        <w:t>3</w:t>
      </w:r>
      <w:r w:rsidRPr="007061DD">
        <w:rPr>
          <w:rFonts w:ascii="Times New Roman" w:hAnsi="Times New Roman" w:cs="Times New Roman"/>
        </w:rPr>
        <w:t>). Dynamic PET acquisitions (60</w:t>
      </w:r>
      <w:r w:rsidR="00101FA4" w:rsidRPr="007061DD">
        <w:rPr>
          <w:rFonts w:ascii="Times New Roman" w:hAnsi="Times New Roman" w:cs="Times New Roman"/>
        </w:rPr>
        <w:t xml:space="preserve"> </w:t>
      </w:r>
      <w:r w:rsidRPr="007061DD">
        <w:rPr>
          <w:rFonts w:ascii="Times New Roman" w:hAnsi="Times New Roman" w:cs="Times New Roman"/>
        </w:rPr>
        <w:t>minute</w:t>
      </w:r>
      <w:r w:rsidR="00101FA4" w:rsidRPr="007061DD">
        <w:rPr>
          <w:rFonts w:ascii="Times New Roman" w:hAnsi="Times New Roman" w:cs="Times New Roman"/>
        </w:rPr>
        <w:t>s</w:t>
      </w:r>
      <w:r w:rsidRPr="007061DD">
        <w:rPr>
          <w:rFonts w:ascii="Times New Roman" w:hAnsi="Times New Roman" w:cs="Times New Roman"/>
        </w:rPr>
        <w:t>) were performed following an intravenous bolus injection of 203 ± 40 MBq and images were reconstructed using the OSEM algorithm from list-mode data.</w:t>
      </w:r>
    </w:p>
    <w:p w14:paraId="08F48854" w14:textId="77777777" w:rsidR="00A37B1C" w:rsidRPr="007061DD" w:rsidRDefault="00A37B1C" w:rsidP="00DC0ED9">
      <w:pPr>
        <w:spacing w:after="0" w:line="360" w:lineRule="auto"/>
        <w:rPr>
          <w:rFonts w:ascii="Times New Roman" w:hAnsi="Times New Roman" w:cs="Times New Roman"/>
          <w:b/>
          <w:bCs/>
        </w:rPr>
      </w:pPr>
    </w:p>
    <w:p w14:paraId="75D159F5" w14:textId="3DFC0910" w:rsidR="00D57F37" w:rsidRPr="007061DD" w:rsidRDefault="00145949" w:rsidP="00DC0ED9">
      <w:pPr>
        <w:spacing w:after="0" w:line="360" w:lineRule="auto"/>
        <w:jc w:val="both"/>
        <w:rPr>
          <w:rFonts w:ascii="Times New Roman" w:hAnsi="Times New Roman" w:cs="Times New Roman"/>
          <w:b/>
          <w:bCs/>
          <w:color w:val="000000" w:themeColor="text1"/>
        </w:rPr>
      </w:pPr>
      <w:r w:rsidRPr="007061DD">
        <w:rPr>
          <w:rFonts w:ascii="Times New Roman" w:hAnsi="Times New Roman" w:cs="Times New Roman"/>
          <w:b/>
          <w:bCs/>
          <w:color w:val="000000" w:themeColor="text1"/>
        </w:rPr>
        <w:t>Cortical atlas definition</w:t>
      </w:r>
    </w:p>
    <w:p w14:paraId="06B109BA" w14:textId="488DA36B" w:rsidR="00145949" w:rsidRPr="007061DD" w:rsidRDefault="3E02A28B" w:rsidP="00DC0ED9">
      <w:pPr>
        <w:spacing w:after="0" w:line="360" w:lineRule="auto"/>
        <w:jc w:val="both"/>
        <w:rPr>
          <w:rFonts w:ascii="Times New Roman" w:hAnsi="Times New Roman" w:cs="Times New Roman"/>
          <w:color w:val="000000" w:themeColor="text1"/>
        </w:rPr>
      </w:pPr>
      <w:r w:rsidRPr="007061DD">
        <w:rPr>
          <w:rFonts w:ascii="Times New Roman" w:hAnsi="Times New Roman" w:cs="Times New Roman"/>
          <w:color w:val="000000" w:themeColor="text1"/>
        </w:rPr>
        <w:t>The</w:t>
      </w:r>
      <w:r w:rsidR="00AF6F2D" w:rsidRPr="007061DD">
        <w:rPr>
          <w:rFonts w:ascii="Times New Roman" w:hAnsi="Times New Roman" w:cs="Times New Roman"/>
          <w:color w:val="000000" w:themeColor="text1"/>
        </w:rPr>
        <w:t xml:space="preserve"> cortical parcellation </w:t>
      </w:r>
      <w:r w:rsidR="0236CFF3" w:rsidRPr="007061DD">
        <w:rPr>
          <w:rFonts w:ascii="Times New Roman" w:hAnsi="Times New Roman" w:cs="Times New Roman"/>
          <w:color w:val="000000" w:themeColor="text1"/>
        </w:rPr>
        <w:t xml:space="preserve">employed in this study </w:t>
      </w:r>
      <w:r w:rsidR="00AF6F2D" w:rsidRPr="007061DD">
        <w:rPr>
          <w:rFonts w:ascii="Times New Roman" w:hAnsi="Times New Roman" w:cs="Times New Roman"/>
          <w:color w:val="000000" w:themeColor="text1"/>
        </w:rPr>
        <w:t>compris</w:t>
      </w:r>
      <w:r w:rsidR="721851BE" w:rsidRPr="007061DD">
        <w:rPr>
          <w:rFonts w:ascii="Times New Roman" w:hAnsi="Times New Roman" w:cs="Times New Roman"/>
          <w:color w:val="000000" w:themeColor="text1"/>
        </w:rPr>
        <w:t>es</w:t>
      </w:r>
      <w:r w:rsidR="00AF6F2D" w:rsidRPr="007061DD">
        <w:rPr>
          <w:rFonts w:ascii="Times New Roman" w:hAnsi="Times New Roman" w:cs="Times New Roman"/>
          <w:color w:val="000000" w:themeColor="text1"/>
        </w:rPr>
        <w:t xml:space="preserve"> 74 regions derived from the </w:t>
      </w:r>
      <w:r w:rsidR="00B20C43" w:rsidRPr="007061DD">
        <w:rPr>
          <w:rFonts w:ascii="Times New Roman" w:hAnsi="Times New Roman" w:cs="Times New Roman"/>
          <w:color w:val="000000" w:themeColor="text1"/>
        </w:rPr>
        <w:t xml:space="preserve">Yan </w:t>
      </w:r>
      <w:r w:rsidR="00AF6F2D" w:rsidRPr="007061DD">
        <w:rPr>
          <w:rFonts w:ascii="Times New Roman" w:hAnsi="Times New Roman" w:cs="Times New Roman"/>
          <w:color w:val="000000" w:themeColor="text1"/>
        </w:rPr>
        <w:t>100-area atlas</w:t>
      </w:r>
      <w:r w:rsidR="00B20C43" w:rsidRPr="007061DD">
        <w:rPr>
          <w:rFonts w:ascii="Times New Roman" w:hAnsi="Times New Roman" w:cs="Times New Roman"/>
          <w:color w:val="000000" w:themeColor="text1"/>
        </w:rPr>
        <w:fldChar w:fldCharType="begin" w:fldLock="1"/>
      </w:r>
      <w:r w:rsidR="00B20C43" w:rsidRPr="007061DD">
        <w:rPr>
          <w:rFonts w:ascii="Times New Roman" w:hAnsi="Times New Roman" w:cs="Times New Roman"/>
          <w:color w:val="000000" w:themeColor="text1"/>
        </w:rPr>
        <w:instrText>ADDIN CSL_CITATION {"citationItems":[{"id":"ITEM-1","itemData":{"DOI":"10.1016/j.neuroimage.2023.120010","ISSN":"10538119","PMID":"36918136","abstract":"Resting-state fMRI is commonly used to derive brain parcellations, which are widely used for dimensionality reduction and interpreting human neuroscience studies. We previously developed a model that integrates local and global approaches for estimating areal-level cortical parcellations. The resulting local-global parcellations are often referred to as the Schaefer parcellations. However, the lack of homotopic correspondence between left and right Schaefer parcels has limited their use for...","author":[{"dropping-particle":"","family":"Yan","given":"Xiaoxuan","non-dropping-particle":"","parse-names":false,"suffix":""},{"dropping-particle":"","family":"Kong","given":"Ru","non-dropping-particle":"","parse-names":false,"suffix":""},{"dropping-particle":"","family":"Xue","given":"Aihuiping","non-dropping-particle":"","parse-names":false,"suffix":""},{"dropping-particle":"","family":"Yang","given":"Qing","non-dropping-particle":"","parse-names":false,"suffix":""},{"dropping-particle":"","family":"Orban","given":"Csaba","non-dropping-particle":"","parse-names":false,"suffix":""},{"dropping-particle":"","family":"An","given":"Lijun","non-dropping-particle":"","parse-names":false,"suffix":""},{"dropping-particle":"","family":"Holmes","given":"Avram J.","non-dropping-particle":"","parse-names":false,"suffix":""},{"dropping-particle":"","family":"Qian","given":"Xing","non-dropping-particle":"","parse-names":false,"suffix":""},{"dropping-particle":"","family":"Chen","given":"Jianzhong","non-dropping-particle":"","parse-names":false,"suffix":""},{"dropping-particle":"","family":"Zuo","given":"Xi-Nian","non-dropping-particle":"","parse-names":false,"suffix":""},{"dropping-particle":"","family":"Zhou","given":"Juan Helen","non-dropping-particle":"","parse-names":false,"suffix":""},{"dropping-particle":"V","family":"Fortier","given":"Marielle","non-dropping-particle":"","parse-names":false,"suffix":""},{"dropping-particle":"","family":"Tan","given":"Ai Peng","non-dropping-particle":"","parse-names":false,"suffix":""},{"dropping-particle":"","family":"Gluckman","given":"Peter","non-dropping-particle":"","parse-names":false,"suffix":""},{"dropping-particle":"","family":"Chong","given":"Yap Seng","non-dropping-particle":"","parse-names":false,"suffix":""},{"dropping-particle":"","family":"Meaney","given":"Michael J","non-dropping-particle":"","parse-names":false,"suffix":""},{"dropping-particle":"","family":"Bzdok","given":"Danilo","non-dropping-particle":"","parse-names":false,"suffix":""},{"dropping-particle":"","family":"Eickhoff","given":"Simon B.","non-dropping-particle":"","parse-names":false,"suffix":""},{"dropping-particle":"","family":"Yeo","given":"B.T. Thomas","non-dropping-particle":"","parse-names":false,"suffix":""}],"container-title":"NeuroImage","id":"ITEM-1","issue":"October 2022","issued":{"date-parts":[["2023"]]},"page":"120010","publisher":"Elsevier Inc.","title":"Homotopic local-global parcellation of the human cerebral cortex from resting-state functional connectivity","type":"article-journal","volume":"273"},"uris":["http://www.mendeley.com/documents/?uuid=c25881fe-3554-46e4-a76d-29da74a40fc8"]}],"mendeley":{"formattedCitation":"&lt;sup&gt;2&lt;/sup&gt;","plainTextFormattedCitation":"2","previouslyFormattedCitation":"&lt;sup&gt;2&lt;/sup&gt;"},"properties":{"noteIndex":0},"schema":"https://github.com/citation-style-language/schema/raw/master/csl-citation.json"}</w:instrText>
      </w:r>
      <w:r w:rsidR="00B20C43" w:rsidRPr="007061DD">
        <w:rPr>
          <w:rFonts w:ascii="Times New Roman" w:hAnsi="Times New Roman" w:cs="Times New Roman"/>
          <w:color w:val="000000" w:themeColor="text1"/>
        </w:rPr>
        <w:fldChar w:fldCharType="separate"/>
      </w:r>
      <w:r w:rsidR="00B20C43" w:rsidRPr="007061DD">
        <w:rPr>
          <w:rFonts w:ascii="Times New Roman" w:hAnsi="Times New Roman" w:cs="Times New Roman"/>
          <w:noProof/>
          <w:color w:val="000000" w:themeColor="text1"/>
          <w:vertAlign w:val="superscript"/>
        </w:rPr>
        <w:t>2</w:t>
      </w:r>
      <w:r w:rsidR="00B20C43" w:rsidRPr="007061DD">
        <w:rPr>
          <w:rFonts w:ascii="Times New Roman" w:hAnsi="Times New Roman" w:cs="Times New Roman"/>
          <w:color w:val="000000" w:themeColor="text1"/>
        </w:rPr>
        <w:fldChar w:fldCharType="end"/>
      </w:r>
      <w:r w:rsidR="00FE40E9" w:rsidRPr="007061DD">
        <w:rPr>
          <w:rFonts w:ascii="Times New Roman" w:hAnsi="Times New Roman" w:cs="Times New Roman"/>
          <w:color w:val="000000" w:themeColor="text1"/>
        </w:rPr>
        <w:t>, which</w:t>
      </w:r>
      <w:r w:rsidR="00AF6F2D" w:rsidRPr="007061DD">
        <w:rPr>
          <w:rFonts w:ascii="Times New Roman" w:hAnsi="Times New Roman" w:cs="Times New Roman"/>
          <w:color w:val="000000" w:themeColor="text1"/>
        </w:rPr>
        <w:t xml:space="preserve"> builds upon the </w:t>
      </w:r>
      <w:r w:rsidR="00B20C43" w:rsidRPr="007061DD">
        <w:rPr>
          <w:rFonts w:ascii="Times New Roman" w:hAnsi="Times New Roman" w:cs="Times New Roman"/>
          <w:color w:val="000000" w:themeColor="text1"/>
        </w:rPr>
        <w:t xml:space="preserve">Schaefer </w:t>
      </w:r>
      <w:r w:rsidR="00AF6F2D" w:rsidRPr="007061DD">
        <w:rPr>
          <w:rFonts w:ascii="Times New Roman" w:hAnsi="Times New Roman" w:cs="Times New Roman"/>
          <w:color w:val="000000" w:themeColor="text1"/>
        </w:rPr>
        <w:t>atlas</w:t>
      </w:r>
      <w:r w:rsidR="00B20C43" w:rsidRPr="007061DD">
        <w:rPr>
          <w:rFonts w:ascii="Times New Roman" w:hAnsi="Times New Roman" w:cs="Times New Roman"/>
          <w:color w:val="000000" w:themeColor="text1"/>
        </w:rPr>
        <w:fldChar w:fldCharType="begin" w:fldLock="1"/>
      </w:r>
      <w:r w:rsidR="00DE0841" w:rsidRPr="007061DD">
        <w:rPr>
          <w:rFonts w:ascii="Times New Roman" w:hAnsi="Times New Roman" w:cs="Times New Roman"/>
          <w:color w:val="000000" w:themeColor="text1"/>
        </w:rPr>
        <w:instrText>ADDIN CSL_CITATION {"citationItems":[{"id":"ITEM-1","itemData":{"DOI":"10.1093/cercor/bhx179","ISSN":"1047-3211","abstract":"A central goal in systems neuroscience is the parcellation of the cerebral cortex into discrete neurobiological \"atoms\". Resting-state functional magnetic resonance imaging (rs-fMRI) offers the possibility of in vivo human cortical parcellation. Almost all previous parcellations relied on 1 of 2 approaches. The local gradient approach detects abrupt transitions in functional connectivity patterns. These transitions potentially reflect cortical areal boundaries defined by histology or visuotopic fMRI. By contrast, the global similarity approach clusters similar functional connectivity patterns regardless of spatial proximity, resulting in parcels with homogeneous (similar) rs-fMRI signals. Here, we propose a gradient-weighted Markov Random Field (gwMRF) model integrating local gradient and global similarity approaches. Using task-fMRI and rs-fMRI across diverse acquisition protocols, we found gwMRF parcellations to be more homogeneous than 4 previously published parcellations. Furthermore, gwMRF parcellations agreed with the boundaries of certain cortical areas defined using histology and visuotopic fMRI. Some parcels captured subareal (somatotopic and visuotopic) features that likely reflect distinct computational units within known cortical areas. These results suggest that gwMRF parcellations reveal neurobiologically meaningful features of brain organization and are potentially useful for future applications requiring dimensionality reduction of voxel-wise fMRI data. Multiresolution parcellations generated from 1489 participants are publicly available (https://github.com/ThomasYeoLab/CBIG/ tree/master/stable_projects/brain_parcellation/Schaefer2018_LocalGlobal).","author":[{"dropping-particle":"","family":"Schaefer","given":"Alexander","non-dropping-particle":"","parse-names":false,"suffix":""},{"dropping-particle":"","family":"Kong","given":"Ru","non-dropping-particle":"","parse-names":false,"suffix":""},{"dropping-particle":"","family":"Gordon","given":"Evan M","non-dropping-particle":"","parse-names":false,"suffix":""},{"dropping-particle":"","family":"Laumann","given":"Timothy O","non-dropping-particle":"","parse-names":false,"suffix":""},{"dropping-particle":"","family":"Zuo","given":"Xi-Nian","non-dropping-particle":"","parse-names":false,"suffix":""},{"dropping-particle":"","family":"Holmes","given":"Avram J","non-dropping-particle":"","parse-names":false,"suffix":""},{"dropping-particle":"","family":"Eickhoff","given":"Simon B","non-dropping-particle":"","parse-names":false,"suffix":""},{"dropping-particle":"","family":"Yeo","given":"B T Thomas","non-dropping-particle":"","parse-names":false,"suffix":""}],"container-title":"Cerebral Cortex","id":"ITEM-1","issue":"9","issued":{"date-parts":[["2018"]]},"page":"3095-3114","title":"Local-Global Parcellation of the Human Cerebral Cortex from Intrinsic Functional Connectivity MRI","type":"article-journal","volume":"28"},"uris":["http://www.mendeley.com/documents/?uuid=f63f0213-8439-4f6b-b0a7-b737abfb18f6"]}],"mendeley":{"formattedCitation":"&lt;sup&gt;3&lt;/sup&gt;","plainTextFormattedCitation":"3","previouslyFormattedCitation":"&lt;sup&gt;3&lt;/sup&gt;"},"properties":{"noteIndex":0},"schema":"https://github.com/citation-style-language/schema/raw/master/csl-citation.json"}</w:instrText>
      </w:r>
      <w:r w:rsidR="00B20C43" w:rsidRPr="007061DD">
        <w:rPr>
          <w:rFonts w:ascii="Times New Roman" w:hAnsi="Times New Roman" w:cs="Times New Roman"/>
          <w:color w:val="000000" w:themeColor="text1"/>
        </w:rPr>
        <w:fldChar w:fldCharType="separate"/>
      </w:r>
      <w:r w:rsidR="00B20C43" w:rsidRPr="007061DD">
        <w:rPr>
          <w:rFonts w:ascii="Times New Roman" w:hAnsi="Times New Roman" w:cs="Times New Roman"/>
          <w:noProof/>
          <w:color w:val="000000" w:themeColor="text1"/>
          <w:vertAlign w:val="superscript"/>
        </w:rPr>
        <w:t>3</w:t>
      </w:r>
      <w:r w:rsidR="00B20C43" w:rsidRPr="007061DD">
        <w:rPr>
          <w:rFonts w:ascii="Times New Roman" w:hAnsi="Times New Roman" w:cs="Times New Roman"/>
          <w:color w:val="000000" w:themeColor="text1"/>
        </w:rPr>
        <w:fldChar w:fldCharType="end"/>
      </w:r>
      <w:r w:rsidR="00AF6F2D" w:rsidRPr="007061DD">
        <w:rPr>
          <w:rFonts w:ascii="Times New Roman" w:hAnsi="Times New Roman" w:cs="Times New Roman"/>
          <w:color w:val="000000" w:themeColor="text1"/>
        </w:rPr>
        <w:t>, extending it to a new set of homotopic, area-level divisions that can more effectively capture the symmetric brain uptake of glucose</w:t>
      </w:r>
      <w:r w:rsidR="00DE0841" w:rsidRPr="007061DD">
        <w:rPr>
          <w:rFonts w:ascii="Times New Roman" w:hAnsi="Times New Roman" w:cs="Times New Roman"/>
          <w:color w:val="000000" w:themeColor="text1"/>
        </w:rPr>
        <w:fldChar w:fldCharType="begin" w:fldLock="1"/>
      </w:r>
      <w:r w:rsidR="00DE0841" w:rsidRPr="007061DD">
        <w:rPr>
          <w:rFonts w:ascii="Times New Roman" w:hAnsi="Times New Roman" w:cs="Times New Roman"/>
          <w:color w:val="000000" w:themeColor="text1"/>
        </w:rPr>
        <w:instrText>ADDIN CSL_CITATION {"citationItems":[{"id":"ITEM-1","itemData":{"DOI":"10.2214/AJR.13.12363","ISSN":"15463141","PMID":"25539279","abstract":"OBJECTIVE: We review the role of brain FDG PET in the diagnosis of Alzheimer disease, frontotemporal dementia, dementia with Lewy bodies, and vascular dementia. Characteristic spatial patterns of brain metabolism on FDG PET can help differentiate various subtypes of dementia.\nCONCLUSION: In patients with different subtypes of dementia, FDG PET/CT shows distinct spatial patterns of metabolism in the brain and can help clinicians to make a reasonably accurate and early diagnosis for appropriate management or prognosis.","author":[{"dropping-particle":"","family":"Shivamurthy","given":"Veeresh K.N.","non-dropping-particle":"","parse-names":false,"suffix":""},{"dropping-particle":"","family":"Tahari","given":"Abdel K.","non-dropping-particle":"","parse-names":false,"suffix":""},{"dropping-particle":"","family":"Marcus","given":"Charles","non-dropping-particle":"","parse-names":false,"suffix":""},{"dropping-particle":"","family":"Subramaniam","given":"Rathan M.","non-dropping-particle":"","parse-names":false,"suffix":""}],"container-title":"AJR. American journal of roentgenology","id":"ITEM-1","issue":"1","issued":{"date-parts":[["2015"]]},"page":"W76-W85","title":"Brain FDG PET and the diagnosis of dementia","type":"article-journal","volume":"204"},"uris":["http://www.mendeley.com/documents/?uuid=6056a46d-21f0-4a6c-a4a3-fb9cfa6837c7"]}],"mendeley":{"formattedCitation":"&lt;sup&gt;4&lt;/sup&gt;","plainTextFormattedCitation":"4","previouslyFormattedCitation":"&lt;sup&gt;4&lt;/sup&gt;"},"properties":{"noteIndex":0},"schema":"https://github.com/citation-style-language/schema/raw/master/csl-citation.json"}</w:instrText>
      </w:r>
      <w:r w:rsidR="00DE0841" w:rsidRPr="007061DD">
        <w:rPr>
          <w:rFonts w:ascii="Times New Roman" w:hAnsi="Times New Roman" w:cs="Times New Roman"/>
          <w:color w:val="000000" w:themeColor="text1"/>
        </w:rPr>
        <w:fldChar w:fldCharType="separate"/>
      </w:r>
      <w:r w:rsidR="00DE0841" w:rsidRPr="007061DD">
        <w:rPr>
          <w:rFonts w:ascii="Times New Roman" w:hAnsi="Times New Roman" w:cs="Times New Roman"/>
          <w:noProof/>
          <w:color w:val="000000" w:themeColor="text1"/>
          <w:vertAlign w:val="superscript"/>
        </w:rPr>
        <w:t>4</w:t>
      </w:r>
      <w:r w:rsidR="00DE0841" w:rsidRPr="007061DD">
        <w:rPr>
          <w:rFonts w:ascii="Times New Roman" w:hAnsi="Times New Roman" w:cs="Times New Roman"/>
          <w:color w:val="000000" w:themeColor="text1"/>
        </w:rPr>
        <w:fldChar w:fldCharType="end"/>
      </w:r>
      <w:r w:rsidR="00AF6F2D" w:rsidRPr="007061DD">
        <w:rPr>
          <w:rFonts w:ascii="Times New Roman" w:hAnsi="Times New Roman" w:cs="Times New Roman"/>
          <w:color w:val="000000" w:themeColor="text1"/>
        </w:rPr>
        <w:t xml:space="preserve">. </w:t>
      </w:r>
    </w:p>
    <w:p w14:paraId="6712D141" w14:textId="0EC40466" w:rsidR="00801540" w:rsidRPr="007061DD" w:rsidRDefault="00E0186C"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The decision to cluster the original atlas stems from the necessity to maintain the computational load of sparse DCM at a manageable level</w:t>
      </w:r>
      <w:r w:rsidR="00DE0841" w:rsidRPr="007061DD">
        <w:rPr>
          <w:rFonts w:ascii="Times New Roman" w:hAnsi="Times New Roman" w:cs="Times New Roman"/>
          <w:color w:val="000000" w:themeColor="text1"/>
          <w:lang w:val="en-GB"/>
        </w:rPr>
        <w:fldChar w:fldCharType="begin" w:fldLock="1"/>
      </w:r>
      <w:r w:rsidR="00723B20" w:rsidRPr="007061DD">
        <w:rPr>
          <w:rFonts w:ascii="Times New Roman" w:hAnsi="Times New Roman" w:cs="Times New Roman"/>
          <w:color w:val="000000" w:themeColor="text1"/>
          <w:lang w:val="en-GB"/>
        </w:rPr>
        <w:instrText>ADDIN CSL_CITATION {"citationItems":[{"id":"ITEM-1","itemData":{"DOI":"10.1016/j.neuroimage.2019.116367","ISSN":"10959572","PMID":"31812714","abstract":"Contemporary neuroscience has embraced network science and dynamical systems to study the complex and self-organized structure of the human brain. Despite the developments in non-invasive neuroimaging techniques, a full understanding of the directed interactions in whole brain networks, referred to as effective connectivity, as well as their role in the emergent brain dynamics is still lacking. The main reason is that estimating brain connectivity requires solving a formidable large-scale inverse problem from indirect and noisy measurements. Building on the dynamic causal modelling framework, the present study offers a novel method for estimating whole-brain effective connectivity from resting-state functional magnetic resonance data. To this purpose sparse estimation methods are adapted to infer the parameters of our novel model, which is based on a linearized, region-specific haemodynamic response function. The resulting algorithm, referred to as sparse DCM, is shown to compare favorably with state-of-the art methods when tested on both synthetic and real data. We also provide a graph-theoretical analysis on the whole-brain effective connectivity estimated using data from a cohort of healthy individuals, which reveals properties such as asymmetry in the connectivity structure as well as the different roles of brain areas in favoring segregation or integration.","author":[{"dropping-particle":"","family":"Prando","given":"Giulia","non-dropping-particle":"","parse-names":false,"suffix":""},{"dropping-particle":"","family":"Zorzi","given":"Mattia","non-dropping-particle":"","parse-names":false,"suffix":""},{"dropping-particle":"","family":"Bertoldo","given":"Alessandra","non-dropping-particle":"","parse-names":false,"suffix":""},{"dropping-particle":"","family":"Corbetta","given":"Maurizio","non-dropping-particle":"","parse-names":false,"suffix":""},{"dropping-particle":"","family":"Zorzi","given":"Marco","non-dropping-particle":"","parse-names":false,"suffix":""},{"dropping-particle":"","family":"Chiuso","given":"Alessandro","non-dropping-particle":"","parse-names":false,"suffix":""}],"container-title":"NeuroImage","id":"ITEM-1","issue":"December 2019","issued":{"date-parts":[["2020"]]},"page":"116367","publisher":"Elsevier Ltd","title":"Sparse DCM for whole-brain effective connectivity from resting-state fMRI data","type":"article-journal","volume":"208"},"uris":["http://www.mendeley.com/documents/?uuid=067e7778-372d-4e9c-af30-b79149cbe2f6"]}],"mendeley":{"formattedCitation":"&lt;sup&gt;5&lt;/sup&gt;","plainTextFormattedCitation":"5","previouslyFormattedCitation":"&lt;sup&gt;5&lt;/sup&gt;"},"properties":{"noteIndex":0},"schema":"https://github.com/citation-style-language/schema/raw/master/csl-citation.json"}</w:instrText>
      </w:r>
      <w:r w:rsidR="00DE0841" w:rsidRPr="007061DD">
        <w:rPr>
          <w:rFonts w:ascii="Times New Roman" w:hAnsi="Times New Roman" w:cs="Times New Roman"/>
          <w:color w:val="000000" w:themeColor="text1"/>
          <w:lang w:val="en-GB"/>
        </w:rPr>
        <w:fldChar w:fldCharType="separate"/>
      </w:r>
      <w:r w:rsidR="00DE0841" w:rsidRPr="007061DD">
        <w:rPr>
          <w:rFonts w:ascii="Times New Roman" w:hAnsi="Times New Roman" w:cs="Times New Roman"/>
          <w:noProof/>
          <w:color w:val="000000" w:themeColor="text1"/>
          <w:vertAlign w:val="superscript"/>
          <w:lang w:val="en-GB"/>
        </w:rPr>
        <w:t>5</w:t>
      </w:r>
      <w:r w:rsidR="00DE0841"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The clustered atlas was created by merging areas that were already functionally grouped in the atlas, as detailed by </w:t>
      </w:r>
      <w:r w:rsidR="005C4031" w:rsidRPr="007061DD">
        <w:rPr>
          <w:rFonts w:ascii="Times New Roman" w:hAnsi="Times New Roman" w:cs="Times New Roman"/>
          <w:color w:val="000000" w:themeColor="text1"/>
          <w:lang w:val="en-GB"/>
        </w:rPr>
        <w:t>Baron et al.</w:t>
      </w:r>
      <w:r w:rsidR="005C4031"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{"citationItems":[{"id":"ITEM-1","itemData":{"DOI":"https://doi.org/10.1101/2023.11.04.565625","ISBN":"0854046356","author":[{"dropping-particle":"","family":"D. Benozzo, G.Baggio","given":"G. Baron et al.","non-dropping-particle":"","parse-names":false,"suffix":""}],"container-title":"bioRxiv","id":"ITEM-1","issued":{"date-parts":[["2023"]]},"title":"Analyzing asymmetry in brain hierarchies with a linear state-space model of resting-state fMRI data","type":"article-journal"},"uris":["http://www.mendeley.com/documents/?uuid=c84bf04d-7a89-4b80-80c7-92f67a565274"]}],"mendeley":{"formattedCitation":"&lt;sup&gt;6&lt;/sup&gt;","plainTextFormattedCitation":"6"},"properties":{"noteIndex":0},"schema":"https://github.com/citation-style-language/schema/raw/master/csl-citation.json"}</w:instrText>
      </w:r>
      <w:r w:rsidR="005C4031"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6</w:t>
      </w:r>
      <w:r w:rsidR="005C4031"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while keeping other areas separate. Specifically, a consensus clustering procedure, similar to that described by </w:t>
      </w:r>
      <w:proofErr w:type="spellStart"/>
      <w:r w:rsidR="00723B20" w:rsidRPr="007061DD">
        <w:rPr>
          <w:rFonts w:ascii="Times New Roman" w:hAnsi="Times New Roman" w:cs="Times New Roman"/>
          <w:color w:val="000000" w:themeColor="text1"/>
          <w:lang w:val="en-GB"/>
        </w:rPr>
        <w:t>Ryali</w:t>
      </w:r>
      <w:proofErr w:type="spellEnd"/>
      <w:r w:rsidR="00723B20" w:rsidRPr="007061DD">
        <w:rPr>
          <w:rFonts w:ascii="Times New Roman" w:hAnsi="Times New Roman" w:cs="Times New Roman"/>
          <w:color w:val="000000" w:themeColor="text1"/>
          <w:lang w:val="en-GB"/>
        </w:rPr>
        <w:t xml:space="preserve"> et al.</w:t>
      </w:r>
      <w:r w:rsidR="00723B20"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{"citationItems":[{"id":"ITEM-1","itemData":{"DOI":"10.1016/j.jneumeth.2014.11.014","ISSN":"1872678X","PMID":"25450335","abstract":"Background: Clustering methods are increasingly employed to segment brain regions into functional subdivisions using resting-state functional magnetic resonance imaging (rs-fMRI). However, these methods are highly sensitive to the (i) precise algorithms employed, (ii) their initializations, and (iii) metrics used for uncovering the optimal number of clusters from the data. New method: To address these issues, we develop a novel consensus clustering evidence accumulation (CC-EAC) framework, which effectively combines multiple clustering methods for segmenting brain regions using rs-fMRI data. Using extensive computer simulations, we examine the performance of widely used clustering algorithms including K-means, hierarchical, and spectral clustering as well as their combinations. We also examine the accuracy and validity of five objective criteria for determining the optimal number of clusters: mutual information, variation of information, modified silhouette, Rand index, and probabilistic Rand index. Results: A CC-EAC framework with a combination of base K-means clustering (KC) and hierarchical clustering (HC) with probabilistic Rand index as the criterion for choosing the optimal number of clusters, accurately uncovered the correct number of clusters from simulated datasets. In experimental rs-fMRI data, these methods reliably detected functional subdivisions of the supplementary motor area, insula, intraparietal sulcus, angular gyrus, and striatum. Comparison with existing methods: Unlike conventional approaches, CC-EAC can accurately determine the optimal number of stable clusters in rs-fMRI data, and is robust to initialization and choice of free parameters. Conclusions: A novel CC-EAC framework is proposed for segmenting brain regions, by effectively combining multiple clustering methods and identifying optimal stable functional clusters in rs-fMRI data.","author":[{"dropping-particle":"","family":"Ryali","given":"Srikanth","non-dropping-particle":"","parse-names":false,"suffix":""},{"dropping-particle":"","family":"Chen","given":"Tianwen","non-dropping-particle":"","parse-names":false,"suffix":""},{"dropping-particle":"","family":"Padmanabhan","given":"Aarthi","non-dropping-particle":"","parse-names":false,"suffix":""},{"dropping-particle":"","family":"Cai","given":"Weidong","non-dropping-particle":"","parse-names":false,"suffix":""},{"dropping-particle":"","family":"Menon","given":"Vinod","non-dropping-particle":"","parse-names":false,"suffix":""}],"container-title":"Journal of Neuroscience Methods","id":"ITEM-1","issued":{"date-parts":[["2015"]]},"page":"128-140","publisher":"Elsevier B.V.","title":"Development and validation of consensus clustering-based framework for brain segmentation using resting fMRI","type":"article-journal","volume":"240"},"uris":["http://www.mendeley.com/documents/?uuid=8a9e5ebf-4b42-422a-8f50-327284e970ee"]}],"mendeley":{"formattedCitation":"&lt;sup&gt;7&lt;/sup&gt;","plainTextFormattedCitation":"7","previouslyFormattedCitation":"&lt;sup&gt;6&lt;/sup&gt;"},"properties":{"noteIndex":0},"schema":"https://github.com/citation-style-language/schema/raw/master/csl-citation.json"}</w:instrText>
      </w:r>
      <w:r w:rsidR="00723B20"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7</w:t>
      </w:r>
      <w:r w:rsidR="00723B20" w:rsidRPr="007061DD">
        <w:rPr>
          <w:rFonts w:ascii="Times New Roman" w:hAnsi="Times New Roman" w:cs="Times New Roman"/>
          <w:color w:val="000000" w:themeColor="text1"/>
          <w:lang w:val="en-GB"/>
        </w:rPr>
        <w:fldChar w:fldCharType="end"/>
      </w:r>
      <w:r w:rsidR="00723B20" w:rsidRPr="007061DD">
        <w:rPr>
          <w:rFonts w:ascii="Times New Roman" w:hAnsi="Times New Roman" w:cs="Times New Roman"/>
          <w:color w:val="000000" w:themeColor="text1"/>
          <w:lang w:val="en-GB"/>
        </w:rPr>
        <w:t>,</w:t>
      </w:r>
      <w:r w:rsidR="007B13A0">
        <w:rPr>
          <w:rFonts w:ascii="Times New Roman" w:hAnsi="Times New Roman" w:cs="Times New Roman"/>
          <w:color w:val="000000" w:themeColor="text1"/>
          <w:lang w:val="en-GB"/>
        </w:rPr>
        <w:t xml:space="preserve"> </w:t>
      </w:r>
      <w:r w:rsidRPr="007061DD">
        <w:rPr>
          <w:rFonts w:ascii="Times New Roman" w:hAnsi="Times New Roman" w:cs="Times New Roman"/>
          <w:color w:val="000000" w:themeColor="text1"/>
          <w:lang w:val="en-GB"/>
        </w:rPr>
        <w:t xml:space="preserve">was employed to reduce the number of cortical parcels derived from the </w:t>
      </w:r>
      <w:r w:rsidR="00386061" w:rsidRPr="007061DD">
        <w:rPr>
          <w:rFonts w:ascii="Times New Roman" w:hAnsi="Times New Roman" w:cs="Times New Roman"/>
          <w:color w:val="000000" w:themeColor="text1"/>
          <w:lang w:val="en-GB"/>
        </w:rPr>
        <w:t>Yan</w:t>
      </w:r>
      <w:r w:rsidRPr="007061DD">
        <w:rPr>
          <w:rFonts w:ascii="Times New Roman" w:hAnsi="Times New Roman" w:cs="Times New Roman"/>
          <w:color w:val="000000" w:themeColor="text1"/>
          <w:lang w:val="en-GB"/>
        </w:rPr>
        <w:t xml:space="preserve"> atlas. </w:t>
      </w:r>
      <w:r w:rsidR="00801540" w:rsidRPr="007061DD">
        <w:rPr>
          <w:rFonts w:ascii="Times New Roman" w:hAnsi="Times New Roman" w:cs="Times New Roman"/>
          <w:color w:val="000000" w:themeColor="text1"/>
          <w:lang w:val="en-GB"/>
        </w:rPr>
        <w:t>This framework employs both base and consensus clustering methods to achieve robust and stable clusters. Initially, various groupings are generated for each individual dataset using a base clustering method. Then, consensus clustering is applied to these groupings to produce stable clusters across individuals. To account for hemodynamic differences across spatially distant parcels, this procedure is selectively performed on subsets of adjacent cortical regions within the same functional network. This additional constraint ensures that only functionally homogeneous and spatially contiguous parcels are grouped together.</w:t>
      </w:r>
    </w:p>
    <w:p w14:paraId="120EB6EE" w14:textId="5B30FCFB" w:rsidR="00801540" w:rsidRPr="007061DD" w:rsidRDefault="00801540"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For sets composed of only two contiguous ROIs, the objective criteria for determining the optimal number of clusters cannot be applied. In these cases, grouping is performed if the pair Pearson</w:t>
      </w:r>
      <w:r w:rsidR="00225EA9">
        <w:rPr>
          <w:rFonts w:ascii="Times New Roman" w:hAnsi="Times New Roman" w:cs="Times New Roman"/>
          <w:color w:val="000000" w:themeColor="text1"/>
          <w:lang w:val="en-GB"/>
        </w:rPr>
        <w:t>’s</w:t>
      </w:r>
      <w:r w:rsidRPr="007061DD">
        <w:rPr>
          <w:rFonts w:ascii="Times New Roman" w:hAnsi="Times New Roman" w:cs="Times New Roman"/>
          <w:color w:val="000000" w:themeColor="text1"/>
          <w:lang w:val="en-GB"/>
        </w:rPr>
        <w:t xml:space="preserve"> correlation is, on average, greater than the mean correlation within other clusters. This approach ensures the hemodynamic consistency of each cluster, reflecting the whole-brain vascular complexity</w:t>
      </w:r>
      <w:r w:rsidR="00377ADC"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 xml:space="preserve">ADDIN CSL_CITATION {"citationItems":[{"id":"ITEM-1","itemData":{"DOI":"10.1016/j.neuroimage.2018.02.061","ISSN":"10959572","PMID":"29501554","abstract":"A brief (&lt;4 s) period of neural activation evokes a stereotypical sequence of vascular and metabolic events to create the hemodynamic response function (HRF) measured using functional magnetic resonance imaging (fMRI). Linear analysis of fMRI data requires that the HRF be treated as an impulse response, so the character and temporal stability of the HRF are critical issues. Here, a simple audiovisual stimulus combined with a fast-paced task was used to evoke a strong HRF across a majority, </w:instrText>
      </w:r>
      <w:r w:rsidR="005C4031" w:rsidRPr="007061DD">
        <w:rPr>
          <w:rFonts w:ascii="Cambria Math" w:hAnsi="Cambria Math" w:cs="Cambria Math"/>
          <w:color w:val="000000" w:themeColor="text1"/>
          <w:lang w:val="en-GB"/>
        </w:rPr>
        <w:instrText>∼</w:instrText>
      </w:r>
      <w:r w:rsidR="005C4031" w:rsidRPr="007061DD">
        <w:rPr>
          <w:rFonts w:ascii="Times New Roman" w:hAnsi="Times New Roman" w:cs="Times New Roman"/>
          <w:color w:val="000000" w:themeColor="text1"/>
          <w:lang w:val="en-GB"/>
        </w:rPr>
        <w:instrText xml:space="preserve">77%, of cortex during a single scanning session. High spatiotemporal resolution (2-mm voxels, 1.25-s acquisition time) was used to focus HRF measurements specifically on the gray matter for whole brain. The majority of activated cortex responds with positive HRFs, while </w:instrText>
      </w:r>
      <w:r w:rsidR="005C4031" w:rsidRPr="007061DD">
        <w:rPr>
          <w:rFonts w:ascii="Cambria Math" w:hAnsi="Cambria Math" w:cs="Cambria Math"/>
          <w:color w:val="000000" w:themeColor="text1"/>
          <w:lang w:val="en-GB"/>
        </w:rPr>
        <w:instrText>∼</w:instrText>
      </w:r>
      <w:r w:rsidR="005C4031" w:rsidRPr="007061DD">
        <w:rPr>
          <w:rFonts w:ascii="Times New Roman" w:hAnsi="Times New Roman" w:cs="Times New Roman"/>
          <w:color w:val="000000" w:themeColor="text1"/>
          <w:lang w:val="en-GB"/>
        </w:rPr>
        <w:instrText>27% responds with negative (inverted) HRFs. Spatial patterns of the HRF response amplitudes were found to be similar across subjects. Timing of the initial positive lobe of the HRF was relatively stable across the cortical surface with a mean of 6.1 ± 0.6 s across subjects, yet small but significant timing variations were also evident in specific regions of cortex. The results provide guidance for linear analysis of fMRI data. More importantly, this method provides a means to quantify neurovascular function across most of the brain, with potential clinical utility for the diagnosis of brain pathologies such as traumatic brain injury.","author":[{"dropping-particle":"","family":"Taylor","given":"Amanda J.","non-dropping-particle":"","parse-names":false,"suffix":""},{"dropping-particle":"","family":"Kim","given":"Jung Hwan","non-dropping-particle":"","parse-names":false,"suffix":""},{"dropping-particle":"","family":"Ress","given":"David","non-dropping-particle":"","parse-names":false,"suffix":""}],"container-title":"NeuroImage","id":"ITEM-1","issue":"March","issued":{"date-parts":[["2018"]]},"page":"322-331","publisher":"Elsevier Ltd","title":"Characterization of the hemodynamic response function across the majority of human cerebral cortex","type":"article-journal","volume":"173"},"uris":["http://www.mendeley.com/documents/?uuid=f565c64b-ee01-4922-8f2e-ee7fff685670"]},{"id":"ITEM-2","itemData":{"DOI":"10.1038/s42003-023-05262-7","ISSN":"23993642","PMID":"37652993","abstract":"Spontaneous activity of the human brain provides a window to explore intrinsic principles of functional organization. However, most studies have focused on interregional functional connectivity. The principles underlying rich repertoires of instantaneous activity remain largely unknown. We apply a recently proposed eigen-microstate analysis to three resting-state functional MRI datasets to identify basic modes that represent fundamental activity patterns that coexist over time. We identify five leading basic modes that dominate activity fluctuations. Each mode exhibits a distinct functional system-dependent coactivation pattern and corresponds to specific cognitive profiles. In particular, the spatial pattern of the first leading basis mode shows the separation of activity between the default-mode and primary and attention regions. Based on theoretical modelling, we further reconstruct individual functional connectivity as the weighted superposition of coactivation patterns corresponding to these leading basic modes. Moreover, these leading basic modes capture sleep deprivation-induced changes in brain activity and interregional connectivity, primarily involving the default-mode and task-positive regions. Our findings reveal a dominant set of basic modes of spontaneous activity that reflect multiplexed interregional coordination and drive conventional functional connectivity, furthering the understanding of the functional significance of spontaneous brain activity.","author":[{"dropping-particle":"","family":"Chen","given":"Xi","non-dropping-particle":"","parse-names":false,"suffix":""},{"dropping-particle":"","family":"Ren","given":"Haoda","non-dropping-particle":"","parse-names":false,"suffix":""},{"dropping-particle":"","family":"Tang","given":"Zhonghua","non-dropping-particle":"","parse-names":false,"suffix":""},{"dropping-particle":"","family":"Zhou","given":"Ke","non-dropping-particle":"","parse-names":false,"suffix":""},{"dropping-particle":"","family":"Zhou","given":"Liqin","non-dropping-particle":"","parse-names":false,"suffix":""},{"dropping-particle":"","family":"Zuo","given":"Zhentao","non-dropping-particle":"","parse-names":false,"suffix":""},{"dropping-particle":"","family":"Cui","given":"Xiaohua","non-dropping-particle":"","parse-names":false,"suffix":""},{"dropping-particle":"","family":"Chen","given":"Xiaosong","non-dropping-particle":"","parse-names":false,"suffix":""},{"dropping-particle":"","family":"Liu","given":"Zonghua","non-dropping-particle":"","parse-names":false,"suffix":""},{"dropping-particle":"","family":"He","given":"Yong","non-dropping-particle":"","parse-names":false,"suffix":""},{"dropping-particle":"","family":"Liao","given":"Xuhong","non-dropping-particle":"","parse-names":false,"suffix":""}],"container-title":"Communications Biology","id":"ITEM-2","issue":"1","issued":{"date-parts":[["2023"]]},"page":"1-13","publisher":"Springer US","title":"Leading basic modes of spontaneous activity drive individual functional connectivity organization in the resting human brain","type":"article-journal","volume":"6"},"uris":["http://www.mendeley.com/documents/?uuid=f8180bce-605b-4987-9371-75722ee34502"]}],"mendeley":{"formattedCitation":"&lt;sup&gt;8,9&lt;/sup&gt;","plainTextFormattedCitation":"8,9","previouslyFormattedCitation":"&lt;sup&gt;7,8&lt;/sup&gt;"},"properties":{"noteIndex":0},"schema":"https://github.com/citation-style-language/schema/raw/master/csl-citation.json"}</w:instrText>
      </w:r>
      <w:r w:rsidR="00377ADC"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8,9</w:t>
      </w:r>
      <w:r w:rsidR="00377ADC" w:rsidRPr="007061DD">
        <w:rPr>
          <w:rFonts w:ascii="Times New Roman" w:hAnsi="Times New Roman" w:cs="Times New Roman"/>
          <w:color w:val="000000" w:themeColor="text1"/>
          <w:lang w:val="en-GB"/>
        </w:rPr>
        <w:fldChar w:fldCharType="end"/>
      </w:r>
      <w:r w:rsidR="00377ADC" w:rsidRPr="007061DD">
        <w:rPr>
          <w:rFonts w:ascii="Times New Roman" w:hAnsi="Times New Roman" w:cs="Times New Roman"/>
          <w:color w:val="000000" w:themeColor="text1"/>
          <w:lang w:val="en-GB"/>
        </w:rPr>
        <w:t>.</w:t>
      </w:r>
    </w:p>
    <w:p w14:paraId="032D5AC6" w14:textId="31063398" w:rsidR="00DC0BD5" w:rsidRPr="007061DD" w:rsidRDefault="00801540"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 xml:space="preserve">The CIFTI files corresponding to the obtained functional parcellations are available at this </w:t>
      </w:r>
      <w:r w:rsidR="00476FCF" w:rsidRPr="007061DD">
        <w:rPr>
          <w:rFonts w:ascii="Times New Roman" w:hAnsi="Times New Roman" w:cs="Times New Roman"/>
          <w:color w:val="000000" w:themeColor="text1"/>
          <w:lang w:val="en-GB"/>
        </w:rPr>
        <w:t xml:space="preserve">link: </w:t>
      </w:r>
      <w:hyperlink r:id="rId11" w:history="1">
        <w:r w:rsidR="008A045B" w:rsidRPr="008A045B">
          <w:rPr>
            <w:rStyle w:val="Hyperlink"/>
            <w:rFonts w:ascii="Times New Roman" w:hAnsi="Times New Roman" w:cs="Times New Roman"/>
          </w:rPr>
          <w:t>https://github.com/FairUnipd/ConsensusClustering-YanAtlas</w:t>
        </w:r>
      </w:hyperlink>
      <w:r w:rsidR="00476FCF" w:rsidRPr="007061DD">
        <w:rPr>
          <w:rFonts w:ascii="Times New Roman" w:hAnsi="Times New Roman" w:cs="Times New Roman"/>
          <w:color w:val="000000" w:themeColor="text1"/>
          <w:lang w:val="en-GB"/>
        </w:rPr>
        <w:t>.</w:t>
      </w:r>
    </w:p>
    <w:p w14:paraId="0FCB1544" w14:textId="77777777" w:rsidR="00700DA4" w:rsidRPr="007061DD" w:rsidRDefault="00700DA4" w:rsidP="00DC0ED9">
      <w:pPr>
        <w:spacing w:after="0" w:line="360" w:lineRule="auto"/>
        <w:rPr>
          <w:rFonts w:ascii="Times New Roman" w:hAnsi="Times New Roman" w:cs="Times New Roman"/>
          <w:color w:val="C00000"/>
        </w:rPr>
      </w:pPr>
    </w:p>
    <w:p w14:paraId="01B4CF4C" w14:textId="449E1C71" w:rsidR="00B623E1" w:rsidRPr="007061DD" w:rsidRDefault="00B623E1" w:rsidP="00DC0ED9">
      <w:pPr>
        <w:spacing w:after="0" w:line="360" w:lineRule="auto"/>
        <w:jc w:val="both"/>
        <w:rPr>
          <w:rFonts w:ascii="Times New Roman" w:hAnsi="Times New Roman" w:cs="Times New Roman"/>
          <w:b/>
          <w:bCs/>
        </w:rPr>
      </w:pPr>
      <w:r w:rsidRPr="007061DD">
        <w:rPr>
          <w:rFonts w:ascii="Times New Roman" w:hAnsi="Times New Roman" w:cs="Times New Roman"/>
          <w:b/>
          <w:bCs/>
        </w:rPr>
        <w:t>Tissue</w:t>
      </w:r>
      <w:r w:rsidR="00F13041" w:rsidRPr="007061DD">
        <w:rPr>
          <w:rFonts w:ascii="Times New Roman" w:hAnsi="Times New Roman" w:cs="Times New Roman"/>
          <w:b/>
          <w:bCs/>
        </w:rPr>
        <w:t xml:space="preserve"> binary masks</w:t>
      </w:r>
    </w:p>
    <w:p w14:paraId="7B19ED70" w14:textId="6158A15F" w:rsidR="00734131" w:rsidRPr="007061DD" w:rsidRDefault="0023542C" w:rsidP="00DC0ED9">
      <w:pPr>
        <w:spacing w:after="0" w:line="360" w:lineRule="auto"/>
        <w:jc w:val="both"/>
        <w:rPr>
          <w:rFonts w:ascii="Times New Roman" w:hAnsi="Times New Roman" w:cs="Times New Roman"/>
        </w:rPr>
      </w:pPr>
      <w:r w:rsidRPr="007061DD">
        <w:rPr>
          <w:rFonts w:ascii="Times New Roman" w:hAnsi="Times New Roman" w:cs="Times New Roman"/>
        </w:rPr>
        <w:t>A threshold of 0.8 was applied to the</w:t>
      </w:r>
      <w:r w:rsidR="002703F6" w:rsidRPr="007061DD">
        <w:rPr>
          <w:rFonts w:ascii="Times New Roman" w:hAnsi="Times New Roman" w:cs="Times New Roman"/>
        </w:rPr>
        <w:t xml:space="preserve"> SPM</w:t>
      </w:r>
      <w:r w:rsidR="00EF68E1" w:rsidRPr="007061DD">
        <w:rPr>
          <w:rFonts w:ascii="Times New Roman" w:hAnsi="Times New Roman" w:cs="Times New Roman"/>
        </w:rPr>
        <w:t>12</w:t>
      </w:r>
      <w:r w:rsidR="00981305" w:rsidRPr="007061DD">
        <w:rPr>
          <w:rFonts w:ascii="Times New Roman" w:hAnsi="Times New Roman" w:cs="Times New Roman"/>
        </w:rPr>
        <w:t xml:space="preserve"> (v7219 </w:t>
      </w:r>
      <w:hyperlink r:id="rId12" w:history="1">
        <w:r w:rsidR="00981305" w:rsidRPr="007061DD">
          <w:rPr>
            <w:rStyle w:val="Hyperlink"/>
            <w:rFonts w:ascii="Times New Roman" w:hAnsi="Times New Roman" w:cs="Times New Roman"/>
          </w:rPr>
          <w:t>https://www.fil.ion.ucl.ac.uk/spm/</w:t>
        </w:r>
      </w:hyperlink>
      <w:r w:rsidR="00981305" w:rsidRPr="007061DD">
        <w:rPr>
          <w:rFonts w:ascii="Times New Roman" w:hAnsi="Times New Roman" w:cs="Times New Roman"/>
        </w:rPr>
        <w:t xml:space="preserve">) </w:t>
      </w:r>
      <w:r w:rsidRPr="007061DD">
        <w:rPr>
          <w:rFonts w:ascii="Times New Roman" w:hAnsi="Times New Roman" w:cs="Times New Roman"/>
        </w:rPr>
        <w:t xml:space="preserve">probability maps to generate binary masks for </w:t>
      </w:r>
      <w:r w:rsidR="002703F6" w:rsidRPr="007061DD">
        <w:rPr>
          <w:rFonts w:ascii="Times New Roman" w:hAnsi="Times New Roman" w:cs="Times New Roman"/>
        </w:rPr>
        <w:t>grey matter (</w:t>
      </w:r>
      <w:r w:rsidRPr="007061DD">
        <w:rPr>
          <w:rFonts w:ascii="Times New Roman" w:hAnsi="Times New Roman" w:cs="Times New Roman"/>
        </w:rPr>
        <w:t>GM</w:t>
      </w:r>
      <w:r w:rsidR="002703F6" w:rsidRPr="007061DD">
        <w:rPr>
          <w:rFonts w:ascii="Times New Roman" w:hAnsi="Times New Roman" w:cs="Times New Roman"/>
        </w:rPr>
        <w:t>)</w:t>
      </w:r>
      <w:r w:rsidRPr="007061DD">
        <w:rPr>
          <w:rFonts w:ascii="Times New Roman" w:hAnsi="Times New Roman" w:cs="Times New Roman"/>
        </w:rPr>
        <w:t xml:space="preserve">, </w:t>
      </w:r>
      <w:r w:rsidR="002703F6" w:rsidRPr="007061DD">
        <w:rPr>
          <w:rFonts w:ascii="Times New Roman" w:hAnsi="Times New Roman" w:cs="Times New Roman"/>
        </w:rPr>
        <w:t>white matter (</w:t>
      </w:r>
      <w:r w:rsidRPr="007061DD">
        <w:rPr>
          <w:rFonts w:ascii="Times New Roman" w:hAnsi="Times New Roman" w:cs="Times New Roman"/>
        </w:rPr>
        <w:t>WM</w:t>
      </w:r>
      <w:r w:rsidR="002703F6" w:rsidRPr="007061DD">
        <w:rPr>
          <w:rFonts w:ascii="Times New Roman" w:hAnsi="Times New Roman" w:cs="Times New Roman"/>
        </w:rPr>
        <w:t>)</w:t>
      </w:r>
      <w:r w:rsidRPr="007061DD">
        <w:rPr>
          <w:rFonts w:ascii="Times New Roman" w:hAnsi="Times New Roman" w:cs="Times New Roman"/>
        </w:rPr>
        <w:t xml:space="preserve">, and </w:t>
      </w:r>
      <w:r w:rsidR="002703F6" w:rsidRPr="007061DD">
        <w:rPr>
          <w:rFonts w:ascii="Times New Roman" w:hAnsi="Times New Roman" w:cs="Times New Roman"/>
        </w:rPr>
        <w:t>cerebrospinal fluid (</w:t>
      </w:r>
      <w:r w:rsidRPr="007061DD">
        <w:rPr>
          <w:rFonts w:ascii="Times New Roman" w:hAnsi="Times New Roman" w:cs="Times New Roman"/>
        </w:rPr>
        <w:t>CSF</w:t>
      </w:r>
      <w:r w:rsidR="002703F6" w:rsidRPr="007061DD">
        <w:rPr>
          <w:rFonts w:ascii="Times New Roman" w:hAnsi="Times New Roman" w:cs="Times New Roman"/>
        </w:rPr>
        <w:t>)</w:t>
      </w:r>
      <w:r w:rsidRPr="007061DD">
        <w:rPr>
          <w:rFonts w:ascii="Times New Roman" w:hAnsi="Times New Roman" w:cs="Times New Roman"/>
        </w:rPr>
        <w:t xml:space="preserve">. Specifically, the binary GM mask is utilized for extracting </w:t>
      </w:r>
      <w:r w:rsidR="00AF6507" w:rsidRPr="007061DD">
        <w:rPr>
          <w:rFonts w:ascii="Times New Roman" w:hAnsi="Times New Roman" w:cs="Times New Roman"/>
        </w:rPr>
        <w:t>PET</w:t>
      </w:r>
      <w:r w:rsidRPr="007061DD">
        <w:rPr>
          <w:rFonts w:ascii="Times New Roman" w:hAnsi="Times New Roman" w:cs="Times New Roman"/>
        </w:rPr>
        <w:t xml:space="preserve"> TACs of voxels</w:t>
      </w:r>
      <w:r w:rsidR="00B31B8C" w:rsidRPr="007061DD">
        <w:rPr>
          <w:rFonts w:ascii="Times New Roman" w:hAnsi="Times New Roman" w:cs="Times New Roman"/>
        </w:rPr>
        <w:t xml:space="preserve"> and region-level </w:t>
      </w:r>
      <w:r w:rsidR="00B623E1" w:rsidRPr="007061DD">
        <w:rPr>
          <w:rFonts w:ascii="Times New Roman" w:hAnsi="Times New Roman" w:cs="Times New Roman"/>
        </w:rPr>
        <w:t>standardized uptake value ratio (</w:t>
      </w:r>
      <w:r w:rsidR="00B31B8C" w:rsidRPr="007061DD">
        <w:rPr>
          <w:rFonts w:ascii="Times New Roman" w:hAnsi="Times New Roman" w:cs="Times New Roman"/>
        </w:rPr>
        <w:t>SUVR</w:t>
      </w:r>
      <w:r w:rsidR="00B623E1" w:rsidRPr="007061DD">
        <w:rPr>
          <w:rFonts w:ascii="Times New Roman" w:hAnsi="Times New Roman" w:cs="Times New Roman"/>
        </w:rPr>
        <w:t>)</w:t>
      </w:r>
      <w:r w:rsidR="00B31B8C" w:rsidRPr="007061DD">
        <w:rPr>
          <w:rFonts w:ascii="Times New Roman" w:hAnsi="Times New Roman" w:cs="Times New Roman"/>
        </w:rPr>
        <w:t xml:space="preserve"> values,</w:t>
      </w:r>
      <w:r w:rsidRPr="007061DD">
        <w:rPr>
          <w:rFonts w:ascii="Times New Roman" w:hAnsi="Times New Roman" w:cs="Times New Roman"/>
        </w:rPr>
        <w:t xml:space="preserve"> therefore the chosen segmentation is intentionally conservative, resulting in a mean sample TAC that effectively </w:t>
      </w:r>
      <w:r w:rsidRPr="007061DD">
        <w:rPr>
          <w:rFonts w:ascii="Times New Roman" w:hAnsi="Times New Roman" w:cs="Times New Roman"/>
        </w:rPr>
        <w:lastRenderedPageBreak/>
        <w:t>reduces partial volume effects (PVEs)</w:t>
      </w:r>
      <w:r w:rsidRPr="007061DD">
        <w:rPr>
          <w:rFonts w:ascii="Times New Roman" w:hAnsi="Times New Roman" w:cs="Times New Roman"/>
        </w:rPr>
        <w:fldChar w:fldCharType="begin" w:fldLock="1"/>
      </w:r>
      <w:r w:rsidR="005C4031" w:rsidRPr="007061DD">
        <w:rPr>
          <w:rFonts w:ascii="Times New Roman" w:hAnsi="Times New Roman" w:cs="Times New Roman"/>
        </w:rPr>
        <w:instrText>ADDIN CSL_CITATION {"citationItems":[{"id":"ITEM-1","itemData":{"DOI":"10.1016/j.cpet.2007.10.005","ISSN":"15568598","abstract":"In the early days of PET, the partial volume effect (PVE) was identified as a serious factor affecting image quality and limiting the accuracy of quantitative analysis. Because of the limited spatial resolution of clinical PET systems, the images are blurred by the system response so that smaller objects appear larger. Although the total number of counts is preserved, they are distributed over a larger volume. This article describes the various partial volume correction strategies used in PET and summarizes their clinical and research applications. © 2007 Elsevier Inc. All rights reserved.","author":[{"dropping-particle":"","family":"Rousset","given":"Olivier","non-dropping-particle":"","parse-names":false,"suffix":""},{"dropping-particle":"","family":"Rahmim","given":"Arman","non-dropping-particle":"","parse-names":false,"suffix":""},{"dropping-particle":"","family":"Alavi","given":"Abass","non-dropping-particle":"","parse-names":false,"suffix":""},{"dropping-particle":"","family":"Zaidi","given":"Habib","non-dropping-particle":"","parse-names":false,"suffix":""}],"container-title":"PET Clinics","id":"ITEM-1","issue":"2","issued":{"date-parts":[["2007"]]},"page":"235-249","title":"Partial Volume Correction Strategies in PET","type":"article-journal","volume":"2"},"uris":["http://www.mendeley.com/documents/?uuid=5c185bea-c7e0-4a6b-9d4d-5b98494540ad"]}],"mendeley":{"formattedCitation":"&lt;sup&gt;10&lt;/sup&gt;","plainTextFormattedCitation":"10","previouslyFormattedCitation":"&lt;sup&gt;9&lt;/sup&gt;"},"properties":{"noteIndex":0},"schema":"https://github.com/citation-style-language/schema/raw/master/csl-citation.json"}</w:instrText>
      </w:r>
      <w:r w:rsidRPr="007061DD">
        <w:rPr>
          <w:rFonts w:ascii="Times New Roman" w:hAnsi="Times New Roman" w:cs="Times New Roman"/>
        </w:rPr>
        <w:fldChar w:fldCharType="separate"/>
      </w:r>
      <w:r w:rsidR="005C4031" w:rsidRPr="007061DD">
        <w:rPr>
          <w:rFonts w:ascii="Times New Roman" w:hAnsi="Times New Roman" w:cs="Times New Roman"/>
          <w:noProof/>
          <w:vertAlign w:val="superscript"/>
        </w:rPr>
        <w:t>10</w:t>
      </w:r>
      <w:r w:rsidRPr="007061DD">
        <w:rPr>
          <w:rFonts w:ascii="Times New Roman" w:hAnsi="Times New Roman" w:cs="Times New Roman"/>
        </w:rPr>
        <w:fldChar w:fldCharType="end"/>
      </w:r>
      <w:r w:rsidRPr="007061DD">
        <w:rPr>
          <w:rFonts w:ascii="Times New Roman" w:hAnsi="Times New Roman" w:cs="Times New Roman"/>
        </w:rPr>
        <w:t>, while still maintaining a sufficient number of voxels.</w:t>
      </w:r>
      <w:r w:rsidR="00734131" w:rsidRPr="007061DD">
        <w:rPr>
          <w:rFonts w:ascii="Times New Roman" w:hAnsi="Times New Roman" w:cs="Times New Roman"/>
        </w:rPr>
        <w:t xml:space="preserve"> On the other hand, to create the reference region mask for SUVR calculation, the binary mask for WM was applied to the cerebellum region (defined according to the </w:t>
      </w:r>
      <w:r w:rsidR="009E178A" w:rsidRPr="007061DD">
        <w:rPr>
          <w:rFonts w:ascii="Times New Roman" w:hAnsi="Times New Roman" w:cs="Times New Roman"/>
        </w:rPr>
        <w:t>AAL</w:t>
      </w:r>
      <w:r w:rsidR="00264037" w:rsidRPr="007061DD">
        <w:rPr>
          <w:rFonts w:ascii="Times New Roman" w:hAnsi="Times New Roman" w:cs="Times New Roman"/>
        </w:rPr>
        <w:t>2</w:t>
      </w:r>
      <w:r w:rsidR="00734131" w:rsidRPr="007061DD">
        <w:rPr>
          <w:rFonts w:ascii="Times New Roman" w:hAnsi="Times New Roman" w:cs="Times New Roman"/>
        </w:rPr>
        <w:t xml:space="preserve"> atlas).</w:t>
      </w:r>
    </w:p>
    <w:p w14:paraId="07E35AE0" w14:textId="77777777" w:rsidR="00846EF0" w:rsidRPr="007061DD" w:rsidRDefault="00846EF0" w:rsidP="00DC0ED9">
      <w:pPr>
        <w:spacing w:after="0" w:line="360" w:lineRule="auto"/>
        <w:jc w:val="both"/>
        <w:rPr>
          <w:rFonts w:ascii="Times New Roman" w:hAnsi="Times New Roman" w:cs="Times New Roman"/>
          <w:lang w:val="en-GB"/>
        </w:rPr>
      </w:pPr>
    </w:p>
    <w:p w14:paraId="2885848C" w14:textId="0855D6C4" w:rsidR="00FC71BD" w:rsidRPr="007061DD" w:rsidRDefault="001801E8" w:rsidP="00DC0ED9">
      <w:pPr>
        <w:spacing w:after="0" w:line="360" w:lineRule="auto"/>
        <w:jc w:val="both"/>
        <w:rPr>
          <w:rFonts w:ascii="Times New Roman" w:hAnsi="Times New Roman" w:cs="Times New Roman"/>
          <w:b/>
          <w:color w:val="000000" w:themeColor="text1"/>
          <w:lang w:val="en-GB"/>
        </w:rPr>
      </w:pPr>
      <w:r w:rsidRPr="007061DD">
        <w:rPr>
          <w:rFonts w:ascii="Times New Roman" w:hAnsi="Times New Roman" w:cs="Times New Roman"/>
          <w:b/>
          <w:color w:val="000000" w:themeColor="text1"/>
          <w:lang w:val="en-GB"/>
        </w:rPr>
        <w:t>EC</w:t>
      </w:r>
      <w:r w:rsidR="00ED3D15" w:rsidRPr="007061DD">
        <w:rPr>
          <w:rFonts w:ascii="Times New Roman" w:hAnsi="Times New Roman" w:cs="Times New Roman"/>
          <w:b/>
          <w:color w:val="000000" w:themeColor="text1"/>
          <w:lang w:val="en-GB"/>
        </w:rPr>
        <w:t xml:space="preserve"> </w:t>
      </w:r>
      <w:r w:rsidR="00230935" w:rsidRPr="007061DD">
        <w:rPr>
          <w:rFonts w:ascii="Times New Roman" w:hAnsi="Times New Roman" w:cs="Times New Roman"/>
          <w:b/>
          <w:color w:val="000000" w:themeColor="text1"/>
          <w:lang w:val="en-GB"/>
        </w:rPr>
        <w:t>Matrices Extraction</w:t>
      </w:r>
    </w:p>
    <w:p w14:paraId="418E5E4D" w14:textId="44DDD335"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As discussed in</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{"citationItems":[{"id":"ITEM-1","itemData":{"DOI":"10.1162/netn_a_00175","abstract":"At the inception of human brain mapping, two principles of functional anatomy underwrote most conceptions—and analyses—of distributed brain responses: namely, functional segregation and integration. There are currently two main approaches to characterizing functional integration. The first is a mechanistic modeling of connectomics in terms of directed effective connectivity that mediates neuronal message passing and dynamics on neuronal circuits. The second phenomenological approach usually characterizes undirected functional connectivity (i.e., measurable correlations), in terms of intrinsic brain networks, self-organized criticality, dynamical instability, and so on. 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 SummaryThis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networks.","author":[{"dropping-particle":"","family":"Friston","given":"Karl J.","non-dropping-particle":"","parse-names":false,"suffix":""},{"dropping-particle":"","family":"Fagerholm","given":"Erik D.","non-dropping-particle":"","parse-names":false,"suffix":""},{"dropping-particle":"","family":"Zarghami","given":"Tahereh S.","non-dropping-particle":"","parse-names":false,"suffix":""},{"dropping-particle":"","family":"Parr","given":"Thomas","non-dropping-particle":"","parse-names":false,"suffix":""},{"dropping-particle":"","family":"Hipólito","given":"Inês","non-dropping-particle":"","parse-names":false,"suffix":""},{"dropping-particle":"","family":"Magrou","given":"Loïc","non-dropping-particle":"","parse-names":false,"suffix":""},{"dropping-particle":"","family":"Razi","given":"Adeel","non-dropping-particle":"","parse-names":false,"suffix":""}],"container-title":"Network Neuroscience","id":"ITEM-1","issue":"1","issued":{"date-parts":[["2021"]]},"page":"211-251","title":"Parcels and particles: Markov blankets in the brain","type":"article-journal","volume":"5"},"uris":["http://www.mendeley.com/documents/?uuid=6c7209a6-e37f-4c11-9c17-36d1d5b1bbd8"]}],"mendeley":{"formattedCitation":"&lt;sup&gt;11&lt;/sup&gt;","plainTextFormattedCitation":"11","previouslyFormattedCitation":"&lt;sup&gt;10&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11</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the kinetic energy of functional information flow can be decomposed into dissipative and non-dissipative components, corresponding to the emergence of the curl-free dissipative and divergence-free solenoidal contributions, respectively. As demonstrated in a recent work</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{"citationItems":[{"id":"ITEM-1","itemData":{"DOI":"10.1162/netn_a_00381","abstract":"This study challenges the traditional focus on zero-lag statistics in resting-state functional magnetic resonance imaging (rsfMRI) research. Instead, it advocates for considering time-lag interactions to unveil the directionality and asymmetries of the brain hierarchy. Effective connectivity (EC), the state matrix in dynamical causal modeling (DCM), is a commonly used metric for studying dynamical properties and causal interactions within a linear state-space system description. Here, we focused on how time-lag statistics are incorporated within the framework of DCM resulting in an asymmetric EC matrix. Our approach involves decomposing the EC matrix, revealing a steady-state differential cross-covariance matrix which is responsible for modeling information flow and introducing time irreversibility. Specifically, the system’s dynamics, influenced by the off-diagonal part of the differential covariance, exhibit a curl steady-state flow component that breaks detailed balance and diverges the dynamics from equilibrium. Our empirical findings indicate that the EC matrix’s outgoing strengths correlate with the flow described by the differential cross-covariance, while incoming strengths are primarily driven by zero-lag covariance, emphasizing conditional independence over directionality.","author":[{"dropping-particle":"","family":"Benozzo","given":"Danilo","non-dropping-particle":"","parse-names":false,"suffix":""},{"dropping-particle":"","family":"Baggio","given":"Giacomo","non-dropping-particle":"","parse-names":false,"suffix":""},{"dropping-particle":"","family":"Baron","given":"Giorgia","non-dropping-particle":"","parse-names":false,"suffix":""},{"dropping-particle":"","family":"Chiuso","given":"Alessandro","non-dropping-particle":"","parse-names":false,"suffix":""},{"dropping-particle":"","family":"Zampieri","given":"Sandro","non-dropping-particle":"","parse-names":false,"suffix":""},{"dropping-particle":"","family":"Bertoldo","given":"Alessandra","non-dropping-particle":"","parse-names":false,"suffix":""}],"container-title":"Network Neuroscience","id":"ITEM-1","issued":{"date-parts":[["2024"]]},"page":"1-42","title":"Analyzing asymmetry in brain hierarchies with a linear state-space model of resting-state fMRI data","type":"article-journal"},"uris":["http://www.mendeley.com/documents/?uuid=03fb9fd9-1903-4fe5-8659-0ec7fa36b52d"]}],"mendeley":{"formattedCitation":"&lt;sup&gt;12&lt;/sup&gt;","plainTextFormattedCitation":"12","previouslyFormattedCitation":"&lt;sup&gt;11&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12</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these two energetic flow components are statistically derived from effective connectivity </w:t>
      </w:r>
      <w:r w:rsidR="00EB404B" w:rsidRPr="007061DD">
        <w:rPr>
          <w:rFonts w:ascii="Times New Roman" w:hAnsi="Times New Roman" w:cs="Times New Roman"/>
          <w:color w:val="000000" w:themeColor="text1"/>
          <w:lang w:val="en-GB"/>
        </w:rPr>
        <w:t xml:space="preserve">(EC) </w:t>
      </w:r>
      <w:r w:rsidRPr="007061DD">
        <w:rPr>
          <w:rFonts w:ascii="Times New Roman" w:hAnsi="Times New Roman" w:cs="Times New Roman"/>
          <w:color w:val="000000" w:themeColor="text1"/>
          <w:lang w:val="en-GB"/>
        </w:rPr>
        <w:t xml:space="preserve">in a closed-form. More specifically, when the Hurwitz stability of </w:t>
      </w:r>
      <w:r w:rsidRPr="007061DD">
        <w:rPr>
          <w:rFonts w:ascii="Cambria Math" w:hAnsi="Cambria Math" w:cs="Cambria Math"/>
          <w:color w:val="000000" w:themeColor="text1"/>
          <w:lang w:val="en-GB"/>
        </w:rPr>
        <w:t>𝐴</w:t>
      </w:r>
      <w:r w:rsidRPr="007061DD">
        <w:rPr>
          <w:rFonts w:ascii="Times New Roman" w:hAnsi="Times New Roman" w:cs="Times New Roman"/>
          <w:color w:val="000000" w:themeColor="text1"/>
          <w:lang w:val="en-GB"/>
        </w:rPr>
        <w:t xml:space="preserve"> (i.e., the EC matrix) is granted, it may be decomposed as follows</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{"citationItems":[{"id":"ITEM-1","itemData":{"abstract":"In this paper, we consider stable stochastic linear systems modeling whole-brain resting-state dynamics. We parametrize the state matrix of the system (effective connectivity) in terms of its steady-state covariance matrix (functional connectivity) and a skew-symmetric matrix $S$. We examine how the matrix $S$ influences some relevant dynamic properties of the system. Specifically, we show that a large $S$ enhances the degree of stability and excitability of the system, and makes the latter more responsive to high-frequency inputs.","author":[{"dropping-particle":"","family":"Casti","given":"Umberto","non-dropping-particle":"","parse-names":false,"suffix":""},{"dropping-particle":"","family":"Baggio","given":"Giacomo","non-dropping-particle":"","parse-names":false,"suffix":""},{"dropping-particle":"","family":"Benozzo","given":"Danilo","non-dropping-particle":"","parse-names":false,"suffix":""},{"dropping-particle":"","family":"Zampieri","given":"Sandro","non-dropping-particle":"","parse-names":false,"suffix":""},{"dropping-particle":"","family":"Bertoldo","given":"Alessandra","non-dropping-particle":"","parse-names":false,"suffix":""},{"dropping-particle":"","family":"Chiuso","given":"Alessandro","non-dropping-particle":"","parse-names":false,"suffix":""}],"id":"ITEM-1","issued":{"date-parts":[["2023"]]},"title":"Dynamic Brain Networks with Prescribed Functional Connectivity","type":"article-journal"},"uris":["http://www.mendeley.com/documents/?uuid=82cec2e5-c93d-4b95-8d53-f1d30e61cc71"]}],"mendeley":{"formattedCitation":"&lt;sup&gt;13&lt;/sup&gt;","plainTextFormattedCitation":"13","previouslyFormattedCitation":"&lt;sup&gt;12&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13</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7470C2" w:rsidRPr="007061DD" w14:paraId="17AC26F3" w14:textId="77777777">
        <w:tc>
          <w:tcPr>
            <w:tcW w:w="3116" w:type="dxa"/>
          </w:tcPr>
          <w:p w14:paraId="0DC47BE1" w14:textId="77777777" w:rsidR="007470C2" w:rsidRPr="007061DD" w:rsidRDefault="007470C2" w:rsidP="00DC0ED9">
            <w:pPr>
              <w:spacing w:line="360" w:lineRule="auto"/>
              <w:jc w:val="both"/>
              <w:rPr>
                <w:rFonts w:ascii="Times New Roman" w:hAnsi="Times New Roman" w:cs="Times New Roman"/>
                <w:color w:val="000000" w:themeColor="text1"/>
                <w:lang w:eastAsia="it-IT"/>
              </w:rPr>
            </w:pPr>
          </w:p>
        </w:tc>
        <w:tc>
          <w:tcPr>
            <w:tcW w:w="3117" w:type="dxa"/>
          </w:tcPr>
          <w:p w14:paraId="45D11A4A" w14:textId="70663138" w:rsidR="007470C2" w:rsidRPr="007061DD" w:rsidRDefault="00157ED3" w:rsidP="00DC0ED9">
            <w:pPr>
              <w:spacing w:line="360" w:lineRule="auto"/>
              <w:jc w:val="both"/>
              <w:rPr>
                <w:rFonts w:ascii="Times New Roman" w:hAnsi="Times New Roman" w:cs="Times New Roman"/>
                <w:color w:val="000000" w:themeColor="text1"/>
                <w:lang w:val="en-GB"/>
              </w:rPr>
            </w:pPr>
            <m:oMathPara>
              <m:oMath>
                <m:r>
                  <w:rPr>
                    <w:rFonts w:ascii="Cambria Math" w:hAnsi="Cambria Math" w:cs="Times New Roman"/>
                    <w:color w:val="000000" w:themeColor="text1"/>
                    <w:lang w:eastAsia="it-IT"/>
                  </w:rPr>
                  <m:t>A=</m:t>
                </m:r>
                <m:f>
                  <m:fPr>
                    <m:ctrlPr>
                      <w:rPr>
                        <w:rFonts w:ascii="Cambria Math" w:hAnsi="Cambria Math" w:cs="Times New Roman"/>
                        <w:i/>
                        <w:iCs/>
                        <w:color w:val="000000" w:themeColor="text1"/>
                        <w:lang w:eastAsia="it-IT"/>
                      </w:rPr>
                    </m:ctrlPr>
                  </m:fPr>
                  <m:num>
                    <m:r>
                      <w:rPr>
                        <w:rFonts w:ascii="Cambria Math" w:hAnsi="Cambria Math" w:cs="Times New Roman"/>
                        <w:color w:val="000000" w:themeColor="text1"/>
                        <w:lang w:eastAsia="it-IT"/>
                      </w:rPr>
                      <m:t>1</m:t>
                    </m:r>
                  </m:num>
                  <m:den>
                    <m:r>
                      <w:rPr>
                        <w:rFonts w:ascii="Cambria Math" w:hAnsi="Cambria Math" w:cs="Times New Roman"/>
                        <w:color w:val="000000" w:themeColor="text1"/>
                        <w:lang w:eastAsia="it-IT"/>
                      </w:rPr>
                      <m:t>2</m:t>
                    </m:r>
                  </m:den>
                </m:f>
                <m:d>
                  <m:dPr>
                    <m:ctrlPr>
                      <w:rPr>
                        <w:rFonts w:ascii="Cambria Math" w:hAnsi="Cambria Math" w:cs="Times New Roman"/>
                        <w:i/>
                        <w:iCs/>
                        <w:color w:val="000000" w:themeColor="text1"/>
                      </w:rPr>
                    </m:ctrlPr>
                  </m:dPr>
                  <m:e>
                    <m:sSub>
                      <m:sSubPr>
                        <m:ctrlPr>
                          <w:rPr>
                            <w:rFonts w:ascii="Cambria Math" w:hAnsi="Cambria Math" w:cs="Times New Roman"/>
                            <w:i/>
                            <w:iCs/>
                            <w:color w:val="000000" w:themeColor="text1"/>
                          </w:rPr>
                        </m:ctrlPr>
                      </m:sSubPr>
                      <m:e>
                        <m:r>
                          <w:rPr>
                            <w:rFonts w:ascii="Cambria Math" w:hAnsi="Cambria Math" w:cs="Times New Roman"/>
                            <w:color w:val="000000" w:themeColor="text1"/>
                            <w:lang w:eastAsia="it-IT"/>
                          </w:rPr>
                          <m:t>-Σ</m:t>
                        </m:r>
                      </m:e>
                      <m:sub>
                        <m:r>
                          <w:rPr>
                            <w:rFonts w:ascii="Cambria Math" w:hAnsi="Cambria Math" w:cs="Times New Roman"/>
                            <w:color w:val="000000" w:themeColor="text1"/>
                            <w:lang w:eastAsia="it-IT"/>
                          </w:rPr>
                          <m:t>w</m:t>
                        </m:r>
                      </m:sub>
                    </m:sSub>
                    <m:r>
                      <w:rPr>
                        <w:rFonts w:ascii="Cambria Math" w:hAnsi="Cambria Math" w:cs="Times New Roman"/>
                        <w:color w:val="000000" w:themeColor="text1"/>
                        <w:lang w:eastAsia="it-IT"/>
                      </w:rPr>
                      <m:t>+S</m:t>
                    </m:r>
                  </m:e>
                </m:d>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m:oMathPara>
          </w:p>
        </w:tc>
        <w:tc>
          <w:tcPr>
            <w:tcW w:w="3117" w:type="dxa"/>
          </w:tcPr>
          <w:p w14:paraId="01EA6187" w14:textId="77777777" w:rsidR="007470C2" w:rsidRPr="007061DD" w:rsidRDefault="007470C2" w:rsidP="00DC0ED9">
            <w:pPr>
              <w:spacing w:line="360" w:lineRule="auto"/>
              <w:jc w:val="right"/>
              <w:rPr>
                <w:rFonts w:ascii="Times New Roman" w:hAnsi="Times New Roman" w:cs="Times New Roman"/>
                <w:color w:val="000000" w:themeColor="text1"/>
                <w:lang w:eastAsia="it-IT"/>
              </w:rPr>
            </w:pPr>
            <w:r w:rsidRPr="007061DD">
              <w:rPr>
                <w:rFonts w:ascii="Times New Roman" w:hAnsi="Times New Roman" w:cs="Times New Roman"/>
                <w:color w:val="000000" w:themeColor="text1"/>
                <w:lang w:eastAsia="it-IT"/>
              </w:rPr>
              <w:t>(1)</w:t>
            </w:r>
          </w:p>
        </w:tc>
      </w:tr>
    </w:tbl>
    <w:p w14:paraId="425F06E1" w14:textId="5A5EBC04"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 xml:space="preserve">On one hand, the matrix </w:t>
      </w:r>
      <w:r w:rsidRPr="007061DD">
        <w:rPr>
          <w:rFonts w:ascii="Cambria Math" w:hAnsi="Cambria Math" w:cs="Cambria Math"/>
          <w:color w:val="000000" w:themeColor="text1"/>
          <w:lang w:val="en-GB"/>
        </w:rPr>
        <w:t>𝛴</w:t>
      </w:r>
      <w:r w:rsidRPr="007061DD">
        <w:rPr>
          <w:rFonts w:ascii="Cambria Math" w:hAnsi="Cambria Math" w:cs="Cambria Math"/>
          <w:color w:val="000000" w:themeColor="text1"/>
          <w:vertAlign w:val="subscript"/>
          <w:lang w:val="en-GB"/>
        </w:rPr>
        <w:t>𝑤</w:t>
      </w:r>
      <w:r w:rsidRPr="007061DD">
        <w:rPr>
          <w:rFonts w:ascii="Times New Roman" w:hAnsi="Times New Roman" w:cs="Times New Roman"/>
          <w:color w:val="000000" w:themeColor="text1"/>
          <w:lang w:val="en-GB"/>
        </w:rPr>
        <w:t xml:space="preserve"> (i.e., the differential auto-covariance</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{"citationItems":[{"id":"ITEM-1","itemData":{"DOI":"10.1162/netn_a_00175","abstract":"At the inception of human brain mapping, two principles of functional anatomy underwrote most conceptions—and analyses—of distributed brain responses: namely, functional segregation and integration. There are currently two main approaches to characterizing functional integration. The first is a mechanistic modeling of connectomics in terms of directed effective connectivity that mediates neuronal message passing and dynamics on neuronal circuits. The second phenomenological approach usually characterizes undirected functional connectivity (i.e., measurable correlations), in terms of intrinsic brain networks, self-organized criticality, dynamical instability, and so on. 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 SummaryThis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networks.","author":[{"dropping-particle":"","family":"Friston","given":"Karl J.","non-dropping-particle":"","parse-names":false,"suffix":""},{"dropping-particle":"","family":"Fagerholm","given":"Erik D.","non-dropping-particle":"","parse-names":false,"suffix":""},{"dropping-particle":"","family":"Zarghami","given":"Tahereh S.","non-dropping-particle":"","parse-names":false,"suffix":""},{"dropping-particle":"","family":"Parr","given":"Thomas","non-dropping-particle":"","parse-names":false,"suffix":""},{"dropping-particle":"","family":"Hipólito","given":"Inês","non-dropping-particle":"","parse-names":false,"suffix":""},{"dropping-particle":"","family":"Magrou","given":"Loïc","non-dropping-particle":"","parse-names":false,"suffix":""},{"dropping-particle":"","family":"Razi","given":"Adeel","non-dropping-particle":"","parse-names":false,"suffix":""}],"container-title":"Network Neuroscience","id":"ITEM-1","issue":"1","issued":{"date-parts":[["2021"]]},"page":"211-251","title":"Parcels and particles: Markov blankets in the brain","type":"article-journal","volume":"5"},"uris":["http://www.mendeley.com/documents/?uuid=6c7209a6-e37f-4c11-9c17-36d1d5b1bbd8"]}],"mendeley":{"formattedCitation":"&lt;sup&gt;11&lt;/sup&gt;","plainTextFormattedCitation":"11","previouslyFormattedCitation":"&lt;sup&gt;10&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11</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corresponds to the positive definite stationary form of the matrix </w:t>
      </w:r>
      <w:r w:rsidRPr="007061DD">
        <w:rPr>
          <w:rFonts w:ascii="Cambria Math" w:hAnsi="Cambria Math" w:cs="Cambria Math"/>
          <w:color w:val="000000" w:themeColor="text1"/>
          <w:lang w:val="en-GB"/>
        </w:rPr>
        <w:t>𝑄</w:t>
      </w:r>
      <w:r w:rsidRPr="007061DD">
        <w:rPr>
          <w:rFonts w:ascii="Times New Roman" w:hAnsi="Times New Roman" w:cs="Times New Roman"/>
          <w:color w:val="000000" w:themeColor="text1"/>
          <w:lang w:val="en-GB"/>
        </w:rPr>
        <w:t xml:space="preserve"> defined in</w:t>
      </w:r>
      <w:r w:rsidRPr="007061DD">
        <w:rPr>
          <w:rFonts w:ascii="Times New Roman" w:hAnsi="Times New Roman" w:cs="Times New Roman"/>
          <w:color w:val="000000" w:themeColor="text1"/>
          <w:lang w:val="en-GB"/>
        </w:rPr>
        <w:fldChar w:fldCharType="begin" w:fldLock="1"/>
      </w:r>
      <w:r w:rsidRPr="007061DD">
        <w:rPr>
          <w:rFonts w:ascii="Times New Roman" w:hAnsi="Times New Roman" w:cs="Times New Roman"/>
          <w:color w:val="000000" w:themeColor="text1"/>
          <w:lang w:val="en-GB"/>
        </w:rPr>
        <w:instrText>ADDIN CSL_CITATION {"citationItems":[{"id":"ITEM-1","itemData":{"DOI":"10.1016/j.neuroimage.2019.116367","ISSN":"10959572","PMID":"31812714","abstract":"Contemporary neuroscience has embraced network science and dynamical systems to study the complex and self-organized structure of the human brain. Despite the developments in non-invasive neuroimaging techniques, a full understanding of the directed interactions in whole brain networks, referred to as effective connectivity, as well as their role in the emergent brain dynamics is still lacking. The main reason is that estimating brain connectivity requires solving a formidable large-scale inverse problem from indirect and noisy measurements. Building on the dynamic causal modelling framework, the present study offers a novel method for estimating whole-brain effective connectivity from resting-state functional magnetic resonance data. To this purpose sparse estimation methods are adapted to infer the parameters of our novel model, which is based on a linearized, region-specific haemodynamic response function. The resulting algorithm, referred to as sparse DCM, is shown to compare favorably with state-of-the art methods when tested on both synthetic and real data. We also provide a graph-theoretical analysis on the whole-brain effective connectivity estimated using data from a cohort of healthy individuals, which reveals properties such as asymmetry in the connectivity structure as well as the different roles of brain areas in favoring segregation or integration.","author":[{"dropping-particle":"","family":"Prando","given":"Giulia","non-dropping-particle":"","parse-names":false,"suffix":""},{"dropping-particle":"","family":"Zorzi","given":"Mattia","non-dropping-particle":"","parse-names":false,"suffix":""},{"dropping-particle":"","family":"Bertoldo","given":"Alessandra","non-dropping-particle":"","parse-names":false,"suffix":""},{"dropping-particle":"","family":"Corbetta","given":"Maurizio","non-dropping-particle":"","parse-names":false,"suffix":""},{"dropping-particle":"","family":"Zorzi","given":"Marco","non-dropping-particle":"","parse-names":false,"suffix":""},{"dropping-particle":"","family":"Chiuso","given":"Alessandro","non-dropping-particle":"","parse-names":false,"suffix":""}],"container-title":"NeuroImage","id":"ITEM-1","issue":"December 2019","issued":{"date-parts":[["2020"]]},"page":"116367","publisher":"Elsevier Ltd","title":"Sparse DCM for whole-brain effective connectivity from resting-state fMRI data","type":"article-journal","volume":"208"},"uris":["http://www.mendeley.com/documents/?uuid=067e7778-372d-4e9c-af30-b79149cbe2f6"]}],"mendeley":{"formattedCitation":"&lt;sup&gt;5&lt;/sup&gt;","plainTextFormattedCitation":"5","previouslyFormattedCitation":"&lt;sup&gt;5&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Pr="007061DD">
        <w:rPr>
          <w:rFonts w:ascii="Times New Roman" w:hAnsi="Times New Roman" w:cs="Times New Roman"/>
          <w:noProof/>
          <w:color w:val="000000" w:themeColor="text1"/>
          <w:vertAlign w:val="superscript"/>
          <w:lang w:val="en-GB"/>
        </w:rPr>
        <w:t>5</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namely, </w:t>
      </w:r>
      <m:oMath>
        <m:sSub>
          <m:sSubPr>
            <m:ctrlPr>
              <w:rPr>
                <w:rFonts w:ascii="Cambria Math" w:hAnsi="Cambria Math" w:cs="Times New Roman"/>
                <w:i/>
                <w:iCs/>
                <w:color w:val="000000" w:themeColor="text1"/>
                <w:kern w:val="2"/>
                <w14:ligatures w14:val="standardContextual"/>
              </w:rPr>
            </m:ctrlPr>
          </m:sSubPr>
          <m:e>
            <m:r>
              <w:rPr>
                <w:rFonts w:ascii="Cambria Math" w:hAnsi="Cambria Math" w:cs="Times New Roman"/>
                <w:color w:val="000000" w:themeColor="text1"/>
                <w:kern w:val="2"/>
                <w14:ligatures w14:val="standardContextual"/>
              </w:rPr>
              <m:t>Σ</m:t>
            </m:r>
          </m:e>
          <m:sub>
            <m:r>
              <w:rPr>
                <w:rFonts w:ascii="Cambria Math" w:hAnsi="Cambria Math" w:cs="Times New Roman"/>
                <w:color w:val="000000" w:themeColor="text1"/>
                <w:kern w:val="2"/>
                <w14:ligatures w14:val="standardContextual"/>
              </w:rPr>
              <m:t>w</m:t>
            </m:r>
          </m:sub>
        </m:sSub>
        <m:r>
          <w:rPr>
            <w:rFonts w:ascii="Cambria Math" w:hAnsi="Cambria Math" w:cs="Times New Roman"/>
            <w:color w:val="000000" w:themeColor="text1"/>
            <w:kern w:val="2"/>
            <w14:ligatures w14:val="standardContextual"/>
          </w:rPr>
          <m:t>=E</m:t>
        </m:r>
        <m:d>
          <m:dPr>
            <m:begChr m:val="["/>
            <m:endChr m:val="]"/>
            <m:ctrlPr>
              <w:rPr>
                <w:rFonts w:ascii="Cambria Math" w:hAnsi="Cambria Math" w:cs="Times New Roman"/>
                <w:i/>
                <w:iCs/>
                <w:color w:val="000000" w:themeColor="text1"/>
                <w:kern w:val="2"/>
                <w14:ligatures w14:val="standardContextual"/>
              </w:rPr>
            </m:ctrlPr>
          </m:dPr>
          <m:e>
            <m:r>
              <m:rPr>
                <m:sty m:val="bi"/>
              </m:rPr>
              <w:rPr>
                <w:rFonts w:ascii="Cambria Math" w:hAnsi="Cambria Math" w:cs="Times New Roman"/>
                <w:color w:val="000000" w:themeColor="text1"/>
                <w:kern w:val="2"/>
                <w14:ligatures w14:val="standardContextual"/>
              </w:rPr>
              <m:t>w</m:t>
            </m:r>
            <m:d>
              <m:dPr>
                <m:ctrlPr>
                  <w:rPr>
                    <w:rFonts w:ascii="Cambria Math" w:hAnsi="Cambria Math" w:cs="Times New Roman"/>
                    <w:i/>
                    <w:iCs/>
                    <w:color w:val="000000" w:themeColor="text1"/>
                    <w:kern w:val="2"/>
                    <w14:ligatures w14:val="standardContextual"/>
                  </w:rPr>
                </m:ctrlPr>
              </m:dPr>
              <m:e>
                <m:r>
                  <w:rPr>
                    <w:rFonts w:ascii="Cambria Math" w:hAnsi="Cambria Math" w:cs="Times New Roman"/>
                    <w:color w:val="000000" w:themeColor="text1"/>
                    <w:kern w:val="2"/>
                    <w14:ligatures w14:val="standardContextual"/>
                  </w:rPr>
                  <m:t>t</m:t>
                </m:r>
              </m:e>
            </m:d>
            <m:r>
              <m:rPr>
                <m:sty m:val="bi"/>
              </m:rPr>
              <w:rPr>
                <w:rFonts w:ascii="Cambria Math" w:hAnsi="Cambria Math" w:cs="Times New Roman"/>
                <w:color w:val="000000" w:themeColor="text1"/>
                <w:kern w:val="2"/>
                <w14:ligatures w14:val="standardContextual"/>
              </w:rPr>
              <m:t>w</m:t>
            </m:r>
            <m:sSup>
              <m:sSupPr>
                <m:ctrlPr>
                  <w:rPr>
                    <w:rFonts w:ascii="Cambria Math" w:hAnsi="Cambria Math" w:cs="Times New Roman"/>
                    <w:i/>
                    <w:iCs/>
                    <w:color w:val="000000" w:themeColor="text1"/>
                    <w:kern w:val="2"/>
                    <w14:ligatures w14:val="standardContextual"/>
                  </w:rPr>
                </m:ctrlPr>
              </m:sSupPr>
              <m:e>
                <m:d>
                  <m:dPr>
                    <m:ctrlPr>
                      <w:rPr>
                        <w:rFonts w:ascii="Cambria Math" w:hAnsi="Cambria Math" w:cs="Times New Roman"/>
                        <w:i/>
                        <w:iCs/>
                        <w:color w:val="000000" w:themeColor="text1"/>
                        <w:kern w:val="2"/>
                        <w14:ligatures w14:val="standardContextual"/>
                      </w:rPr>
                    </m:ctrlPr>
                  </m:dPr>
                  <m:e>
                    <m:r>
                      <w:rPr>
                        <w:rFonts w:ascii="Cambria Math" w:hAnsi="Cambria Math" w:cs="Times New Roman"/>
                        <w:color w:val="000000" w:themeColor="text1"/>
                        <w:kern w:val="2"/>
                        <w14:ligatures w14:val="standardContextual"/>
                      </w:rPr>
                      <m:t>t</m:t>
                    </m:r>
                  </m:e>
                </m:d>
              </m:e>
              <m:sup>
                <m:r>
                  <w:rPr>
                    <w:rFonts w:ascii="Cambria Math" w:hAnsi="Cambria Math" w:cs="Times New Roman"/>
                    <w:color w:val="000000" w:themeColor="text1"/>
                    <w:kern w:val="2"/>
                    <w14:ligatures w14:val="standardContextual"/>
                  </w:rPr>
                  <m:t>⊤</m:t>
                </m:r>
              </m:sup>
            </m:sSup>
          </m:e>
        </m:d>
      </m:oMath>
      <w:r w:rsidRPr="007061DD">
        <w:rPr>
          <w:rFonts w:ascii="Times New Roman" w:hAnsi="Times New Roman" w:cs="Times New Roman"/>
          <w:color w:val="000000" w:themeColor="text1"/>
          <w:lang w:val="en-GB"/>
        </w:rPr>
        <w:t xml:space="preserve">. Since we assumed uncorrelated noise across nodes, </w:t>
      </w:r>
      <m:oMath>
        <m:sSub>
          <m:sSubPr>
            <m:ctrlPr>
              <w:rPr>
                <w:rFonts w:ascii="Cambria Math" w:hAnsi="Cambria Math" w:cs="Times New Roman"/>
                <w:i/>
                <w:iCs/>
                <w:color w:val="000000" w:themeColor="text1"/>
                <w:kern w:val="2"/>
                <w14:ligatures w14:val="standardContextual"/>
              </w:rPr>
            </m:ctrlPr>
          </m:sSubPr>
          <m:e>
            <m:r>
              <m:rPr>
                <m:sty m:val="p"/>
              </m:rPr>
              <w:rPr>
                <w:rFonts w:ascii="Cambria Math" w:hAnsi="Cambria Math" w:cs="Times New Roman"/>
                <w:color w:val="000000" w:themeColor="text1"/>
                <w:kern w:val="2"/>
                <w14:ligatures w14:val="standardContextual"/>
              </w:rPr>
              <m:t>Σ</m:t>
            </m:r>
            <m:ctrlPr>
              <w:rPr>
                <w:rFonts w:ascii="Cambria Math" w:hAnsi="Cambria Math" w:cs="Times New Roman"/>
                <w:iCs/>
                <w:color w:val="000000" w:themeColor="text1"/>
                <w:kern w:val="2"/>
                <w14:ligatures w14:val="standardContextual"/>
              </w:rPr>
            </m:ctrlPr>
          </m:e>
          <m:sub>
            <m:r>
              <w:rPr>
                <w:rFonts w:ascii="Cambria Math" w:hAnsi="Cambria Math" w:cs="Times New Roman"/>
                <w:color w:val="000000" w:themeColor="text1"/>
                <w:kern w:val="2"/>
                <w14:ligatures w14:val="standardContextual"/>
              </w:rPr>
              <m:t>w</m:t>
            </m:r>
          </m:sub>
        </m:sSub>
        <m:r>
          <w:rPr>
            <w:rFonts w:ascii="Cambria Math" w:hAnsi="Cambria Math" w:cs="Times New Roman"/>
            <w:color w:val="000000" w:themeColor="text1"/>
            <w:kern w:val="2"/>
            <w14:ligatures w14:val="standardContextual"/>
          </w:rPr>
          <m:t>=</m:t>
        </m:r>
        <m:sSup>
          <m:sSupPr>
            <m:ctrlPr>
              <w:rPr>
                <w:rFonts w:ascii="Cambria Math" w:hAnsi="Cambria Math" w:cs="Times New Roman"/>
                <w:i/>
                <w:iCs/>
                <w:color w:val="000000" w:themeColor="text1"/>
                <w:kern w:val="2"/>
                <w14:ligatures w14:val="standardContextual"/>
              </w:rPr>
            </m:ctrlPr>
          </m:sSupPr>
          <m:e>
            <m:r>
              <m:rPr>
                <m:sty m:val="p"/>
              </m:rPr>
              <w:rPr>
                <w:rFonts w:ascii="Cambria Math" w:hAnsi="Cambria Math" w:cs="Times New Roman"/>
                <w:color w:val="000000" w:themeColor="text1"/>
                <w:kern w:val="2"/>
                <w14:ligatures w14:val="standardContextual"/>
              </w:rPr>
              <m:t>σ</m:t>
            </m:r>
          </m:e>
          <m:sup>
            <m:r>
              <w:rPr>
                <w:rFonts w:ascii="Cambria Math" w:hAnsi="Cambria Math" w:cs="Times New Roman"/>
                <w:color w:val="000000" w:themeColor="text1"/>
                <w:kern w:val="2"/>
                <w14:ligatures w14:val="standardContextual"/>
              </w:rPr>
              <m:t>2</m:t>
            </m:r>
          </m:sup>
        </m:sSup>
        <m:sSub>
          <m:sSubPr>
            <m:ctrlPr>
              <w:rPr>
                <w:rFonts w:ascii="Cambria Math" w:hAnsi="Cambria Math" w:cs="Times New Roman"/>
                <w:i/>
                <w:iCs/>
                <w:color w:val="000000" w:themeColor="text1"/>
                <w:kern w:val="2"/>
                <w14:ligatures w14:val="standardContextual"/>
              </w:rPr>
            </m:ctrlPr>
          </m:sSubPr>
          <m:e>
            <m:r>
              <w:rPr>
                <w:rFonts w:ascii="Cambria Math" w:hAnsi="Cambria Math" w:cs="Times New Roman"/>
                <w:color w:val="000000" w:themeColor="text1"/>
                <w:kern w:val="2"/>
                <w14:ligatures w14:val="standardContextual"/>
              </w:rPr>
              <m:t>I</m:t>
            </m:r>
          </m:e>
          <m:sub>
            <m:r>
              <w:rPr>
                <w:rFonts w:ascii="Cambria Math" w:hAnsi="Cambria Math" w:cs="Times New Roman"/>
                <w:color w:val="000000" w:themeColor="text1"/>
                <w:kern w:val="2"/>
                <w14:ligatures w14:val="standardContextual"/>
              </w:rPr>
              <m:t>n</m:t>
            </m:r>
          </m:sub>
        </m:sSub>
      </m:oMath>
      <w:r w:rsidRPr="007061DD">
        <w:rPr>
          <w:rFonts w:ascii="Times New Roman" w:hAnsi="Times New Roman" w:cs="Times New Roman"/>
          <w:color w:val="000000" w:themeColor="text1"/>
          <w:lang w:val="en-GB"/>
        </w:rPr>
        <w:t xml:space="preserve">where </w:t>
      </w:r>
      <m:oMath>
        <m:sSup>
          <m:sSupPr>
            <m:ctrlPr>
              <w:rPr>
                <w:rFonts w:ascii="Cambria Math" w:hAnsi="Cambria Math" w:cs="Times New Roman"/>
                <w:i/>
                <w:iCs/>
                <w:color w:val="000000" w:themeColor="text1"/>
                <w:kern w:val="2"/>
                <w14:ligatures w14:val="standardContextual"/>
              </w:rPr>
            </m:ctrlPr>
          </m:sSupPr>
          <m:e>
            <m:r>
              <m:rPr>
                <m:sty m:val="p"/>
              </m:rPr>
              <w:rPr>
                <w:rFonts w:ascii="Cambria Math" w:hAnsi="Cambria Math" w:cs="Times New Roman"/>
                <w:color w:val="000000" w:themeColor="text1"/>
                <w:kern w:val="2"/>
                <w14:ligatures w14:val="standardContextual"/>
              </w:rPr>
              <m:t>σ</m:t>
            </m:r>
          </m:e>
          <m:sup>
            <m:r>
              <w:rPr>
                <w:rFonts w:ascii="Cambria Math" w:hAnsi="Cambria Math" w:cs="Times New Roman"/>
                <w:color w:val="000000" w:themeColor="text1"/>
                <w:kern w:val="2"/>
                <w14:ligatures w14:val="standardContextual"/>
              </w:rPr>
              <m:t>2</m:t>
            </m:r>
          </m:sup>
        </m:sSup>
      </m:oMath>
      <w:r w:rsidRPr="007061DD">
        <w:rPr>
          <w:rFonts w:ascii="Times New Roman" w:hAnsi="Times New Roman" w:cs="Times New Roman"/>
          <w:color w:val="000000" w:themeColor="text1"/>
          <w:lang w:val="en-GB"/>
        </w:rPr>
        <w:t xml:space="preserve"> represents the variance of each brain endogenous fluctuations and </w:t>
      </w:r>
      <m:oMath>
        <m:sSub>
          <m:sSubPr>
            <m:ctrlPr>
              <w:rPr>
                <w:rFonts w:ascii="Cambria Math" w:hAnsi="Cambria Math" w:cs="Times New Roman"/>
                <w:i/>
                <w:iCs/>
                <w:color w:val="000000" w:themeColor="text1"/>
                <w:kern w:val="2"/>
                <w14:ligatures w14:val="standardContextual"/>
              </w:rPr>
            </m:ctrlPr>
          </m:sSubPr>
          <m:e>
            <m:r>
              <w:rPr>
                <w:rFonts w:ascii="Cambria Math" w:hAnsi="Cambria Math" w:cs="Times New Roman"/>
                <w:color w:val="000000" w:themeColor="text1"/>
                <w:kern w:val="2"/>
                <w14:ligatures w14:val="standardContextual"/>
              </w:rPr>
              <m:t>I</m:t>
            </m:r>
          </m:e>
          <m:sub>
            <m:r>
              <w:rPr>
                <w:rFonts w:ascii="Cambria Math" w:hAnsi="Cambria Math" w:cs="Times New Roman"/>
                <w:color w:val="000000" w:themeColor="text1"/>
                <w:kern w:val="2"/>
                <w14:ligatures w14:val="standardContextual"/>
              </w:rPr>
              <m:t>n</m:t>
            </m:r>
          </m:sub>
        </m:sSub>
      </m:oMath>
      <w:r w:rsidRPr="007061DD">
        <w:rPr>
          <w:rFonts w:ascii="Times New Roman" w:hAnsi="Times New Roman" w:cs="Times New Roman"/>
          <w:color w:val="000000" w:themeColor="text1"/>
          <w:lang w:val="en-GB"/>
        </w:rPr>
        <w:t xml:space="preserve"> is the identity matrix of size </w:t>
      </w:r>
      <m:oMath>
        <m:r>
          <w:rPr>
            <w:rFonts w:ascii="Cambria Math" w:hAnsi="Cambria Math" w:cs="Times New Roman"/>
            <w:color w:val="000000" w:themeColor="text1"/>
            <w:kern w:val="2"/>
            <w14:ligatures w14:val="standardContextual"/>
          </w:rPr>
          <m:t>n</m:t>
        </m:r>
      </m:oMath>
      <w:r w:rsidRPr="007061DD">
        <w:rPr>
          <w:rFonts w:ascii="Times New Roman" w:hAnsi="Times New Roman" w:cs="Times New Roman"/>
          <w:color w:val="000000" w:themeColor="text1"/>
          <w:lang w:val="en-GB"/>
        </w:rPr>
        <w:t xml:space="preserve">. On the other hand, the inverse of the covariance matrix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w:r w:rsidRPr="007061DD">
        <w:rPr>
          <w:rFonts w:ascii="Times New Roman" w:hAnsi="Times New Roman" w:cs="Times New Roman"/>
          <w:color w:val="000000" w:themeColor="text1"/>
          <w:lang w:val="en-GB"/>
        </w:rPr>
        <w:t xml:space="preserve"> (also known as precision matrix) derives from inverting the steady-state covariance matrix </w:t>
      </w:r>
      <m:oMath>
        <m:r>
          <m:rPr>
            <m:sty m:val="p"/>
          </m:rPr>
          <w:rPr>
            <w:rFonts w:ascii="Cambria Math" w:hAnsi="Cambria Math" w:cs="Times New Roman"/>
            <w:color w:val="000000" w:themeColor="text1"/>
            <w:lang w:val="en-GB"/>
          </w:rPr>
          <m:t>Σ</m:t>
        </m:r>
      </m:oMath>
      <w:r w:rsidRPr="007061DD">
        <w:rPr>
          <w:rFonts w:ascii="Times New Roman" w:hAnsi="Times New Roman" w:cs="Times New Roman"/>
          <w:color w:val="000000" w:themeColor="text1"/>
          <w:lang w:val="en-GB"/>
        </w:rPr>
        <w:t xml:space="preserve">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80" w:firstRow="0" w:lastRow="0" w:firstColumn="1" w:lastColumn="0" w:noHBand="1" w:noVBand="1"/>
      </w:tblPr>
      <w:tblGrid>
        <w:gridCol w:w="3116"/>
        <w:gridCol w:w="3117"/>
        <w:gridCol w:w="3117"/>
      </w:tblGrid>
      <w:tr w:rsidR="007470C2" w:rsidRPr="007061DD" w14:paraId="45422817" w14:textId="77777777">
        <w:tc>
          <w:tcPr>
            <w:tcW w:w="3116" w:type="dxa"/>
          </w:tcPr>
          <w:p w14:paraId="5297C4F9" w14:textId="77777777" w:rsidR="007470C2" w:rsidRPr="007061DD" w:rsidRDefault="007470C2" w:rsidP="00DC0ED9">
            <w:pPr>
              <w:spacing w:line="360" w:lineRule="auto"/>
              <w:jc w:val="both"/>
              <w:rPr>
                <w:rFonts w:ascii="Times New Roman" w:hAnsi="Times New Roman" w:cs="Times New Roman"/>
                <w:color w:val="000000" w:themeColor="text1"/>
                <w:lang w:val="en-GB"/>
              </w:rPr>
            </w:pPr>
          </w:p>
        </w:tc>
        <w:tc>
          <w:tcPr>
            <w:tcW w:w="3117" w:type="dxa"/>
          </w:tcPr>
          <w:p w14:paraId="236C5921" w14:textId="77777777" w:rsidR="007470C2" w:rsidRPr="007061DD" w:rsidRDefault="007470C2" w:rsidP="00DC0ED9">
            <w:pPr>
              <w:spacing w:line="360" w:lineRule="auto"/>
              <w:jc w:val="both"/>
              <w:rPr>
                <w:rFonts w:ascii="Times New Roman" w:hAnsi="Times New Roman" w:cs="Times New Roman"/>
                <w:color w:val="000000" w:themeColor="text1"/>
                <w:lang w:val="en-GB"/>
              </w:rPr>
            </w:pPr>
            <m:oMathPara>
              <m:oMath>
                <m:r>
                  <w:rPr>
                    <w:rFonts w:ascii="Cambria Math" w:hAnsi="Cambria Math" w:cs="Times New Roman"/>
                    <w:color w:val="000000" w:themeColor="text1"/>
                  </w:rPr>
                  <m:t>Σ≔</m:t>
                </m:r>
                <m:func>
                  <m:funcPr>
                    <m:ctrlPr>
                      <w:rPr>
                        <w:rFonts w:ascii="Cambria Math" w:hAnsi="Cambria Math" w:cs="Times New Roman"/>
                        <w:i/>
                        <w:iCs/>
                        <w:color w:val="000000" w:themeColor="text1"/>
                      </w:rPr>
                    </m:ctrlPr>
                  </m:funcPr>
                  <m:fName>
                    <m:limLow>
                      <m:limLowPr>
                        <m:ctrlPr>
                          <w:rPr>
                            <w:rFonts w:ascii="Cambria Math" w:hAnsi="Cambria Math" w:cs="Times New Roman"/>
                            <w:i/>
                            <w:iCs/>
                            <w:color w:val="000000" w:themeColor="text1"/>
                          </w:rPr>
                        </m:ctrlPr>
                      </m:limLowPr>
                      <m:e>
                        <m:r>
                          <w:rPr>
                            <w:rFonts w:ascii="Cambria Math" w:hAnsi="Cambria Math" w:cs="Times New Roman"/>
                            <w:color w:val="000000" w:themeColor="text1"/>
                          </w:rPr>
                          <m:t>lim</m:t>
                        </m:r>
                      </m:e>
                      <m:lim>
                        <m:r>
                          <w:rPr>
                            <w:rFonts w:ascii="Cambria Math" w:hAnsi="Cambria Math" w:cs="Times New Roman"/>
                            <w:color w:val="000000" w:themeColor="text1"/>
                          </w:rPr>
                          <m:t>t→∞</m:t>
                        </m:r>
                      </m:lim>
                    </m:limLow>
                  </m:fName>
                  <m:e>
                    <m:r>
                      <w:rPr>
                        <w:rFonts w:ascii="Cambria Math" w:hAnsi="Cambria Math" w:cs="Times New Roman"/>
                        <w:color w:val="000000" w:themeColor="text1"/>
                      </w:rPr>
                      <m:t>E</m:t>
                    </m:r>
                  </m:e>
                </m:func>
                <m:d>
                  <m:dPr>
                    <m:begChr m:val="["/>
                    <m:endChr m:val="]"/>
                    <m:ctrlPr>
                      <w:rPr>
                        <w:rFonts w:ascii="Cambria Math" w:hAnsi="Cambria Math" w:cs="Times New Roman"/>
                        <w:i/>
                        <w:iCs/>
                        <w:color w:val="000000" w:themeColor="text1"/>
                      </w:rPr>
                    </m:ctrlPr>
                  </m:dPr>
                  <m:e>
                    <m:r>
                      <m:rPr>
                        <m:sty m:val="bi"/>
                      </m:rPr>
                      <w:rPr>
                        <w:rFonts w:ascii="Cambria Math" w:hAnsi="Cambria Math" w:cs="Times New Roman"/>
                        <w:color w:val="000000" w:themeColor="text1"/>
                      </w:rPr>
                      <m:t>x</m:t>
                    </m:r>
                    <m:d>
                      <m:dPr>
                        <m:ctrlPr>
                          <w:rPr>
                            <w:rFonts w:ascii="Cambria Math" w:hAnsi="Cambria Math" w:cs="Times New Roman"/>
                            <w:i/>
                            <w:iCs/>
                            <w:color w:val="000000" w:themeColor="text1"/>
                          </w:rPr>
                        </m:ctrlPr>
                      </m:dPr>
                      <m:e>
                        <m:r>
                          <w:rPr>
                            <w:rFonts w:ascii="Cambria Math" w:hAnsi="Cambria Math" w:cs="Times New Roman"/>
                            <w:color w:val="000000" w:themeColor="text1"/>
                          </w:rPr>
                          <m:t>t</m:t>
                        </m:r>
                      </m:e>
                    </m:d>
                    <m:r>
                      <m:rPr>
                        <m:sty m:val="bi"/>
                      </m:rPr>
                      <w:rPr>
                        <w:rFonts w:ascii="Cambria Math" w:hAnsi="Cambria Math" w:cs="Times New Roman"/>
                        <w:color w:val="000000" w:themeColor="text1"/>
                      </w:rPr>
                      <m:t>x</m:t>
                    </m:r>
                    <m:sSup>
                      <m:sSupPr>
                        <m:ctrlPr>
                          <w:rPr>
                            <w:rFonts w:ascii="Cambria Math" w:hAnsi="Cambria Math" w:cs="Times New Roman"/>
                            <w:i/>
                            <w:iCs/>
                            <w:color w:val="000000" w:themeColor="text1"/>
                          </w:rPr>
                        </m:ctrlPr>
                      </m:sSupPr>
                      <m:e>
                        <m:d>
                          <m:dPr>
                            <m:ctrlPr>
                              <w:rPr>
                                <w:rFonts w:ascii="Cambria Math" w:hAnsi="Cambria Math" w:cs="Times New Roman"/>
                                <w:i/>
                                <w:iCs/>
                                <w:color w:val="000000" w:themeColor="text1"/>
                              </w:rPr>
                            </m:ctrlPr>
                          </m:dPr>
                          <m:e>
                            <m:r>
                              <w:rPr>
                                <w:rFonts w:ascii="Cambria Math" w:hAnsi="Cambria Math" w:cs="Times New Roman"/>
                                <w:color w:val="000000" w:themeColor="text1"/>
                              </w:rPr>
                              <m:t>t</m:t>
                            </m:r>
                          </m:e>
                        </m:d>
                      </m:e>
                      <m:sup>
                        <m:r>
                          <w:rPr>
                            <w:rFonts w:ascii="Cambria Math" w:hAnsi="Cambria Math" w:cs="Times New Roman"/>
                            <w:color w:val="000000" w:themeColor="text1"/>
                          </w:rPr>
                          <m:t>⊤</m:t>
                        </m:r>
                      </m:sup>
                    </m:sSup>
                  </m:e>
                </m:d>
              </m:oMath>
            </m:oMathPara>
          </w:p>
        </w:tc>
        <w:tc>
          <w:tcPr>
            <w:tcW w:w="3117" w:type="dxa"/>
          </w:tcPr>
          <w:p w14:paraId="0EA40435" w14:textId="77777777" w:rsidR="007470C2" w:rsidRPr="007061DD" w:rsidRDefault="007470C2" w:rsidP="00DC0ED9">
            <w:pPr>
              <w:spacing w:line="360" w:lineRule="auto"/>
              <w:jc w:val="right"/>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(2)</w:t>
            </w:r>
          </w:p>
        </w:tc>
      </w:tr>
    </w:tbl>
    <w:p w14:paraId="1608D519" w14:textId="64B84574"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for which the algebraic Lyapunov equation holds</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{"citationItems":[{"id":"ITEM-1","itemData":{"abstract":"In this paper, we consider stable stochastic linear systems modeling whole-brain resting-state dynamics. We parametrize the state matrix of the system (effective connectivity) in terms of its steady-state covariance matrix (functional connectivity) and a skew-symmetric matrix $S$. We examine how the matrix $S$ influences some relevant dynamic properties of the system. Specifically, we show that a large $S$ enhances the degree of stability and excitability of the system, and makes the latter more responsive to high-frequency inputs.","author":[{"dropping-particle":"","family":"Casti","given":"Umberto","non-dropping-particle":"","parse-names":false,"suffix":""},{"dropping-particle":"","family":"Baggio","given":"Giacomo","non-dropping-particle":"","parse-names":false,"suffix":""},{"dropping-particle":"","family":"Benozzo","given":"Danilo","non-dropping-particle":"","parse-names":false,"suffix":""},{"dropping-particle":"","family":"Zampieri","given":"Sandro","non-dropping-particle":"","parse-names":false,"suffix":""},{"dropping-particle":"","family":"Bertoldo","given":"Alessandra","non-dropping-particle":"","parse-names":false,"suffix":""},{"dropping-particle":"","family":"Chiuso","given":"Alessandro","non-dropping-particle":"","parse-names":false,"suffix":""}],"id":"ITEM-1","issued":{"date-parts":[["2023"]]},"title":"Dynamic Brain Networks with Prescribed Functional Connectivity","type":"article-journal"},"uris":["http://www.mendeley.com/documents/?uuid=82cec2e5-c93d-4b95-8d53-f1d30e61cc71"]}],"mendeley":{"formattedCitation":"&lt;sup&gt;13&lt;/sup&gt;","plainTextFormattedCitation":"13","previouslyFormattedCitation":"&lt;sup&gt;12&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13</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7470C2" w:rsidRPr="007061DD" w14:paraId="49B6A1D1" w14:textId="77777777">
        <w:tc>
          <w:tcPr>
            <w:tcW w:w="3116" w:type="dxa"/>
          </w:tcPr>
          <w:p w14:paraId="6BE3D248" w14:textId="77777777" w:rsidR="007470C2" w:rsidRPr="007061DD" w:rsidRDefault="007470C2" w:rsidP="00DC0ED9">
            <w:pPr>
              <w:spacing w:line="360" w:lineRule="auto"/>
              <w:jc w:val="both"/>
              <w:rPr>
                <w:rFonts w:ascii="Times New Roman" w:hAnsi="Times New Roman" w:cs="Times New Roman"/>
                <w:color w:val="000000" w:themeColor="text1"/>
              </w:rPr>
            </w:pPr>
          </w:p>
        </w:tc>
        <w:tc>
          <w:tcPr>
            <w:tcW w:w="3117" w:type="dxa"/>
          </w:tcPr>
          <w:p w14:paraId="1E0708D2" w14:textId="77777777" w:rsidR="007470C2" w:rsidRPr="007061DD" w:rsidRDefault="007470C2" w:rsidP="00DC0ED9">
            <w:pPr>
              <w:spacing w:line="360" w:lineRule="auto"/>
              <w:jc w:val="both"/>
              <w:rPr>
                <w:rFonts w:ascii="Times New Roman" w:hAnsi="Times New Roman" w:cs="Times New Roman"/>
                <w:color w:val="000000" w:themeColor="text1"/>
                <w:lang w:val="en-GB"/>
              </w:rPr>
            </w:pPr>
            <m:oMathPara>
              <m:oMath>
                <m:r>
                  <w:rPr>
                    <w:rFonts w:ascii="Cambria Math" w:hAnsi="Cambria Math" w:cs="Times New Roman"/>
                    <w:color w:val="000000" w:themeColor="text1"/>
                  </w:rPr>
                  <m:t>A</m:t>
                </m:r>
                <m:r>
                  <m:rPr>
                    <m:sty m:val="p"/>
                  </m:rPr>
                  <w:rPr>
                    <w:rFonts w:ascii="Cambria Math" w:hAnsi="Cambria Math" w:cs="Times New Roman"/>
                    <w:color w:val="000000" w:themeColor="text1"/>
                  </w:rPr>
                  <m:t>Σ</m:t>
                </m:r>
                <m:r>
                  <w:rPr>
                    <w:rFonts w:ascii="Cambria Math" w:hAnsi="Cambria Math" w:cs="Times New Roman"/>
                    <w:color w:val="000000" w:themeColor="text1"/>
                  </w:rPr>
                  <m:t>+</m:t>
                </m:r>
                <m:r>
                  <m:rPr>
                    <m:sty m:val="p"/>
                  </m:rPr>
                  <w:rPr>
                    <w:rFonts w:ascii="Cambria Math" w:hAnsi="Cambria Math" w:cs="Times New Roman"/>
                    <w:color w:val="000000" w:themeColor="text1"/>
                  </w:rPr>
                  <m:t>Σ</m:t>
                </m:r>
                <m:sSup>
                  <m:sSupPr>
                    <m:ctrlPr>
                      <w:rPr>
                        <w:rFonts w:ascii="Cambria Math" w:hAnsi="Cambria Math" w:cs="Times New Roman"/>
                        <w:i/>
                        <w:iCs/>
                        <w:color w:val="000000" w:themeColor="text1"/>
                      </w:rPr>
                    </m:ctrlPr>
                  </m:sSupPr>
                  <m:e>
                    <m:r>
                      <w:rPr>
                        <w:rFonts w:ascii="Cambria Math" w:hAnsi="Cambria Math" w:cs="Times New Roman"/>
                        <w:color w:val="000000" w:themeColor="text1"/>
                      </w:rPr>
                      <m:t>A</m:t>
                    </m:r>
                  </m:e>
                  <m:sup>
                    <m:r>
                      <m:rPr>
                        <m:sty m:val="p"/>
                      </m:rPr>
                      <w:rPr>
                        <w:rFonts w:ascii="Cambria Math" w:hAnsi="Cambria Math" w:cs="Times New Roman"/>
                        <w:color w:val="000000" w:themeColor="text1"/>
                      </w:rPr>
                      <m:t>⊤</m:t>
                    </m:r>
                  </m:sup>
                </m:sSup>
                <m:r>
                  <w:rPr>
                    <w:rFonts w:ascii="Cambria Math" w:hAnsi="Cambria Math" w:cs="Times New Roman"/>
                    <w:color w:val="000000" w:themeColor="text1"/>
                  </w:rPr>
                  <m:t>+</m:t>
                </m:r>
                <m:sSub>
                  <m:sSubPr>
                    <m:ctrlPr>
                      <w:rPr>
                        <w:rFonts w:ascii="Cambria Math" w:hAnsi="Cambria Math" w:cs="Times New Roman"/>
                        <w:i/>
                        <w:iCs/>
                        <w:color w:val="000000" w:themeColor="text1"/>
                      </w:rPr>
                    </m:ctrlPr>
                  </m:sSubPr>
                  <m:e>
                    <m:r>
                      <m:rPr>
                        <m:sty m:val="p"/>
                      </m:rPr>
                      <w:rPr>
                        <w:rFonts w:ascii="Cambria Math" w:hAnsi="Cambria Math" w:cs="Times New Roman"/>
                        <w:color w:val="000000" w:themeColor="text1"/>
                      </w:rPr>
                      <m:t>Σ</m:t>
                    </m:r>
                  </m:e>
                  <m:sub>
                    <m:r>
                      <w:rPr>
                        <w:rFonts w:ascii="Cambria Math" w:hAnsi="Cambria Math" w:cs="Times New Roman"/>
                        <w:color w:val="000000" w:themeColor="text1"/>
                      </w:rPr>
                      <m:t>w</m:t>
                    </m:r>
                  </m:sub>
                </m:sSub>
                <m:r>
                  <w:rPr>
                    <w:rFonts w:ascii="Cambria Math" w:hAnsi="Cambria Math" w:cs="Times New Roman"/>
                    <w:color w:val="000000" w:themeColor="text1"/>
                  </w:rPr>
                  <m:t>=0</m:t>
                </m:r>
              </m:oMath>
            </m:oMathPara>
          </w:p>
        </w:tc>
        <w:tc>
          <w:tcPr>
            <w:tcW w:w="3117" w:type="dxa"/>
          </w:tcPr>
          <w:p w14:paraId="0EEA3317" w14:textId="77777777" w:rsidR="007470C2" w:rsidRPr="007061DD" w:rsidRDefault="007470C2" w:rsidP="00DC0ED9">
            <w:pPr>
              <w:spacing w:line="360" w:lineRule="auto"/>
              <w:jc w:val="right"/>
              <w:rPr>
                <w:rFonts w:ascii="Times New Roman" w:hAnsi="Times New Roman" w:cs="Times New Roman"/>
                <w:color w:val="000000" w:themeColor="text1"/>
              </w:rPr>
            </w:pPr>
            <w:r w:rsidRPr="007061DD">
              <w:rPr>
                <w:rFonts w:ascii="Times New Roman" w:hAnsi="Times New Roman" w:cs="Times New Roman"/>
                <w:color w:val="000000" w:themeColor="text1"/>
              </w:rPr>
              <w:t>(3)</w:t>
            </w:r>
          </w:p>
        </w:tc>
      </w:tr>
    </w:tbl>
    <w:p w14:paraId="7E6AAC0F" w14:textId="49DC1A69" w:rsidR="007470C2" w:rsidRPr="007061DD" w:rsidRDefault="00C86FA0"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iCs/>
          <w:color w:val="000000" w:themeColor="text1"/>
        </w:rPr>
        <w:t>As extensively discussed in</w:t>
      </w:r>
      <w:r w:rsidR="002F3FEF" w:rsidRPr="007061DD">
        <w:rPr>
          <w:rFonts w:ascii="Times New Roman" w:hAnsi="Times New Roman" w:cs="Times New Roman"/>
          <w:iCs/>
          <w:color w:val="000000" w:themeColor="text1"/>
        </w:rPr>
        <w:t xml:space="preserve"> </w:t>
      </w:r>
      <w:r w:rsidR="002F3FEF" w:rsidRPr="007061DD">
        <w:rPr>
          <w:rFonts w:ascii="Times New Roman" w:hAnsi="Times New Roman" w:cs="Times New Roman"/>
          <w:noProof/>
        </w:rPr>
        <w:t>Liégeois</w:t>
      </w:r>
      <w:r w:rsidR="00F65F40" w:rsidRPr="007061DD">
        <w:rPr>
          <w:rFonts w:ascii="Times New Roman" w:hAnsi="Times New Roman" w:cs="Times New Roman"/>
          <w:noProof/>
        </w:rPr>
        <w:t xml:space="preserve"> and collegues</w:t>
      </w:r>
      <w:r w:rsidRPr="007061DD">
        <w:rPr>
          <w:rFonts w:ascii="Times New Roman" w:hAnsi="Times New Roman" w:cs="Times New Roman"/>
          <w:iCs/>
          <w:color w:val="000000" w:themeColor="text1"/>
        </w:rPr>
        <w:t xml:space="preserve">,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w:r w:rsidR="007470C2" w:rsidRPr="007061DD">
        <w:rPr>
          <w:rFonts w:ascii="Times New Roman" w:hAnsi="Times New Roman" w:cs="Times New Roman"/>
          <w:color w:val="000000" w:themeColor="text1"/>
          <w:lang w:val="en-GB"/>
        </w:rPr>
        <w:t xml:space="preserve"> is related to the pairwise partial co</w:t>
      </w:r>
      <w:r w:rsidR="00112574" w:rsidRPr="007061DD">
        <w:rPr>
          <w:rFonts w:ascii="Times New Roman" w:hAnsi="Times New Roman" w:cs="Times New Roman"/>
          <w:color w:val="000000" w:themeColor="text1"/>
          <w:lang w:val="en-GB"/>
        </w:rPr>
        <w:t xml:space="preserve">variance </w:t>
      </w:r>
      <w:r w:rsidR="007470C2" w:rsidRPr="007061DD">
        <w:rPr>
          <w:rFonts w:ascii="Times New Roman" w:hAnsi="Times New Roman" w:cs="Times New Roman"/>
          <w:color w:val="000000" w:themeColor="text1"/>
          <w:lang w:val="en-GB"/>
        </w:rPr>
        <w:t>between each pair of neural nodes, since it captures only “direct” statistical dependencies by discarding the effects of mediators</w:t>
      </w:r>
      <w:r w:rsidR="007470C2"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{"citationItems":[{"id":"ITEM-1","itemData":{"DOI":"10.1162/netn_a_00166","abstract":"Patterns of brain structural connectivity (SC) and functional connectivity (FC) are known to be related. In SC-FC comparisons, FC has classically been evaluated from correlations between functional time series, and more recently from partial correlations or their unnormalized version encoded in the precision matrix. The latter FC metrics yield more meaningful comparisons to SC because they capture ‘direct’ statistical dependencies, that is, discarding the effects of mediators, but their use has been limited because of estimation issues. With the rise of high-quality and large neuroimaging datasets, we revisit the relevance of different FC metrics in the context of SC-FC comparisons. Using data from 100 unrelated Human Connectome Project subjects, we first explore the amount of functional data required to reliably estimate various FC metrics. We find that precision-based FC yields a better match to SC than correlation-based FC when using 5 minutes of functional data or more. Finally, using a linear model linking SC and FC, we show that the SC-FC match can be used to further interrogate various aspects of brain structure and function such as the timescales of functional dynamics in different resting-state networks or the intensity of anatomical self-connections.","author":[{"dropping-particle":"","family":"Liégeois","given":"Raphael","non-dropping-particle":"","parse-names":false,"suffix":""},{"dropping-particle":"","family":"Santos","given":"Augusto","non-dropping-particle":"","parse-names":false,"suffix":""},{"dropping-particle":"","family":"Matta","given":"Vincenzo","non-dropping-particle":"","parse-names":false,"suffix":""},{"dropping-particle":"","family":"Ville","given":"Dimitri","non-dropping-particle":"Van De","parse-names":false,"suffix":""},{"dropping-particle":"","family":"Sayed","given":"Ali H.","non-dropping-particle":"","parse-names":false,"suffix":""}],"container-title":"Network Neuroscience","id":"ITEM-1","issue":"4","issued":{"date-parts":[["2020"]]},"page":"1235-1251","title":"Revisiting correlation-based functional connectivity and its relationship with structural connectivity","type":"article-journal","volume":"4"},"uris":["http://www.mendeley.com/documents/?uuid=fd5dd806-ce87-4793-95e5-4d640e2ab45b"]}],"mendeley":{"formattedCitation":"&lt;sup&gt;14&lt;/sup&gt;","plainTextFormattedCitation":"14","previouslyFormattedCitation":"&lt;sup&gt;13&lt;/sup&gt;"},"properties":{"noteIndex":0},"schema":"https://github.com/citation-style-language/schema/raw/master/csl-citation.json"}</w:instrText>
      </w:r>
      <w:r w:rsidR="007470C2"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14</w:t>
      </w:r>
      <w:r w:rsidR="007470C2" w:rsidRPr="007061DD">
        <w:rPr>
          <w:rFonts w:ascii="Times New Roman" w:hAnsi="Times New Roman" w:cs="Times New Roman"/>
          <w:color w:val="000000" w:themeColor="text1"/>
          <w:lang w:val="en-GB"/>
        </w:rPr>
        <w:fldChar w:fldCharType="end"/>
      </w:r>
      <w:r w:rsidR="00167F1D" w:rsidRPr="007061DD">
        <w:rPr>
          <w:rFonts w:ascii="Times New Roman" w:hAnsi="Times New Roman" w:cs="Times New Roman"/>
          <w:color w:val="000000" w:themeColor="text1"/>
          <w:lang w:val="en-GB"/>
        </w:rPr>
        <w:t>, thus relating</w:t>
      </w:r>
      <w:r w:rsidR="007470C2" w:rsidRPr="007061DD">
        <w:rPr>
          <w:rFonts w:ascii="Times New Roman" w:hAnsi="Times New Roman" w:cs="Times New Roman"/>
          <w:color w:val="000000" w:themeColor="text1"/>
          <w:lang w:val="en-GB"/>
        </w:rPr>
        <w:t xml:space="preserve"> </w:t>
      </w:r>
      <w:r w:rsidR="00167F1D" w:rsidRPr="007061DD">
        <w:rPr>
          <w:rFonts w:ascii="Times New Roman" w:hAnsi="Times New Roman" w:cs="Times New Roman"/>
          <w:color w:val="000000" w:themeColor="text1"/>
          <w:lang w:val="en-GB"/>
        </w:rPr>
        <w:t xml:space="preserve">to </w:t>
      </w:r>
      <w:r w:rsidR="007470C2" w:rsidRPr="007061DD">
        <w:rPr>
          <w:rFonts w:ascii="Times New Roman" w:hAnsi="Times New Roman" w:cs="Times New Roman"/>
          <w:color w:val="000000" w:themeColor="text1"/>
          <w:lang w:val="en-GB"/>
        </w:rPr>
        <w:t>the dissipative component of the functional flow</w:t>
      </w:r>
      <w:r w:rsidR="00167F1D" w:rsidRPr="007061DD">
        <w:rPr>
          <w:rFonts w:ascii="Times New Roman" w:hAnsi="Times New Roman" w:cs="Times New Roman"/>
          <w:color w:val="000000" w:themeColor="text1"/>
          <w:lang w:val="en-GB"/>
        </w:rPr>
        <w:t xml:space="preserve"> </w:t>
      </w:r>
      <m:oMath>
        <m:r>
          <w:rPr>
            <w:rFonts w:ascii="Cambria Math" w:hAnsi="Cambria Math" w:cs="Times New Roman"/>
            <w:color w:val="000000" w:themeColor="text1"/>
            <w:lang w:val="en-GB"/>
          </w:rPr>
          <m:t>-</m:t>
        </m:r>
        <m:f>
          <m:fPr>
            <m:ctrlPr>
              <w:rPr>
                <w:rFonts w:ascii="Cambria Math" w:hAnsi="Cambria Math" w:cs="Times New Roman"/>
                <w:i/>
                <w:color w:val="000000" w:themeColor="text1"/>
                <w:lang w:val="en-GB"/>
              </w:rPr>
            </m:ctrlPr>
          </m:fPr>
          <m:num>
            <m:sSup>
              <m:sSupPr>
                <m:ctrlPr>
                  <w:rPr>
                    <w:rFonts w:ascii="Cambria Math" w:hAnsi="Cambria Math" w:cs="Times New Roman"/>
                    <w:i/>
                    <w:color w:val="000000" w:themeColor="text1"/>
                    <w:lang w:val="en-GB"/>
                  </w:rPr>
                </m:ctrlPr>
              </m:sSupPr>
              <m:e>
                <m:r>
                  <m:rPr>
                    <m:sty m:val="p"/>
                  </m:rPr>
                  <w:rPr>
                    <w:rFonts w:ascii="Cambria Math" w:hAnsi="Cambria Math" w:cs="Times New Roman"/>
                    <w:color w:val="000000" w:themeColor="text1"/>
                    <w:lang w:val="en-GB"/>
                  </w:rPr>
                  <m:t>Σ</m:t>
                </m:r>
              </m:e>
              <m:sup>
                <m:r>
                  <w:rPr>
                    <w:rFonts w:ascii="Cambria Math" w:hAnsi="Cambria Math" w:cs="Times New Roman"/>
                    <w:color w:val="000000" w:themeColor="text1"/>
                    <w:lang w:val="en-GB"/>
                  </w:rPr>
                  <m:t>2</m:t>
                </m:r>
              </m:sup>
            </m:sSup>
            <m:sSup>
              <m:sSupPr>
                <m:ctrlPr>
                  <w:rPr>
                    <w:rFonts w:ascii="Cambria Math" w:hAnsi="Cambria Math" w:cs="Times New Roman"/>
                    <w:i/>
                    <w:color w:val="000000" w:themeColor="text1"/>
                    <w:lang w:val="en-GB"/>
                  </w:rPr>
                </m:ctrlPr>
              </m:sSupPr>
              <m:e>
                <m:r>
                  <m:rPr>
                    <m:sty m:val="p"/>
                  </m:rPr>
                  <w:rPr>
                    <w:rFonts w:ascii="Cambria Math" w:hAnsi="Cambria Math" w:cs="Times New Roman"/>
                    <w:color w:val="000000" w:themeColor="text1"/>
                    <w:lang w:val="en-GB"/>
                  </w:rPr>
                  <m:t>Σ</m:t>
                </m:r>
              </m:e>
              <m:sup>
                <m:r>
                  <w:rPr>
                    <w:rFonts w:ascii="Cambria Math" w:hAnsi="Cambria Math" w:cs="Times New Roman"/>
                    <w:color w:val="000000" w:themeColor="text1"/>
                    <w:lang w:val="en-GB"/>
                  </w:rPr>
                  <m:t>-1</m:t>
                </m:r>
              </m:sup>
            </m:sSup>
          </m:num>
          <m:den>
            <m:r>
              <w:rPr>
                <w:rFonts w:ascii="Cambria Math" w:hAnsi="Cambria Math" w:cs="Times New Roman"/>
                <w:color w:val="000000" w:themeColor="text1"/>
                <w:lang w:val="en-GB"/>
              </w:rPr>
              <m:t>2</m:t>
            </m:r>
          </m:den>
        </m:f>
      </m:oMath>
      <w:r w:rsidR="007470C2"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{"citationItems":[{"id":"ITEM-1","itemData":{"DOI":"10.1162/netn_a_00175","abstract":"At the inception of human brain mapping, two principles of functional anatomy underwrote most conceptions—and analyses—of distributed brain responses: namely, functional segregation and integration. There are currently two main approaches to characterizing functional integration. The first is a mechanistic modeling of connectomics in terms of directed effective connectivity that mediates neuronal message passing and dynamics on neuronal circuits. The second phenomenological approach usually characterizes undirected functional connectivity (i.e., measurable correlations), in terms of intrinsic brain networks, self-organized criticality, dynamical instability, and so on. 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 SummaryThis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networks.","author":[{"dropping-particle":"","family":"Friston","given":"Karl J.","non-dropping-particle":"","parse-names":false,"suffix":""},{"dropping-particle":"","family":"Fagerholm","given":"Erik D.","non-dropping-particle":"","parse-names":false,"suffix":""},{"dropping-particle":"","family":"Zarghami","given":"Tahereh S.","non-dropping-particle":"","parse-names":false,"suffix":""},{"dropping-particle":"","family":"Parr","given":"Thomas","non-dropping-particle":"","parse-names":false,"suffix":""},{"dropping-particle":"","family":"Hipólito","given":"Inês","non-dropping-particle":"","parse-names":false,"suffix":""},{"dropping-particle":"","family":"Magrou","given":"Loïc","non-dropping-particle":"","parse-names":false,"suffix":""},{"dropping-particle":"","family":"Razi","given":"Adeel","non-dropping-particle":"","parse-names":false,"suffix":""}],"container-title":"Network Neuroscience","id":"ITEM-1","issue":"1","issued":{"date-parts":[["2021"]]},"page":"211-251","title":"Parcels and particles: Markov blankets in the brain","type":"article-journal","volume":"5"},"uris":["http://www.mendeley.com/documents/?uuid=6c7209a6-e37f-4c11-9c17-36d1d5b1bbd8"]}],"mendeley":{"formattedCitation":"&lt;sup&gt;11&lt;/sup&gt;","plainTextFormattedCitation":"11","previouslyFormattedCitation":"&lt;sup&gt;10&lt;/sup&gt;"},"properties":{"noteIndex":0},"schema":"https://github.com/citation-style-language/schema/raw/master/csl-citation.json"}</w:instrText>
      </w:r>
      <w:r w:rsidR="007470C2"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11</w:t>
      </w:r>
      <w:r w:rsidR="007470C2" w:rsidRPr="007061DD">
        <w:rPr>
          <w:rFonts w:ascii="Times New Roman" w:hAnsi="Times New Roman" w:cs="Times New Roman"/>
          <w:color w:val="000000" w:themeColor="text1"/>
          <w:lang w:val="en-GB"/>
        </w:rPr>
        <w:fldChar w:fldCharType="end"/>
      </w:r>
      <w:r w:rsidR="007470C2" w:rsidRPr="007061DD">
        <w:rPr>
          <w:rFonts w:ascii="Times New Roman" w:hAnsi="Times New Roman" w:cs="Times New Roman"/>
          <w:color w:val="000000" w:themeColor="text1"/>
          <w:lang w:val="en-GB"/>
        </w:rPr>
        <w:t xml:space="preserve">. In other words, a value close to zero in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w:r w:rsidR="007470C2" w:rsidRPr="007061DD">
        <w:rPr>
          <w:rFonts w:ascii="Times New Roman" w:hAnsi="Times New Roman" w:cs="Times New Roman"/>
          <w:iCs/>
          <w:color w:val="000000" w:themeColor="text1"/>
        </w:rPr>
        <w:t xml:space="preserve"> </w:t>
      </w:r>
      <w:r w:rsidR="007470C2" w:rsidRPr="007061DD">
        <w:rPr>
          <w:rFonts w:ascii="Times New Roman" w:hAnsi="Times New Roman" w:cs="Times New Roman"/>
          <w:color w:val="000000" w:themeColor="text1"/>
          <w:lang w:val="en-GB"/>
        </w:rPr>
        <w:t>indicates that two regions are conditionally independent given the rest of ROIs</w:t>
      </w:r>
      <w:r w:rsidR="007470C2"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{"citationItems":[{"id":"ITEM-1","itemData":{"DOI":"10.1162/NECO_a_00936","ISSN":"1530888X","PMID":"28095202","abstract":"The correlation method from brain imaging has been used to estimate functional connectivity in the human brain. However, brain regions might show very high correlation even when the two regions are not directly connected due to the strong interaction of the two regions with common input from a third region. One previously proposed solution to this problem is to use a sparse regularized inverse covariance matrix or precision matrix (SRPM) assuming that the connectivity structure is sparse. This method yields partial correlations to measure strong direct interactions between pairs of regions while simultaneously removing the influence of the rest of the regions, thus identifying regions that are conditionally independent. To test our methods, we first demonstrated conditions under which the SRPM method could indeed find the true physical connection between a pair of nodes for a spring-mass example and an RC circuit example. The recovery of the connectivity structure using the SRPM method can be explained by energy models using the Boltzmann distribution. We then demonstrated the application of the SRPM method for estimating brain connectivity during stage 2 sleep spindles from human electrocorticography (ECoG) recordings using an 8 × 8 electrode array. The ECoG recordings that we analyzed were from a 32-year-old male patient with long-standing pharmaco-resistant left temporal lobe complex partial epilepsy. Sleep spindles were automatically detected using delay differential analysis and then analyzed with SRPM and the Louvain method for community detection. We found spatially localized brain networks within and between neighboring cortical areas during spindles, in contrast to the case when sleep spindles were not present.","author":[{"dropping-particle":"","family":"Das","given":"Anup","non-dropping-particle":"","parse-names":false,"suffix":""},{"dropping-particle":"","family":"Sampson","given":"Aaron L.","non-dropping-particle":"","parse-names":false,"suffix":""},{"dropping-particle":"","family":"Lainscsek","given":"Claudia","non-dropping-particle":"","parse-names":false,"suffix":""},{"dropping-particle":"","family":"Muller","given":"Lyle","non-dropping-particle":"","parse-names":false,"suffix":""},{"dropping-particle":"","family":"Lin","given":"Wutu","non-dropping-particle":"","parse-names":false,"suffix":""},{"dropping-particle":"","family":"Doyle","given":"John C.","non-dropping-particle":"","parse-names":false,"suffix":""},{"dropping-particle":"","family":"Cash","given":"Sydney S.","non-dropping-particle":"","parse-names":false,"suffix":""},{"dropping-particle":"","family":"Halgren","given":"Eric","non-dropping-particle":"","parse-names":false,"suffix":""},{"dropping-particle":"","family":"Sejnowski","given":"Terrence J.","non-dropping-particle":"","parse-names":false,"suffix":""}],"container-title":"Neural Computation","id":"ITEM-1","issue":"3","issued":{"date-parts":[["2017"]]},"page":"603-642","title":"Interpretation of the precision matrix and its application in estimating sparse brain connectivity during sleep spindles from human electrocorticography recordings","type":"article-journal","volume":"29"},"uris":["http://www.mendeley.com/documents/?uuid=059b48bb-7985-4170-967a-42907972a346"]}],"mendeley":{"formattedCitation":"&lt;sup&gt;15&lt;/sup&gt;","plainTextFormattedCitation":"15","previouslyFormattedCitation":"&lt;sup&gt;14&lt;/sup&gt;"},"properties":{"noteIndex":0},"schema":"https://github.com/citation-style-language/schema/raw/master/csl-citation.json"}</w:instrText>
      </w:r>
      <w:r w:rsidR="007470C2"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15</w:t>
      </w:r>
      <w:r w:rsidR="007470C2" w:rsidRPr="007061DD">
        <w:rPr>
          <w:rFonts w:ascii="Times New Roman" w:hAnsi="Times New Roman" w:cs="Times New Roman"/>
          <w:color w:val="000000" w:themeColor="text1"/>
          <w:lang w:val="en-GB"/>
        </w:rPr>
        <w:fldChar w:fldCharType="end"/>
      </w:r>
      <w:r w:rsidR="00B54D88" w:rsidRPr="007061DD">
        <w:rPr>
          <w:rFonts w:ascii="Times New Roman" w:hAnsi="Times New Roman" w:cs="Times New Roman"/>
          <w:color w:val="000000" w:themeColor="text1"/>
          <w:lang w:val="en-GB"/>
        </w:rPr>
        <w:t xml:space="preserve">. </w:t>
      </w:r>
      <w:r w:rsidR="007234A3" w:rsidRPr="007061DD">
        <w:rPr>
          <w:rFonts w:ascii="Times New Roman" w:hAnsi="Times New Roman" w:cs="Times New Roman"/>
          <w:color w:val="000000" w:themeColor="text1"/>
          <w:lang w:val="en-GB"/>
        </w:rPr>
        <w:t xml:space="preserve">Particularly,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w:r w:rsidR="00C45190" w:rsidRPr="007061DD">
        <w:rPr>
          <w:rFonts w:ascii="Times New Roman" w:hAnsi="Times New Roman" w:cs="Times New Roman"/>
          <w:color w:val="000000" w:themeColor="text1"/>
          <w:lang w:val="en-GB"/>
        </w:rPr>
        <w:t xml:space="preserve">here </w:t>
      </w:r>
      <w:r w:rsidR="003C223E" w:rsidRPr="007061DD">
        <w:rPr>
          <w:rFonts w:ascii="Times New Roman" w:hAnsi="Times New Roman" w:cs="Times New Roman"/>
          <w:color w:val="000000" w:themeColor="text1"/>
          <w:lang w:val="en-GB"/>
        </w:rPr>
        <w:t xml:space="preserve">is </w:t>
      </w:r>
      <w:r w:rsidR="00C45190" w:rsidRPr="007061DD">
        <w:rPr>
          <w:rFonts w:ascii="Times New Roman" w:hAnsi="Times New Roman" w:cs="Times New Roman"/>
          <w:color w:val="000000" w:themeColor="text1"/>
          <w:lang w:val="en-GB"/>
        </w:rPr>
        <w:t xml:space="preserve">called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00ED221C"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{"citationItems":[{"id":"ITEM-1","itemData":{"DOI":"10.1080/00273171.2021.1938959","ISSN":"00273171","PMID":"34397314","abstract":"The Gaussian graphical model (GGM) has become a popular tool for analyzing networks of psychological variables. In a recent article in this journal, Forbes, Wright, Markon, and Krueger (FWMK) voiced the concern that GGMs that are estimated from partial correlations wrongfully remove the variance that is shared by its constituents. If true, this concern has grave consequences for the application of GGMs. Indeed, if partial correlations only capture the unique covariances, then the data that come from a unidimensional latent variable model ULVM should be associated with an empty network (no edges), as there are no unique covariances in a ULVM. We know that this cannot be true, which suggests that FWMK are missing something with their claim. We introduce a connection between the ULVM and the GGM and use that connection to prove that we find a fully-connected and not an empty network associated with a ULVM. We then use the relation between GGMs and linear regression to show that the partial correlation indeed does not remove the common variance.","author":[{"dropping-particle":"","family":"Waldorp","given":"Lourens","non-dropping-particle":"","parse-names":false,"suffix":""},{"dropping-particle":"","family":"Marsman","given":"Maarten","non-dropping-particle":"","parse-names":false,"suffix":""}],"container-title":"Multivariate Behavioral Research","id":"ITEM-1","issue":"6","issued":{"date-parts":[["2022"]]},"page":"994-1006","title":"Relations between Networks, Regression, Partial Correlation, and the Latent Variable Model","type":"article-journal","volume":"57"},"uris":["http://www.mendeley.com/documents/?uuid=2f5b9f38-db0d-42e0-9e80-6ccbdd0031eb"]}],"mendeley":{"formattedCitation":"&lt;sup&gt;16&lt;/sup&gt;","plainTextFormattedCitation":"16","previouslyFormattedCitation":"&lt;sup&gt;15&lt;/sup&gt;"},"properties":{"noteIndex":0},"schema":"https://github.com/citation-style-language/schema/raw/master/csl-citation.json"}</w:instrText>
      </w:r>
      <w:r w:rsidR="00ED221C"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16</w:t>
      </w:r>
      <w:r w:rsidR="00ED221C" w:rsidRPr="007061DD">
        <w:rPr>
          <w:rFonts w:ascii="Times New Roman" w:hAnsi="Times New Roman" w:cs="Times New Roman"/>
          <w:color w:val="000000" w:themeColor="text1"/>
          <w:lang w:val="en-GB"/>
        </w:rPr>
        <w:fldChar w:fldCharType="end"/>
      </w:r>
      <w:r w:rsidR="00C45190" w:rsidRPr="007061DD">
        <w:rPr>
          <w:rFonts w:ascii="Times New Roman" w:hAnsi="Times New Roman" w:cs="Times New Roman"/>
          <w:iCs/>
          <w:color w:val="000000" w:themeColor="text1"/>
        </w:rPr>
        <w:t>.</w:t>
      </w:r>
    </w:p>
    <w:p w14:paraId="5D57B32F" w14:textId="386248DB"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 xml:space="preserve">While </w:t>
      </w:r>
      <m:oMath>
        <m:sSub>
          <m:sSubPr>
            <m:ctrlPr>
              <w:rPr>
                <w:rFonts w:ascii="Cambria Math" w:hAnsi="Cambria Math" w:cs="Times New Roman"/>
                <w:i/>
                <w:iCs/>
                <w:color w:val="000000" w:themeColor="text1"/>
              </w:rPr>
            </m:ctrlPr>
          </m:sSubPr>
          <m:e>
            <m:r>
              <m:rPr>
                <m:sty m:val="p"/>
              </m:rPr>
              <w:rPr>
                <w:rFonts w:ascii="Cambria Math" w:hAnsi="Cambria Math" w:cs="Times New Roman"/>
                <w:color w:val="000000" w:themeColor="text1"/>
              </w:rPr>
              <m:t>Σ</m:t>
            </m:r>
          </m:e>
          <m:sub>
            <m:r>
              <w:rPr>
                <w:rFonts w:ascii="Cambria Math" w:hAnsi="Cambria Math" w:cs="Times New Roman"/>
                <w:color w:val="000000" w:themeColor="text1"/>
              </w:rPr>
              <m:t>w</m:t>
            </m:r>
          </m:sub>
        </m:sSub>
      </m:oMath>
      <w:r w:rsidRPr="007061DD">
        <w:rPr>
          <w:rFonts w:ascii="Times New Roman" w:hAnsi="Times New Roman" w:cs="Times New Roman"/>
          <w:color w:val="000000" w:themeColor="text1"/>
          <w:lang w:val="en-GB"/>
        </w:rPr>
        <w:t xml:space="preserve"> and </w:t>
      </w:r>
      <m:oMath>
        <m:sSup>
          <m:sSupPr>
            <m:ctrlPr>
              <w:rPr>
                <w:rFonts w:ascii="Cambria Math" w:hAnsi="Cambria Math" w:cs="Times New Roman"/>
                <w:i/>
                <w:iCs/>
                <w:color w:val="000000" w:themeColor="text1"/>
              </w:rPr>
            </m:ctrlPr>
          </m:sSupPr>
          <m:e>
            <m:r>
              <w:rPr>
                <w:rFonts w:ascii="Cambria Math" w:hAnsi="Cambria Math" w:cs="Times New Roman"/>
                <w:color w:val="000000" w:themeColor="text1"/>
                <w:lang w:eastAsia="it-IT"/>
              </w:rPr>
              <m:t>Σ</m:t>
            </m:r>
          </m:e>
          <m:sup>
            <m:r>
              <w:rPr>
                <w:rFonts w:ascii="Cambria Math" w:hAnsi="Cambria Math" w:cs="Times New Roman"/>
                <w:color w:val="000000" w:themeColor="text1"/>
                <w:lang w:eastAsia="it-IT"/>
              </w:rPr>
              <m:t>-1</m:t>
            </m:r>
          </m:sup>
        </m:sSup>
      </m:oMath>
      <w:r w:rsidRPr="007061DD">
        <w:rPr>
          <w:rFonts w:ascii="Times New Roman" w:hAnsi="Times New Roman" w:cs="Times New Roman"/>
          <w:color w:val="000000" w:themeColor="text1"/>
          <w:lang w:val="en-GB"/>
        </w:rPr>
        <w:t xml:space="preserve"> are both symmetric, the asymmetry of </w:t>
      </w:r>
      <m:oMath>
        <m:r>
          <w:rPr>
            <w:rFonts w:ascii="Cambria Math" w:hAnsi="Cambria Math" w:cs="Times New Roman"/>
            <w:color w:val="000000" w:themeColor="text1"/>
          </w:rPr>
          <m:t>A</m:t>
        </m:r>
      </m:oMath>
      <w:r w:rsidRPr="007061DD">
        <w:rPr>
          <w:rFonts w:ascii="Times New Roman" w:hAnsi="Times New Roman" w:cs="Times New Roman"/>
          <w:color w:val="000000" w:themeColor="text1"/>
          <w:lang w:val="en-GB"/>
        </w:rPr>
        <w:t xml:space="preserve"> relies on the nature of the skew-symmetric matrix </w:t>
      </w:r>
      <m:oMath>
        <m:r>
          <w:rPr>
            <w:rFonts w:ascii="Cambria Math" w:hAnsi="Cambria Math" w:cs="Times New Roman"/>
            <w:color w:val="000000" w:themeColor="text1"/>
            <w:lang w:eastAsia="it-IT"/>
          </w:rPr>
          <m:t>S= -</m:t>
        </m:r>
        <m:sSup>
          <m:sSupPr>
            <m:ctrlPr>
              <w:rPr>
                <w:rFonts w:ascii="Cambria Math" w:hAnsi="Cambria Math" w:cs="Times New Roman"/>
                <w:i/>
                <w:color w:val="000000" w:themeColor="text1"/>
                <w:lang w:eastAsia="it-IT"/>
              </w:rPr>
            </m:ctrlPr>
          </m:sSupPr>
          <m:e>
            <m:r>
              <w:rPr>
                <w:rFonts w:ascii="Cambria Math" w:hAnsi="Cambria Math" w:cs="Times New Roman"/>
                <w:color w:val="000000" w:themeColor="text1"/>
                <w:lang w:eastAsia="it-IT"/>
              </w:rPr>
              <m:t>S</m:t>
            </m:r>
          </m:e>
          <m:sup>
            <m:r>
              <w:rPr>
                <w:rFonts w:ascii="Cambria Math" w:hAnsi="Cambria Math" w:cs="Times New Roman"/>
                <w:color w:val="000000" w:themeColor="text1"/>
                <w:lang w:eastAsia="it-IT"/>
              </w:rPr>
              <m:t>T</m:t>
            </m:r>
          </m:sup>
        </m:sSup>
      </m:oMath>
      <w:r w:rsidRPr="007061DD">
        <w:rPr>
          <w:rFonts w:ascii="Times New Roman" w:hAnsi="Times New Roman" w:cs="Times New Roman"/>
          <w:color w:val="000000" w:themeColor="text1"/>
          <w:lang w:val="en-GB"/>
        </w:rPr>
        <w:t xml:space="preserve">, thus introducing a solenoidal regime in the energy landscape of brain </w:t>
      </w:r>
      <w:r w:rsidRPr="007061DD">
        <w:rPr>
          <w:rFonts w:ascii="Times New Roman" w:hAnsi="Times New Roman" w:cs="Times New Roman"/>
          <w:color w:val="000000" w:themeColor="text1"/>
          <w:lang w:val="en-GB"/>
        </w:rPr>
        <w:lastRenderedPageBreak/>
        <w:t>functional dynamics</w:t>
      </w:r>
      <w:r w:rsidR="00EA6D2A" w:rsidRPr="007061DD">
        <w:rPr>
          <w:rFonts w:ascii="Times New Roman" w:hAnsi="Times New Roman" w:cs="Times New Roman"/>
          <w:color w:val="000000" w:themeColor="text1"/>
          <w:lang w:val="en-GB"/>
        </w:rPr>
        <w:t xml:space="preserve"> </w:t>
      </w:r>
      <w:r w:rsidR="005D6E73" w:rsidRPr="007061DD">
        <w:rPr>
          <w:rFonts w:ascii="Times New Roman" w:hAnsi="Times New Roman" w:cs="Times New Roman"/>
          <w:color w:val="000000" w:themeColor="text1"/>
        </w:rPr>
        <w:t>associated with the non-dissipative component of the functional flow's kinetic energy</w:t>
      </w:r>
      <w:r w:rsidR="005D6E73" w:rsidRPr="007061DD">
        <w:rPr>
          <w:rFonts w:ascii="Times New Roman" w:hAnsi="Times New Roman" w:cs="Times New Roman"/>
          <w:color w:val="000000" w:themeColor="text1"/>
          <w:vertAlign w:val="superscript"/>
        </w:rPr>
        <w:t>11</w:t>
      </w:r>
      <w:r w:rsidRPr="007061DD">
        <w:rPr>
          <w:rFonts w:ascii="Times New Roman" w:hAnsi="Times New Roman" w:cs="Times New Roman"/>
          <w:color w:val="000000" w:themeColor="text1"/>
          <w:lang w:val="en-GB"/>
        </w:rPr>
        <w:t xml:space="preserve">. Since Equation (1) mathematically parametrizes all EC matrices that give the same </w:t>
      </w:r>
      <m:oMath>
        <m:r>
          <m:rPr>
            <m:sty m:val="p"/>
          </m:rPr>
          <w:rPr>
            <w:rFonts w:ascii="Cambria Math" w:hAnsi="Cambria Math" w:cs="Times New Roman"/>
            <w:color w:val="000000" w:themeColor="text1"/>
            <w:lang w:val="en-GB"/>
          </w:rPr>
          <m:t>Σ</m:t>
        </m:r>
      </m:oMath>
      <w:r w:rsidRPr="007061DD">
        <w:rPr>
          <w:rFonts w:ascii="Times New Roman" w:hAnsi="Times New Roman" w:cs="Times New Roman"/>
          <w:color w:val="000000" w:themeColor="text1"/>
          <w:lang w:val="en-GB"/>
        </w:rPr>
        <w:t xml:space="preserve"> for any matrix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eastAsia="it-IT"/>
        </w:rPr>
        <w:t>,</w:t>
      </w:r>
      <w:r w:rsidRPr="007061DD">
        <w:rPr>
          <w:rFonts w:ascii="Times New Roman" w:hAnsi="Times New Roman" w:cs="Times New Roman"/>
          <w:color w:val="000000" w:themeColor="text1"/>
          <w:lang w:val="en-GB"/>
        </w:rPr>
        <w:t xml:space="preserve"> this defines a one-to-one mapping between </w:t>
      </w:r>
      <m:oMath>
        <m:r>
          <w:rPr>
            <w:rFonts w:ascii="Cambria Math" w:hAnsi="Cambria Math" w:cs="Times New Roman"/>
            <w:color w:val="000000" w:themeColor="text1"/>
          </w:rPr>
          <m:t>A</m:t>
        </m:r>
      </m:oMath>
      <w:r w:rsidRPr="007061DD">
        <w:rPr>
          <w:rFonts w:ascii="Times New Roman" w:hAnsi="Times New Roman" w:cs="Times New Roman"/>
          <w:color w:val="000000" w:themeColor="text1"/>
          <w:lang w:val="en-GB"/>
        </w:rPr>
        <w:t xml:space="preserve"> and </w:t>
      </w:r>
      <m:oMath>
        <m:d>
          <m:dPr>
            <m:ctrlPr>
              <w:rPr>
                <w:rFonts w:ascii="Cambria Math" w:hAnsi="Cambria Math" w:cs="Times New Roman"/>
                <w:i/>
                <w:color w:val="000000" w:themeColor="text1"/>
                <w:lang w:val="en-GB"/>
              </w:rPr>
            </m:ctrlPr>
          </m:dPr>
          <m:e>
            <m:r>
              <m:rPr>
                <m:sty m:val="p"/>
              </m:rPr>
              <w:rPr>
                <w:rFonts w:ascii="Cambria Math" w:hAnsi="Cambria Math" w:cs="Times New Roman"/>
                <w:color w:val="000000" w:themeColor="text1"/>
                <w:lang w:val="en-GB"/>
              </w:rPr>
              <m:t>Σ</m:t>
            </m:r>
            <m:r>
              <w:rPr>
                <w:rFonts w:ascii="Cambria Math" w:hAnsi="Cambria Math" w:cs="Times New Roman"/>
                <w:color w:val="000000" w:themeColor="text1"/>
                <w:lang w:val="en-GB"/>
              </w:rPr>
              <m:t>, S</m:t>
            </m:r>
          </m:e>
        </m:d>
        <m:r>
          <w:rPr>
            <w:rFonts w:ascii="Cambria Math" w:hAnsi="Cambria Math" w:cs="Times New Roman"/>
            <w:color w:val="000000" w:themeColor="text1"/>
            <w:lang w:val="en-GB"/>
          </w:rPr>
          <m:t xml:space="preserve"> </m:t>
        </m:r>
      </m:oMath>
      <w:r w:rsidRPr="007061DD">
        <w:rPr>
          <w:rFonts w:ascii="Times New Roman" w:hAnsi="Times New Roman" w:cs="Times New Roman"/>
          <w:color w:val="000000" w:themeColor="text1"/>
          <w:lang w:val="en-GB"/>
        </w:rPr>
        <w:t xml:space="preserve">given </w:t>
      </w:r>
      <m:oMath>
        <m:sSub>
          <m:sSubPr>
            <m:ctrlPr>
              <w:rPr>
                <w:rFonts w:ascii="Cambria Math" w:hAnsi="Cambria Math" w:cs="Times New Roman"/>
                <w:i/>
                <w:iCs/>
                <w:color w:val="000000" w:themeColor="text1"/>
              </w:rPr>
            </m:ctrlPr>
          </m:sSubPr>
          <m:e>
            <m:r>
              <m:rPr>
                <m:sty m:val="p"/>
              </m:rPr>
              <w:rPr>
                <w:rFonts w:ascii="Cambria Math" w:hAnsi="Cambria Math" w:cs="Times New Roman"/>
                <w:color w:val="000000" w:themeColor="text1"/>
              </w:rPr>
              <m:t>Σ</m:t>
            </m:r>
          </m:e>
          <m:sub>
            <m:r>
              <w:rPr>
                <w:rFonts w:ascii="Cambria Math" w:hAnsi="Cambria Math" w:cs="Times New Roman"/>
                <w:color w:val="000000" w:themeColor="text1"/>
              </w:rPr>
              <m:t>w</m:t>
            </m:r>
          </m:sub>
        </m:sSub>
      </m:oMath>
      <w:r w:rsidRPr="007061DD">
        <w:rPr>
          <w:rFonts w:ascii="Times New Roman" w:hAnsi="Times New Roman" w:cs="Times New Roman"/>
          <w:color w:val="000000" w:themeColor="text1"/>
          <w:lang w:val="en-GB"/>
        </w:rPr>
        <w:t xml:space="preserve">, thus leading to compute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7470C2" w:rsidRPr="007061DD" w14:paraId="24D5A26B" w14:textId="77777777">
        <w:tc>
          <w:tcPr>
            <w:tcW w:w="3116" w:type="dxa"/>
          </w:tcPr>
          <w:p w14:paraId="0881F5F5" w14:textId="77777777" w:rsidR="007470C2" w:rsidRPr="007061DD" w:rsidRDefault="007470C2" w:rsidP="00DC0ED9">
            <w:pPr>
              <w:spacing w:line="360" w:lineRule="auto"/>
              <w:jc w:val="both"/>
              <w:rPr>
                <w:rFonts w:ascii="Times New Roman" w:hAnsi="Times New Roman" w:cs="Times New Roman"/>
                <w:color w:val="000000" w:themeColor="text1"/>
              </w:rPr>
            </w:pPr>
          </w:p>
        </w:tc>
        <w:tc>
          <w:tcPr>
            <w:tcW w:w="3117" w:type="dxa"/>
          </w:tcPr>
          <w:p w14:paraId="7CC57059" w14:textId="39DCB993" w:rsidR="007470C2" w:rsidRPr="007061DD" w:rsidRDefault="00157ED3" w:rsidP="00DC0ED9">
            <w:pPr>
              <w:spacing w:line="360" w:lineRule="auto"/>
              <w:jc w:val="both"/>
              <w:rPr>
                <w:rFonts w:ascii="Times New Roman" w:hAnsi="Times New Roman" w:cs="Times New Roman"/>
                <w:color w:val="000000" w:themeColor="text1"/>
                <w:lang w:val="en-GB"/>
              </w:rPr>
            </w:pPr>
            <m:oMathPara>
              <m:oMath>
                <m:r>
                  <w:rPr>
                    <w:rFonts w:ascii="Cambria Math" w:hAnsi="Cambria Math" w:cs="Times New Roman"/>
                    <w:color w:val="000000" w:themeColor="text1"/>
                  </w:rPr>
                  <m:t>S≔AΣ-Σ</m:t>
                </m:r>
                <m:sSup>
                  <m:sSupPr>
                    <m:ctrlPr>
                      <w:rPr>
                        <w:rFonts w:ascii="Cambria Math" w:hAnsi="Cambria Math" w:cs="Times New Roman"/>
                        <w:i/>
                        <w:color w:val="000000" w:themeColor="text1"/>
                      </w:rPr>
                    </m:ctrlPr>
                  </m:sSupPr>
                  <m:e>
                    <m:r>
                      <w:rPr>
                        <w:rFonts w:ascii="Cambria Math" w:hAnsi="Cambria Math" w:cs="Times New Roman"/>
                        <w:color w:val="000000" w:themeColor="text1"/>
                      </w:rPr>
                      <m:t>A</m:t>
                    </m:r>
                  </m:e>
                  <m:sup>
                    <m:r>
                      <w:rPr>
                        <w:rFonts w:ascii="Cambria Math" w:hAnsi="Cambria Math" w:cs="Times New Roman"/>
                        <w:color w:val="000000" w:themeColor="text1"/>
                      </w:rPr>
                      <m:t>⊤</m:t>
                    </m:r>
                  </m:sup>
                </m:sSup>
              </m:oMath>
            </m:oMathPara>
          </w:p>
        </w:tc>
        <w:tc>
          <w:tcPr>
            <w:tcW w:w="3117" w:type="dxa"/>
          </w:tcPr>
          <w:p w14:paraId="3D73F6F3" w14:textId="77777777" w:rsidR="007470C2" w:rsidRPr="007061DD" w:rsidRDefault="007470C2" w:rsidP="00DC0ED9">
            <w:pPr>
              <w:spacing w:line="360" w:lineRule="auto"/>
              <w:jc w:val="right"/>
              <w:rPr>
                <w:rFonts w:ascii="Times New Roman" w:hAnsi="Times New Roman" w:cs="Times New Roman"/>
                <w:color w:val="000000" w:themeColor="text1"/>
              </w:rPr>
            </w:pPr>
            <w:r w:rsidRPr="007061DD">
              <w:rPr>
                <w:rFonts w:ascii="Times New Roman" w:hAnsi="Times New Roman" w:cs="Times New Roman"/>
                <w:color w:val="000000" w:themeColor="text1"/>
              </w:rPr>
              <w:t>(4)</w:t>
            </w:r>
          </w:p>
        </w:tc>
      </w:tr>
    </w:tbl>
    <w:p w14:paraId="32C4AA0E" w14:textId="57A8E771"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 xml:space="preserve">In statistical terms,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can be referred to as the differential cross-covariance matrix</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{"citationItems":[{"id":"ITEM-1","itemData":{"DOI":"10.1162/NECO","abstract":"Recent literature in the robot learning community has focused on learning robot skills that abstract out lower-level details of robot control, such as Dynamic Movement Primitives (DMPs), the options framework in hierarchical RL, and subtask policies. To fully leverage the efficacy of these macro actions, it is necessary to then sequence these primitives to achieve a given task. Our objective is to jointly learn a set of robot skills and a sequence of these learnt skills to accomplish a given task. We consider the task of navigating a robot across various environments using visual input, maximizing the distance traveled through the environment while avoiding static obstacles. Traditional planning methods to solve this problem rely on hand-crafted state representations and heuristics for planning, and often fail to generalize. In contrast, deep neural networks have proved to be powerful function approximators, successfully modeling complex control policies. In addition, the ability of such networks to learn good representations of high-dimensional sensory inputs makes them a valuable tool when dealing with visual inputs. In this project, we explore the capability of deep neural networks to learn and sequence robot skills for navigation, directly using visual input.","author":[{"dropping-particle":"","family":"Lin","given":"Tiger W.","non-dropping-particle":"","parse-names":false,"suffix":""},{"dropping-particle":"","family":"Das","given":"Anup","non-dropping-particle":"","parse-names":false,"suffix":""},{"dropping-particle":"","family":"Krishnan","given":"Giri P.","non-dropping-particle":"","parse-names":false,"suffix":""},{"dropping-particle":"","family":"Bazhenov","given":"Maxim","non-dropping-particle":"","parse-names":false,"suffix":""},{"dropping-particle":"","family":"Sejnowski","given":"Terrence J.","non-dropping-particle":"","parse-names":false,"suffix":""}],"id":"ITEM-1","issue":"March","issued":{"date-parts":[["2018"]]},"page":"2709-2733","title":"Differential Covariance: A New Class of Methods to Estimate Sparse Connectivity from Neural Recordings","type":"article-journal","volume":"2733"},"uris":["http://www.mendeley.com/documents/?uuid=aa2894b9-a4de-45b2-b438-bcac30fa11af"]}],"mendeley":{"formattedCitation":"&lt;sup&gt;17&lt;/sup&gt;","plainTextFormattedCitation":"17","previouslyFormattedCitation":"&lt;sup&gt;16&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17</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meaning that any out-diagonal element </w:t>
      </w:r>
      <m:oMath>
        <m:r>
          <w:rPr>
            <w:rFonts w:ascii="Cambria Math" w:hAnsi="Cambria Math" w:cs="Times New Roman"/>
            <w:color w:val="000000" w:themeColor="text1"/>
            <w:lang w:val="en-GB"/>
          </w:rPr>
          <m:t>(i,j)</m:t>
        </m:r>
      </m:oMath>
      <w:r w:rsidRPr="007061DD">
        <w:rPr>
          <w:rFonts w:ascii="Times New Roman" w:hAnsi="Times New Roman" w:cs="Times New Roman"/>
          <w:color w:val="000000" w:themeColor="text1"/>
          <w:lang w:val="en-GB"/>
        </w:rPr>
        <w:t xml:space="preserve"> of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can be expressed as </w:t>
      </w:r>
      <m:oMath>
        <m:func>
          <m:funcPr>
            <m:ctrlPr>
              <w:rPr>
                <w:rFonts w:ascii="Cambria Math" w:hAnsi="Cambria Math" w:cs="Times New Roman"/>
                <w:color w:val="000000" w:themeColor="text1"/>
                <w:kern w:val="2"/>
                <w14:ligatures w14:val="standardContextual"/>
              </w:rPr>
            </m:ctrlPr>
          </m:funcPr>
          <m:fName>
            <m:limLow>
              <m:limLowPr>
                <m:ctrlPr>
                  <w:rPr>
                    <w:rFonts w:ascii="Cambria Math" w:hAnsi="Cambria Math" w:cs="Times New Roman"/>
                    <w:i/>
                    <w:color w:val="000000" w:themeColor="text1"/>
                    <w:kern w:val="2"/>
                    <w14:ligatures w14:val="standardContextual"/>
                  </w:rPr>
                </m:ctrlPr>
              </m:limLowPr>
              <m:e>
                <m:r>
                  <m:rPr>
                    <m:sty m:val="p"/>
                  </m:rPr>
                  <w:rPr>
                    <w:rFonts w:ascii="Cambria Math" w:hAnsi="Cambria Math" w:cs="Times New Roman"/>
                    <w:color w:val="000000" w:themeColor="text1"/>
                    <w:kern w:val="2"/>
                    <w14:ligatures w14:val="standardContextual"/>
                  </w:rPr>
                  <m:t>lim</m:t>
                </m:r>
              </m:e>
              <m:lim>
                <m:r>
                  <w:rPr>
                    <w:rFonts w:ascii="Cambria Math" w:hAnsi="Cambria Math" w:cs="Times New Roman"/>
                    <w:color w:val="000000" w:themeColor="text1"/>
                    <w:kern w:val="2"/>
                    <w14:ligatures w14:val="standardContextual"/>
                  </w:rPr>
                  <m:t>t</m:t>
                </m:r>
                <m:r>
                  <m:rPr>
                    <m:sty m:val="p"/>
                  </m:rPr>
                  <w:rPr>
                    <w:rFonts w:ascii="Cambria Math" w:hAnsi="Cambria Math" w:cs="Times New Roman"/>
                    <w:color w:val="000000" w:themeColor="text1"/>
                    <w:kern w:val="2"/>
                    <w14:ligatures w14:val="standardContextual"/>
                  </w:rPr>
                  <m:t>→∞</m:t>
                </m:r>
                <m:ctrlPr>
                  <w:rPr>
                    <w:rFonts w:ascii="Cambria Math" w:hAnsi="Cambria Math" w:cs="Times New Roman"/>
                    <w:color w:val="000000" w:themeColor="text1"/>
                    <w:kern w:val="2"/>
                    <w14:ligatures w14:val="standardContextual"/>
                  </w:rPr>
                </m:ctrlPr>
              </m:lim>
            </m:limLow>
            <m:ctrlPr>
              <w:rPr>
                <w:rFonts w:ascii="Cambria Math" w:hAnsi="Cambria Math" w:cs="Times New Roman"/>
                <w:i/>
                <w:color w:val="000000" w:themeColor="text1"/>
                <w:kern w:val="2"/>
                <w14:ligatures w14:val="standardContextual"/>
              </w:rPr>
            </m:ctrlPr>
          </m:fName>
          <m:e>
            <m:r>
              <w:rPr>
                <w:rFonts w:ascii="Cambria Math" w:hAnsi="Cambria Math" w:cs="Times New Roman"/>
                <w:color w:val="000000" w:themeColor="text1"/>
                <w:kern w:val="2"/>
                <w14:ligatures w14:val="standardContextual"/>
              </w:rPr>
              <m:t>E</m:t>
            </m:r>
            <m:ctrlPr>
              <w:rPr>
                <w:rFonts w:ascii="Cambria Math" w:hAnsi="Cambria Math" w:cs="Times New Roman"/>
                <w:i/>
                <w:color w:val="000000" w:themeColor="text1"/>
                <w:kern w:val="2"/>
                <w14:ligatures w14:val="standardContextual"/>
              </w:rPr>
            </m:ctrlPr>
          </m:e>
        </m:func>
        <m:d>
          <m:dPr>
            <m:begChr m:val="["/>
            <m:endChr m:val="]"/>
            <m:ctrlPr>
              <w:rPr>
                <w:rFonts w:ascii="Cambria Math" w:hAnsi="Cambria Math" w:cs="Times New Roman"/>
                <w:i/>
                <w:color w:val="000000" w:themeColor="text1"/>
                <w:kern w:val="2"/>
                <w14:ligatures w14:val="standardContextual"/>
              </w:rPr>
            </m:ctrlPr>
          </m:dPr>
          <m:e>
            <m:acc>
              <m:accPr>
                <m:chr m:val="̇"/>
                <m:ctrlPr>
                  <w:rPr>
                    <w:rFonts w:ascii="Cambria Math" w:hAnsi="Cambria Math" w:cs="Times New Roman"/>
                    <w:color w:val="000000" w:themeColor="text1"/>
                    <w:kern w:val="2"/>
                    <w14:ligatures w14:val="standardContextual"/>
                  </w:rPr>
                </m:ctrlPr>
              </m:accPr>
              <m:e>
                <m:sSub>
                  <m:sSubPr>
                    <m:ctrlPr>
                      <w:rPr>
                        <w:rFonts w:ascii="Cambria Math" w:hAnsi="Cambria Math" w:cs="Times New Roman"/>
                        <w:i/>
                        <w:color w:val="000000" w:themeColor="text1"/>
                        <w:kern w:val="2"/>
                        <w14:ligatures w14:val="standardContextual"/>
                      </w:rPr>
                    </m:ctrlPr>
                  </m:sSubPr>
                  <m:e>
                    <m:r>
                      <w:rPr>
                        <w:rFonts w:ascii="Cambria Math" w:hAnsi="Cambria Math" w:cs="Times New Roman"/>
                        <w:color w:val="000000" w:themeColor="text1"/>
                        <w:kern w:val="2"/>
                        <w14:ligatures w14:val="standardContextual"/>
                      </w:rPr>
                      <m:t>x</m:t>
                    </m:r>
                    <m:ctrlPr>
                      <w:rPr>
                        <w:rFonts w:ascii="Cambria Math" w:hAnsi="Cambria Math" w:cs="Times New Roman"/>
                        <w:color w:val="000000" w:themeColor="text1"/>
                        <w:kern w:val="2"/>
                        <w14:ligatures w14:val="standardContextual"/>
                      </w:rPr>
                    </m:ctrlPr>
                  </m:e>
                  <m:sub>
                    <m:r>
                      <w:rPr>
                        <w:rFonts w:ascii="Cambria Math" w:hAnsi="Cambria Math" w:cs="Times New Roman"/>
                        <w:color w:val="000000" w:themeColor="text1"/>
                        <w:kern w:val="2"/>
                        <w14:ligatures w14:val="standardContextual"/>
                      </w:rPr>
                      <m:t>i</m:t>
                    </m:r>
                  </m:sub>
                </m:sSub>
              </m:e>
            </m:acc>
            <m:d>
              <m:dPr>
                <m:ctrlPr>
                  <w:rPr>
                    <w:rFonts w:ascii="Cambria Math" w:hAnsi="Cambria Math" w:cs="Times New Roman"/>
                    <w:i/>
                    <w:color w:val="000000" w:themeColor="text1"/>
                    <w:kern w:val="2"/>
                    <w14:ligatures w14:val="standardContextual"/>
                  </w:rPr>
                </m:ctrlPr>
              </m:dPr>
              <m:e>
                <m:r>
                  <w:rPr>
                    <w:rFonts w:ascii="Cambria Math" w:hAnsi="Cambria Math" w:cs="Times New Roman"/>
                    <w:color w:val="000000" w:themeColor="text1"/>
                    <w:kern w:val="2"/>
                    <w14:ligatures w14:val="standardContextual"/>
                  </w:rPr>
                  <m:t>t</m:t>
                </m:r>
              </m:e>
            </m:d>
            <m:sSub>
              <m:sSubPr>
                <m:ctrlPr>
                  <w:rPr>
                    <w:rFonts w:ascii="Cambria Math" w:hAnsi="Cambria Math" w:cs="Times New Roman"/>
                    <w:i/>
                    <w:color w:val="000000" w:themeColor="text1"/>
                    <w:kern w:val="2"/>
                    <w14:ligatures w14:val="standardContextual"/>
                  </w:rPr>
                </m:ctrlPr>
              </m:sSubPr>
              <m:e>
                <m:r>
                  <w:rPr>
                    <w:rFonts w:ascii="Cambria Math" w:hAnsi="Cambria Math" w:cs="Times New Roman"/>
                    <w:color w:val="000000" w:themeColor="text1"/>
                    <w:kern w:val="2"/>
                    <w14:ligatures w14:val="standardContextual"/>
                  </w:rPr>
                  <m:t>x</m:t>
                </m:r>
              </m:e>
              <m:sub>
                <m:r>
                  <w:rPr>
                    <w:rFonts w:ascii="Cambria Math" w:hAnsi="Cambria Math" w:cs="Times New Roman"/>
                    <w:color w:val="000000" w:themeColor="text1"/>
                    <w:kern w:val="2"/>
                    <w14:ligatures w14:val="standardContextual"/>
                  </w:rPr>
                  <m:t>j</m:t>
                </m:r>
              </m:sub>
            </m:sSub>
            <m:sSup>
              <m:sSupPr>
                <m:ctrlPr>
                  <w:rPr>
                    <w:rFonts w:ascii="Cambria Math" w:hAnsi="Cambria Math" w:cs="Times New Roman"/>
                    <w:i/>
                    <w:color w:val="000000" w:themeColor="text1"/>
                    <w:kern w:val="2"/>
                    <w14:ligatures w14:val="standardContextual"/>
                  </w:rPr>
                </m:ctrlPr>
              </m:sSupPr>
              <m:e>
                <m:d>
                  <m:dPr>
                    <m:ctrlPr>
                      <w:rPr>
                        <w:rFonts w:ascii="Cambria Math" w:hAnsi="Cambria Math" w:cs="Times New Roman"/>
                        <w:i/>
                        <w:color w:val="000000" w:themeColor="text1"/>
                        <w:kern w:val="2"/>
                        <w14:ligatures w14:val="standardContextual"/>
                      </w:rPr>
                    </m:ctrlPr>
                  </m:dPr>
                  <m:e>
                    <m:r>
                      <w:rPr>
                        <w:rFonts w:ascii="Cambria Math" w:hAnsi="Cambria Math" w:cs="Times New Roman"/>
                        <w:color w:val="000000" w:themeColor="text1"/>
                        <w:kern w:val="2"/>
                        <w14:ligatures w14:val="standardContextual"/>
                      </w:rPr>
                      <m:t>t</m:t>
                    </m:r>
                  </m:e>
                </m:d>
                <m:ctrlPr>
                  <w:rPr>
                    <w:rFonts w:ascii="Cambria Math" w:hAnsi="Cambria Math" w:cs="Times New Roman"/>
                    <w:color w:val="000000" w:themeColor="text1"/>
                    <w:kern w:val="2"/>
                    <w14:ligatures w14:val="standardContextual"/>
                  </w:rPr>
                </m:ctrlPr>
              </m:e>
              <m:sup>
                <m:r>
                  <m:rPr>
                    <m:sty m:val="p"/>
                  </m:rPr>
                  <w:rPr>
                    <w:rFonts w:ascii="Cambria Math" w:hAnsi="Cambria Math" w:cs="Times New Roman"/>
                    <w:color w:val="000000" w:themeColor="text1"/>
                    <w:kern w:val="2"/>
                    <w14:ligatures w14:val="standardContextual"/>
                  </w:rPr>
                  <m:t>⊤</m:t>
                </m:r>
              </m:sup>
            </m:sSup>
          </m:e>
        </m:d>
      </m:oMath>
      <w:r w:rsidRPr="007061DD">
        <w:rPr>
          <w:rFonts w:ascii="Times New Roman" w:hAnsi="Times New Roman" w:cs="Times New Roman"/>
          <w:color w:val="000000" w:themeColor="text1"/>
          <w:lang w:val="en-GB"/>
        </w:rPr>
        <w:t xml:space="preserve">. It follows that the time-lag covariance matrix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provides a direct interpretation of which node behaves as a source and which as a sink</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{"citationItems":[{"id":"ITEM-1","itemData":{"DOI":"10.1162/NECO","abstract":"Recent literature in the robot learning community has focused on learning robot skills that abstract out lower-level details of robot control, such as Dynamic Movement Primitives (DMPs), the options framework in hierarchical RL, and subtask policies. To fully leverage the efficacy of these macro actions, it is necessary to then sequence these primitives to achieve a given task. Our objective is to jointly learn a set of robot skills and a sequence of these learnt skills to accomplish a given task. We consider the task of navigating a robot across various environments using visual input, maximizing the distance traveled through the environment while avoiding static obstacles. Traditional planning methods to solve this problem rely on hand-crafted state representations and heuristics for planning, and often fail to generalize. In contrast, deep neural networks have proved to be powerful function approximators, successfully modeling complex control policies. In addition, the ability of such networks to learn good representations of high-dimensional sensory inputs makes them a valuable tool when dealing with visual inputs. In this project, we explore the capability of deep neural networks to learn and sequence robot skills for navigation, directly using visual input.","author":[{"dropping-particle":"","family":"Lin","given":"Tiger W.","non-dropping-particle":"","parse-names":false,"suffix":""},{"dropping-particle":"","family":"Das","given":"Anup","non-dropping-particle":"","parse-names":false,"suffix":""},{"dropping-particle":"","family":"Krishnan","given":"Giri P.","non-dropping-particle":"","parse-names":false,"suffix":""},{"dropping-particle":"","family":"Bazhenov","given":"Maxim","non-dropping-particle":"","parse-names":false,"suffix":""},{"dropping-particle":"","family":"Sejnowski","given":"Terrence J.","non-dropping-particle":"","parse-names":false,"suffix":""}],"id":"ITEM-1","issue":"March","issued":{"date-parts":[["2018"]]},"page":"2709-2733","title":"Differential Covariance: A New Class of Methods to Estimate Sparse Connectivity from Neural Recordings","type":"article-journal","volume":"2733"},"uris":["http://www.mendeley.com/documents/?uuid=aa2894b9-a4de-45b2-b438-bcac30fa11af"]}],"mendeley":{"formattedCitation":"&lt;sup&gt;17&lt;/sup&gt;","plainTextFormattedCitation":"17","previouslyFormattedCitation":"&lt;sup&gt;16&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17</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 xml:space="preserve">. Specifically, if </w:t>
      </w:r>
      <m:oMath>
        <m:sSub>
          <m:sSubPr>
            <m:ctrlPr>
              <w:rPr>
                <w:rFonts w:ascii="Cambria Math" w:hAnsi="Cambria Math" w:cs="Times New Roman"/>
                <w:i/>
                <w:color w:val="000000" w:themeColor="text1"/>
                <w:lang w:val="en-GB"/>
              </w:rPr>
            </m:ctrlPr>
          </m:sSubPr>
          <m:e>
            <m:r>
              <w:rPr>
                <w:rFonts w:ascii="Cambria Math" w:hAnsi="Cambria Math" w:cs="Times New Roman"/>
                <w:color w:val="000000" w:themeColor="text1"/>
                <w:lang w:val="en-GB"/>
              </w:rPr>
              <m:t>S</m:t>
            </m:r>
          </m:e>
          <m:sub>
            <m:r>
              <w:rPr>
                <w:rFonts w:ascii="Cambria Math" w:hAnsi="Cambria Math" w:cs="Times New Roman"/>
                <w:color w:val="000000" w:themeColor="text1"/>
                <w:lang w:val="en-GB"/>
              </w:rPr>
              <m:t>ij</m:t>
            </m:r>
          </m:sub>
        </m:sSub>
      </m:oMath>
      <w:r w:rsidRPr="007061DD">
        <w:rPr>
          <w:rFonts w:ascii="Times New Roman" w:hAnsi="Times New Roman" w:cs="Times New Roman"/>
          <w:color w:val="000000" w:themeColor="text1"/>
          <w:lang w:val="en-GB"/>
        </w:rPr>
        <w:t xml:space="preserve">&gt; 0 (and </w:t>
      </w:r>
      <m:oMath>
        <m:sSub>
          <m:sSubPr>
            <m:ctrlPr>
              <w:rPr>
                <w:rFonts w:ascii="Cambria Math" w:hAnsi="Cambria Math" w:cs="Times New Roman"/>
                <w:i/>
                <w:color w:val="000000" w:themeColor="text1"/>
                <w:lang w:val="en-GB"/>
              </w:rPr>
            </m:ctrlPr>
          </m:sSubPr>
          <m:e>
            <m:r>
              <w:rPr>
                <w:rFonts w:ascii="Cambria Math" w:hAnsi="Cambria Math" w:cs="Times New Roman"/>
                <w:color w:val="000000" w:themeColor="text1"/>
                <w:lang w:val="en-GB"/>
              </w:rPr>
              <m:t>S</m:t>
            </m:r>
          </m:e>
          <m:sub>
            <m:r>
              <w:rPr>
                <w:rFonts w:ascii="Cambria Math" w:hAnsi="Cambria Math" w:cs="Times New Roman"/>
                <w:color w:val="000000" w:themeColor="text1"/>
                <w:lang w:val="en-GB"/>
              </w:rPr>
              <m:t>ji</m:t>
            </m:r>
          </m:sub>
        </m:sSub>
      </m:oMath>
      <w:r w:rsidRPr="007061DD">
        <w:rPr>
          <w:rFonts w:ascii="Times New Roman" w:hAnsi="Times New Roman" w:cs="Times New Roman"/>
          <w:color w:val="000000" w:themeColor="text1"/>
          <w:lang w:val="en-GB"/>
        </w:rPr>
        <w:t xml:space="preserve">&lt; 0 for the skew-symmetry of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the node j is considered as source, meaning that information is flowing from node j to node i. Furthermore, this statistical interpretation provides a straightforward method to ascertain the sender or receiver nature of each neural node. By summing the values of matrix </w:t>
      </w:r>
      <m:oMath>
        <m:r>
          <w:rPr>
            <w:rFonts w:ascii="Cambria Math" w:hAnsi="Cambria Math" w:cs="Times New Roman"/>
            <w:color w:val="000000" w:themeColor="text1"/>
            <w:lang w:eastAsia="it-IT"/>
          </w:rPr>
          <m:t>S</m:t>
        </m:r>
      </m:oMath>
      <w:r w:rsidRPr="007061DD">
        <w:rPr>
          <w:rFonts w:ascii="Times New Roman" w:hAnsi="Times New Roman" w:cs="Times New Roman"/>
          <w:color w:val="000000" w:themeColor="text1"/>
          <w:lang w:val="en-GB"/>
        </w:rPr>
        <w:t xml:space="preserve"> column-wise, we can quantify the extent to which each node predominantly functions as a source (positive sum) or a sink (negative sum)</w:t>
      </w:r>
      <w:r w:rsidRPr="007061DD">
        <w:rPr>
          <w:rFonts w:ascii="Times New Roman" w:hAnsi="Times New Roman" w:cs="Times New Roman"/>
          <w:color w:val="000000" w:themeColor="text1"/>
          <w:lang w:val="en-GB"/>
        </w:rPr>
        <w:fldChar w:fldCharType="begin" w:fldLock="1"/>
      </w:r>
      <w:r w:rsidR="005C4031" w:rsidRPr="007061DD">
        <w:rPr>
          <w:rFonts w:ascii="Times New Roman" w:hAnsi="Times New Roman" w:cs="Times New Roman"/>
          <w:color w:val="000000" w:themeColor="text1"/>
          <w:lang w:val="en-GB"/>
        </w:rPr>
        <w:instrText>ADDIN CSL_CITATION {"citationItems":[{"id":"ITEM-1","itemData":{"DOI":"10.1162/netn_a_00175","abstract":"At the inception of human brain mapping, two principles of functional anatomy underwrote most conceptions—and analyses—of distributed brain responses: namely, functional segregation and integration. There are currently two main approaches to characterizing functional integration. The first is a mechanistic modeling of connectomics in terms of directed effective connectivity that mediates neuronal message passing and dynamics on neuronal circuits. The second phenomenological approach usually characterizes undirected functional connectivity (i.e., measurable correlations), in terms of intrinsic brain networks, self-organized criticality, dynamical instability, and so on. 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 SummaryThis paper describes a treatment of effective connectivity that speaks to the emergence of intrinsic brain networks and critical dynamics. It is predicated on the notion of Markov blankets that play a fundamental role in the self-organization of far from equilibrium systems. Using the apparatus of the renormalization group, we show that much of the phenomenology found in network neuroscience is an emergent property of a particular partition of neuronal states, over progressively coarser scales. As such, it offers a way of linking dynamics on directed graphs to the phenomenology of intrinsic brain networks.","author":[{"dropping-particle":"","family":"Friston","given":"Karl J.","non-dropping-particle":"","parse-names":false,"suffix":""},{"dropping-particle":"","family":"Fagerholm","given":"Erik D.","non-dropping-particle":"","parse-names":false,"suffix":""},{"dropping-particle":"","family":"Zarghami","given":"Tahereh S.","non-dropping-particle":"","parse-names":false,"suffix":""},{"dropping-particle":"","family":"Parr","given":"Thomas","non-dropping-particle":"","parse-names":false,"suffix":""},{"dropping-particle":"","family":"Hipólito","given":"Inês","non-dropping-particle":"","parse-names":false,"suffix":""},{"dropping-particle":"","family":"Magrou","given":"Loïc","non-dropping-particle":"","parse-names":false,"suffix":""},{"dropping-particle":"","family":"Razi","given":"Adeel","non-dropping-particle":"","parse-names":false,"suffix":""}],"container-title":"Network Neuroscience","id":"ITEM-1","issue":"1","issued":{"date-parts":[["2021"]]},"page":"211-251","title":"Parcels and particles: Markov blankets in the brain","type":"article-journal","volume":"5"},"uris":["http://www.mendeley.com/documents/?uuid=6c7209a6-e37f-4c11-9c17-36d1d5b1bbd8"]}],"mendeley":{"formattedCitation":"&lt;sup&gt;11&lt;/sup&gt;","plainTextFormattedCitation":"11","previouslyFormattedCitation":"&lt;sup&gt;10&lt;/sup&gt;"},"properties":{"noteIndex":0},"schema":"https://github.com/citation-style-language/schema/raw/master/csl-citation.json"}</w:instrText>
      </w:r>
      <w:r w:rsidRPr="007061DD">
        <w:rPr>
          <w:rFonts w:ascii="Times New Roman" w:hAnsi="Times New Roman" w:cs="Times New Roman"/>
          <w:color w:val="000000" w:themeColor="text1"/>
          <w:lang w:val="en-GB"/>
        </w:rPr>
        <w:fldChar w:fldCharType="separate"/>
      </w:r>
      <w:r w:rsidR="005C4031" w:rsidRPr="007061DD">
        <w:rPr>
          <w:rFonts w:ascii="Times New Roman" w:hAnsi="Times New Roman" w:cs="Times New Roman"/>
          <w:noProof/>
          <w:color w:val="000000" w:themeColor="text1"/>
          <w:vertAlign w:val="superscript"/>
          <w:lang w:val="en-GB"/>
        </w:rPr>
        <w:t>11</w:t>
      </w:r>
      <w:r w:rsidRPr="007061DD">
        <w:rPr>
          <w:rFonts w:ascii="Times New Roman" w:hAnsi="Times New Roman" w:cs="Times New Roman"/>
          <w:color w:val="000000" w:themeColor="text1"/>
          <w:lang w:val="en-GB"/>
        </w:rPr>
        <w:fldChar w:fldCharType="end"/>
      </w:r>
      <w:r w:rsidRPr="007061DD">
        <w:rPr>
          <w:rFonts w:ascii="Times New Roman" w:hAnsi="Times New Roman" w:cs="Times New Roman"/>
          <w:color w:val="000000" w:themeColor="text1"/>
          <w:lang w:val="en-GB"/>
        </w:rPr>
        <w:t>.</w:t>
      </w:r>
    </w:p>
    <w:p w14:paraId="3DBCA3FE" w14:textId="337B590C" w:rsidR="007470C2" w:rsidRPr="007061DD" w:rsidRDefault="007470C2" w:rsidP="00DC0ED9">
      <w:pPr>
        <w:spacing w:after="0" w:line="360" w:lineRule="auto"/>
        <w:jc w:val="both"/>
        <w:rPr>
          <w:rFonts w:ascii="Times New Roman" w:hAnsi="Times New Roman" w:cs="Times New Roman"/>
          <w:color w:val="000000" w:themeColor="text1"/>
          <w:lang w:val="en-GB"/>
        </w:rPr>
      </w:pPr>
      <w:r w:rsidRPr="007061DD">
        <w:rPr>
          <w:rFonts w:ascii="Times New Roman" w:hAnsi="Times New Roman" w:cs="Times New Roman"/>
          <w:color w:val="000000" w:themeColor="text1"/>
          <w:lang w:val="en-GB"/>
        </w:rPr>
        <w:t xml:space="preserve">As a result, the decomposition of each within-subject EC matrix yielded a </w:t>
      </w:r>
      <w:r w:rsidR="00E25BB1" w:rsidRPr="007061DD">
        <w:rPr>
          <w:rFonts w:ascii="Times New Roman" w:hAnsi="Times New Roman" w:cs="Times New Roman"/>
          <w:color w:val="000000" w:themeColor="text1"/>
          <w:lang w:val="en-GB"/>
        </w:rPr>
        <w:t xml:space="preserve">partial </w:t>
      </w:r>
      <w:r w:rsidR="008125A8" w:rsidRPr="007061DD">
        <w:rPr>
          <w:rFonts w:ascii="Times New Roman" w:hAnsi="Times New Roman" w:cs="Times New Roman"/>
          <w:color w:val="000000" w:themeColor="text1"/>
          <w:lang w:val="en-GB"/>
        </w:rPr>
        <w:t xml:space="preserve">covariance </w:t>
      </w:r>
      <w:r w:rsidR="00E25BB1" w:rsidRPr="007061DD">
        <w:rPr>
          <w:rFonts w:ascii="Times New Roman" w:hAnsi="Times New Roman" w:cs="Times New Roman"/>
          <w:color w:val="000000" w:themeColor="text1"/>
          <w:lang w:val="en-GB"/>
        </w:rPr>
        <w:t xml:space="preserve">matrix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00E25BB1" w:rsidRPr="007061DD">
        <w:rPr>
          <w:rFonts w:ascii="Times New Roman" w:hAnsi="Times New Roman" w:cs="Times New Roman"/>
          <w:color w:val="000000" w:themeColor="text1"/>
          <w:lang w:val="en-GB"/>
        </w:rPr>
        <w:t xml:space="preserve"> </w:t>
      </w:r>
      <w:r w:rsidRPr="007061DD">
        <w:rPr>
          <w:rFonts w:ascii="Times New Roman" w:hAnsi="Times New Roman" w:cs="Times New Roman"/>
          <w:color w:val="000000" w:themeColor="text1"/>
          <w:lang w:val="en-GB"/>
        </w:rPr>
        <w:t xml:space="preserve">(encoding the dissipative component) and a differential cross-covariance matrix </w:t>
      </w:r>
      <m:oMath>
        <m:r>
          <w:rPr>
            <w:rFonts w:ascii="Cambria Math" w:hAnsi="Cambria Math" w:cs="Times New Roman"/>
            <w:color w:val="000000" w:themeColor="text1"/>
            <w:lang w:eastAsia="it-IT"/>
          </w:rPr>
          <m:t>S</m:t>
        </m:r>
      </m:oMath>
      <w:r w:rsidRPr="007061DD">
        <w:rPr>
          <w:rFonts w:ascii="Times New Roman" w:hAnsi="Times New Roman" w:cs="Times New Roman"/>
          <w:i/>
          <w:iCs/>
          <w:color w:val="000000" w:themeColor="text1"/>
          <w:lang w:val="en-GB"/>
        </w:rPr>
        <w:t xml:space="preserve"> </w:t>
      </w:r>
      <w:r w:rsidRPr="007061DD">
        <w:rPr>
          <w:rFonts w:ascii="Times New Roman" w:hAnsi="Times New Roman" w:cs="Times New Roman"/>
          <w:color w:val="000000" w:themeColor="text1"/>
          <w:lang w:val="en-GB"/>
        </w:rPr>
        <w:t xml:space="preserve">(encoding the solenoidal component). </w:t>
      </w:r>
    </w:p>
    <w:p w14:paraId="7FC8CC17" w14:textId="77777777" w:rsidR="00230935" w:rsidRPr="007061DD" w:rsidRDefault="00230935" w:rsidP="00DC0ED9">
      <w:pPr>
        <w:spacing w:after="0" w:line="360" w:lineRule="auto"/>
        <w:jc w:val="both"/>
        <w:rPr>
          <w:rFonts w:ascii="Times New Roman" w:hAnsi="Times New Roman" w:cs="Times New Roman"/>
          <w:lang w:val="en-GB"/>
        </w:rPr>
      </w:pPr>
    </w:p>
    <w:p w14:paraId="39CA692E" w14:textId="77777777" w:rsidR="00A102A2" w:rsidRPr="007061DD" w:rsidRDefault="00A102A2" w:rsidP="00DC0ED9">
      <w:pPr>
        <w:spacing w:after="0" w:line="360" w:lineRule="auto"/>
        <w:jc w:val="both"/>
        <w:rPr>
          <w:rFonts w:ascii="Times New Roman" w:hAnsi="Times New Roman" w:cs="Times New Roman"/>
          <w:b/>
          <w:bCs/>
        </w:rPr>
      </w:pPr>
      <w:r w:rsidRPr="007061DD">
        <w:rPr>
          <w:rFonts w:ascii="Times New Roman" w:hAnsi="Times New Roman" w:cs="Times New Roman"/>
          <w:b/>
          <w:bCs/>
        </w:rPr>
        <w:t xml:space="preserve">Within-individual metabolic connectivity </w:t>
      </w:r>
    </w:p>
    <w:p w14:paraId="2531ECC5" w14:textId="71727C7E" w:rsidR="00A102A2" w:rsidRPr="007061DD" w:rsidRDefault="00A102A2" w:rsidP="00DC0ED9">
      <w:pPr>
        <w:spacing w:after="0" w:line="360" w:lineRule="auto"/>
        <w:jc w:val="both"/>
        <w:rPr>
          <w:rFonts w:ascii="Times New Roman" w:hAnsi="Times New Roman" w:cs="Times New Roman"/>
        </w:rPr>
      </w:pPr>
      <w:r w:rsidRPr="007061DD">
        <w:rPr>
          <w:rFonts w:ascii="Times New Roman" w:hAnsi="Times New Roman" w:cs="Times New Roman"/>
        </w:rPr>
        <w:t>Within-individual metabolic connectivity (</w:t>
      </w:r>
      <w:proofErr w:type="spellStart"/>
      <w:r w:rsidRPr="007061DD">
        <w:rPr>
          <w:rFonts w:ascii="Times New Roman" w:hAnsi="Times New Roman" w:cs="Times New Roman"/>
        </w:rPr>
        <w:t>wi</w:t>
      </w:r>
      <w:proofErr w:type="spellEnd"/>
      <w:r w:rsidRPr="007061DD">
        <w:rPr>
          <w:rFonts w:ascii="Times New Roman" w:hAnsi="Times New Roman" w:cs="Times New Roman"/>
        </w:rPr>
        <w:t>-MC) matrices were calculated using a method based on Euclidean Similarity (ES), detailed in Volpi et al.</w:t>
      </w:r>
      <w:r w:rsidRPr="007061DD">
        <w:rPr>
          <w:rFonts w:ascii="Times New Roman" w:hAnsi="Times New Roman" w:cs="Times New Roman"/>
        </w:rPr>
        <w:fldChar w:fldCharType="begin" w:fldLock="1"/>
      </w:r>
      <w:r w:rsidR="005C4031" w:rsidRPr="007061DD">
        <w:rPr>
          <w:rFonts w:ascii="Times New Roman" w:hAnsi="Times New Roman" w:cs="Times New Roman"/>
        </w:rPr>
        <w:instrText>ADDIN CSL_CITATION {"citationItems":[{"id":"ITEM-1","itemData":{"DOI":"10.1177/0271678X231184365","author":[{"dropping-particle":"","family":"Volpi","given":"Tommaso","non-dropping-particle":"","parse-names":false,"suffix":""},{"dropping-particle":"","family":"Vallini","given":"Giulia","non-dropping-particle":"","parse-names":false,"suffix":""},{"dropping-particle":"","family":"Silvestri","given":"Erica","non-dropping-particle":"","parse-names":false,"suffix":""},{"dropping-particle":"","family":"Francisci","given":"Mattia","non-dropping-particle":"De","parse-names":false,"suffix":""},{"dropping-particle":"","family":"Durbin","given":"Tony","non-dropping-particle":"","parse-names":false,"suffix":""},{"dropping-particle":"","family":"Corbetta","given":"Maurizio","non-dropping-particle":"","parse-names":false,"suffix":""},{"dropping-particle":"","family":"Lee","given":"John J","non-dropping-particle":"","parse-names":false,"suffix":""},{"dropping-particle":"","family":"Louis","given":"St","non-dropping-particle":"","parse-names":false,"suffix":""},{"dropping-particle":"","family":"Vlassenko","given":"Andrei G","non-dropping-particle":"","parse-names":false,"suffix":""},{"dropping-particle":"","family":"Goyal","given":"Manu S","non-dropping-particle":"","parse-names":false,"suffix":""},{"dropping-particle":"","family":"Louis","given":"St","non-dropping-particle":"","parse-names":false,"suffix":""},{"dropping-particle":"","family":"Bertoldo","given":"Alessandra","non-dropping-particle":"","parse-names":false,"suffix":""}],"container-title":"Journal of Cerebral Blood Flow and Metabolism","id":"ITEM-1","issued":{"date-parts":[["2022"]]},"page":"1-21","title":"A new framework for metabolic connectivity mapping using bolus [ 18 F]FDG PET and kinetic modelling","type":"article-journal"},"uris":["http://www.mendeley.com/documents/?uuid=0c8d46b4-f881-4026-b143-476d899bc291"]}],"mendeley":{"formattedCitation":"&lt;sup&gt;18&lt;/sup&gt;","plainTextFormattedCitation":"18","previouslyFormattedCitation":"&lt;sup&gt;17&lt;/sup&gt;"},"properties":{"noteIndex":0},"schema":"https://github.com/citation-style-language/schema/raw/master/csl-citation.json"}</w:instrText>
      </w:r>
      <w:r w:rsidRPr="007061DD">
        <w:rPr>
          <w:rFonts w:ascii="Times New Roman" w:hAnsi="Times New Roman" w:cs="Times New Roman"/>
        </w:rPr>
        <w:fldChar w:fldCharType="separate"/>
      </w:r>
      <w:r w:rsidR="005C4031" w:rsidRPr="007061DD">
        <w:rPr>
          <w:rFonts w:ascii="Times New Roman" w:hAnsi="Times New Roman" w:cs="Times New Roman"/>
          <w:noProof/>
          <w:vertAlign w:val="superscript"/>
        </w:rPr>
        <w:t>18</w:t>
      </w:r>
      <w:r w:rsidRPr="007061DD">
        <w:rPr>
          <w:rFonts w:ascii="Times New Roman" w:hAnsi="Times New Roman" w:cs="Times New Roman"/>
        </w:rPr>
        <w:fldChar w:fldCharType="end"/>
      </w:r>
      <w:r w:rsidRPr="007061DD">
        <w:rPr>
          <w:rFonts w:ascii="Times New Roman" w:hAnsi="Times New Roman" w:cs="Times New Roman"/>
        </w:rPr>
        <w:t xml:space="preserve">. For each pair of TACs,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1</m:t>
            </m:r>
          </m:sub>
        </m:sSub>
      </m:oMath>
      <w:r w:rsidRPr="007061DD">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z</m:t>
            </m:r>
          </m:e>
          <m:sub>
            <m:r>
              <w:rPr>
                <w:rFonts w:ascii="Cambria Math" w:hAnsi="Cambria Math" w:cs="Times New Roman"/>
              </w:rPr>
              <m:t>2</m:t>
            </m:r>
          </m:sub>
        </m:sSub>
      </m:oMath>
      <w:r w:rsidRPr="007061DD">
        <w:rPr>
          <w:rFonts w:ascii="Times New Roman" w:hAnsi="Times New Roman" w:cs="Times New Roman"/>
        </w:rPr>
        <w:t xml:space="preserve">, their Euclidean distance </w:t>
      </w:r>
      <m:oMath>
        <m:sSub>
          <m:sSubPr>
            <m:ctrlPr>
              <w:rPr>
                <w:rFonts w:ascii="Cambria Math" w:hAnsi="Cambria Math" w:cs="Times New Roman"/>
                <w:i/>
                <w:lang w:val="en-CA"/>
              </w:rPr>
            </m:ctrlPr>
          </m:sSubPr>
          <m:e>
            <m:r>
              <w:rPr>
                <w:rFonts w:ascii="Cambria Math" w:hAnsi="Cambria Math" w:cs="Times New Roman"/>
                <w:lang w:val="en-CA"/>
              </w:rPr>
              <m:t>d</m:t>
            </m:r>
          </m:e>
          <m:sub>
            <m:r>
              <w:rPr>
                <w:rFonts w:ascii="Cambria Math" w:hAnsi="Cambria Math" w:cs="Times New Roman"/>
                <w:lang w:val="en-CA"/>
              </w:rPr>
              <m:t>z</m:t>
            </m:r>
            <m:r>
              <w:rPr>
                <w:rFonts w:ascii="Cambria Math" w:hAnsi="Cambria Math" w:cs="Times New Roman"/>
              </w:rPr>
              <m:t>1,</m:t>
            </m:r>
            <m:r>
              <w:rPr>
                <w:rFonts w:ascii="Cambria Math" w:hAnsi="Cambria Math" w:cs="Times New Roman"/>
                <w:lang w:val="en-CA"/>
              </w:rPr>
              <m:t>z</m:t>
            </m:r>
            <m:r>
              <w:rPr>
                <w:rFonts w:ascii="Cambria Math" w:hAnsi="Cambria Math" w:cs="Times New Roman"/>
              </w:rPr>
              <m:t>2</m:t>
            </m:r>
          </m:sub>
        </m:sSub>
      </m:oMath>
      <w:r w:rsidRPr="007061DD">
        <w:rPr>
          <w:rFonts w:ascii="Times New Roman" w:hAnsi="Times New Roman" w:cs="Times New Roman"/>
        </w:rPr>
        <w:t xml:space="preserve"> is calculated: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830"/>
        <w:gridCol w:w="2404"/>
      </w:tblGrid>
      <w:tr w:rsidR="005F2137" w:rsidRPr="007061DD" w14:paraId="4D1BE7B5" w14:textId="77777777" w:rsidTr="005F2137">
        <w:tc>
          <w:tcPr>
            <w:tcW w:w="3116" w:type="dxa"/>
          </w:tcPr>
          <w:p w14:paraId="0A3AAF8C" w14:textId="7C11BA4A" w:rsidR="005F2137" w:rsidRPr="007061DD" w:rsidRDefault="00000000" w:rsidP="00DC0ED9">
            <w:pPr>
              <w:spacing w:line="360" w:lineRule="auto"/>
              <w:jc w:val="both"/>
              <w:rPr>
                <w:rFonts w:ascii="Times New Roman" w:hAnsi="Times New Roman" w:cs="Times New Roman"/>
              </w:rPr>
            </w:pPr>
            <m:oMath>
              <m:sSub>
                <m:sSubPr>
                  <m:ctrlPr>
                    <w:rPr>
                      <w:rFonts w:ascii="Cambria Math" w:hAnsi="Cambria Math" w:cs="Times New Roman"/>
                      <w:i/>
                      <w:lang w:val="en-CA"/>
                    </w:rPr>
                  </m:ctrlPr>
                </m:sSubPr>
                <m:e>
                  <m:r>
                    <w:rPr>
                      <w:rFonts w:ascii="Cambria Math" w:hAnsi="Cambria Math" w:cs="Times New Roman"/>
                      <w:lang w:val="en-CA"/>
                    </w:rPr>
                    <m:t>d</m:t>
                  </m:r>
                </m:e>
                <m:sub>
                  <m:r>
                    <w:rPr>
                      <w:rFonts w:ascii="Cambria Math" w:hAnsi="Cambria Math" w:cs="Times New Roman"/>
                      <w:lang w:val="en-CA"/>
                    </w:rPr>
                    <m:t>z</m:t>
                  </m:r>
                  <m:r>
                    <w:rPr>
                      <w:rFonts w:ascii="Cambria Math" w:hAnsi="Cambria Math" w:cs="Times New Roman"/>
                    </w:rPr>
                    <m:t>1,</m:t>
                  </m:r>
                  <m:r>
                    <w:rPr>
                      <w:rFonts w:ascii="Cambria Math" w:hAnsi="Cambria Math" w:cs="Times New Roman"/>
                      <w:lang w:val="en-CA"/>
                    </w:rPr>
                    <m:t>z</m:t>
                  </m:r>
                  <m:r>
                    <w:rPr>
                      <w:rFonts w:ascii="Cambria Math" w:hAnsi="Cambria Math" w:cs="Times New Roman"/>
                    </w:rPr>
                    <m:t>2</m:t>
                  </m:r>
                </m:sub>
              </m:sSub>
              <m:r>
                <w:rPr>
                  <w:rFonts w:ascii="Cambria Math" w:hAnsi="Cambria Math" w:cs="Times New Roman"/>
                </w:rPr>
                <m:t>=</m:t>
              </m:r>
              <m:rad>
                <m:radPr>
                  <m:degHide m:val="1"/>
                  <m:ctrlPr>
                    <w:rPr>
                      <w:rFonts w:ascii="Cambria Math" w:hAnsi="Cambria Math" w:cs="Times New Roman"/>
                      <w:i/>
                      <w:lang w:val="en-CA"/>
                    </w:rPr>
                  </m:ctrlPr>
                </m:radPr>
                <m:deg/>
                <m:e>
                  <m:nary>
                    <m:naryPr>
                      <m:chr m:val="∑"/>
                      <m:limLoc m:val="subSup"/>
                      <m:ctrlPr>
                        <w:rPr>
                          <w:rFonts w:ascii="Cambria Math" w:hAnsi="Cambria Math" w:cs="Times New Roman"/>
                          <w:i/>
                          <w:lang w:val="en-CA"/>
                        </w:rPr>
                      </m:ctrlPr>
                    </m:naryPr>
                    <m:sub>
                      <m:r>
                        <w:rPr>
                          <w:rFonts w:ascii="Cambria Math" w:hAnsi="Cambria Math" w:cs="Times New Roman"/>
                          <w:lang w:val="en-CA"/>
                        </w:rPr>
                        <m:t>i</m:t>
                      </m:r>
                      <m:r>
                        <w:rPr>
                          <w:rFonts w:ascii="Cambria Math" w:hAnsi="Cambria Math" w:cs="Times New Roman"/>
                        </w:rPr>
                        <m:t>=1</m:t>
                      </m:r>
                    </m:sub>
                    <m:sup>
                      <m:r>
                        <w:rPr>
                          <w:rFonts w:ascii="Cambria Math" w:hAnsi="Cambria Math" w:cs="Times New Roman"/>
                          <w:lang w:val="en-CA"/>
                        </w:rPr>
                        <m:t>T</m:t>
                      </m:r>
                    </m:sup>
                    <m:e>
                      <m:sSup>
                        <m:sSupPr>
                          <m:ctrlPr>
                            <w:rPr>
                              <w:rFonts w:ascii="Cambria Math" w:hAnsi="Cambria Math" w:cs="Times New Roman"/>
                              <w:i/>
                              <w:lang w:val="en-CA"/>
                            </w:rPr>
                          </m:ctrlPr>
                        </m:sSupPr>
                        <m:e>
                          <m:r>
                            <w:rPr>
                              <w:rFonts w:ascii="Cambria Math" w:hAnsi="Cambria Math" w:cs="Times New Roman"/>
                            </w:rPr>
                            <m:t>(</m:t>
                          </m:r>
                          <m:sSub>
                            <m:sSubPr>
                              <m:ctrlPr>
                                <w:rPr>
                                  <w:rFonts w:ascii="Cambria Math" w:hAnsi="Cambria Math" w:cs="Times New Roman"/>
                                  <w:i/>
                                  <w:lang w:val="en-CA"/>
                                </w:rPr>
                              </m:ctrlPr>
                            </m:sSubPr>
                            <m:e>
                              <m:r>
                                <w:rPr>
                                  <w:rFonts w:ascii="Cambria Math" w:hAnsi="Cambria Math" w:cs="Times New Roman"/>
                                  <w:lang w:val="en-CA"/>
                                </w:rPr>
                                <m:t>z</m:t>
                              </m:r>
                            </m:e>
                            <m:sub>
                              <m:r>
                                <w:rPr>
                                  <w:rFonts w:ascii="Cambria Math" w:hAnsi="Cambria Math" w:cs="Times New Roman"/>
                                  <w:lang w:val="en-CA"/>
                                </w:rPr>
                                <m:t>i</m:t>
                              </m:r>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lang w:val="en-CA"/>
                                </w:rPr>
                              </m:ctrlPr>
                            </m:sSubPr>
                            <m:e>
                              <m:r>
                                <w:rPr>
                                  <w:rFonts w:ascii="Cambria Math" w:hAnsi="Cambria Math" w:cs="Times New Roman"/>
                                  <w:lang w:val="en-CA"/>
                                </w:rPr>
                                <m:t>z</m:t>
                              </m:r>
                            </m:e>
                            <m:sub>
                              <m:r>
                                <w:rPr>
                                  <w:rFonts w:ascii="Cambria Math" w:hAnsi="Cambria Math" w:cs="Times New Roman"/>
                                  <w:lang w:val="en-CA"/>
                                </w:rPr>
                                <m:t>i</m:t>
                              </m:r>
                              <m:r>
                                <w:rPr>
                                  <w:rFonts w:ascii="Cambria Math" w:hAnsi="Cambria Math" w:cs="Times New Roman"/>
                                </w:rPr>
                                <m:t>,2</m:t>
                              </m:r>
                            </m:sub>
                          </m:sSub>
                          <m:r>
                            <w:rPr>
                              <w:rFonts w:ascii="Cambria Math" w:hAnsi="Cambria Math" w:cs="Times New Roman"/>
                            </w:rPr>
                            <m:t>)</m:t>
                          </m:r>
                        </m:e>
                        <m:sup>
                          <m:r>
                            <w:rPr>
                              <w:rFonts w:ascii="Cambria Math" w:hAnsi="Cambria Math" w:cs="Times New Roman"/>
                            </w:rPr>
                            <m:t>2</m:t>
                          </m:r>
                        </m:sup>
                      </m:sSup>
                    </m:e>
                  </m:nary>
                </m:e>
              </m:rad>
            </m:oMath>
            <w:r w:rsidR="005F2137" w:rsidRPr="007061DD">
              <w:rPr>
                <w:rFonts w:ascii="Times New Roman" w:hAnsi="Times New Roman" w:cs="Times New Roman"/>
              </w:rPr>
              <w:t xml:space="preserve">       </w:t>
            </w:r>
          </w:p>
        </w:tc>
        <w:tc>
          <w:tcPr>
            <w:tcW w:w="3830" w:type="dxa"/>
          </w:tcPr>
          <w:p w14:paraId="086D3BA5" w14:textId="09E26091" w:rsidR="005F2137" w:rsidRPr="007061DD" w:rsidRDefault="005F2137" w:rsidP="00DC0ED9">
            <w:pPr>
              <w:spacing w:line="360" w:lineRule="auto"/>
              <w:jc w:val="center"/>
              <w:rPr>
                <w:rFonts w:ascii="Times New Roman" w:hAnsi="Times New Roman" w:cs="Times New Roman"/>
              </w:rPr>
            </w:pPr>
            <w:r w:rsidRPr="007061DD">
              <w:rPr>
                <w:rFonts w:ascii="Times New Roman" w:hAnsi="Times New Roman" w:cs="Times New Roman"/>
              </w:rPr>
              <w:t xml:space="preserve">with </w:t>
            </w:r>
            <m:oMath>
              <m:r>
                <w:rPr>
                  <w:rFonts w:ascii="Cambria Math" w:hAnsi="Cambria Math" w:cs="Times New Roman"/>
                  <w:lang w:val="en-CA"/>
                </w:rPr>
                <m:t>T</m:t>
              </m:r>
            </m:oMath>
            <w:r w:rsidRPr="007061DD">
              <w:rPr>
                <w:rFonts w:ascii="Times New Roman" w:hAnsi="Times New Roman" w:cs="Times New Roman"/>
              </w:rPr>
              <w:t xml:space="preserve"> = number of time points</w:t>
            </w:r>
          </w:p>
        </w:tc>
        <w:tc>
          <w:tcPr>
            <w:tcW w:w="2404" w:type="dxa"/>
          </w:tcPr>
          <w:p w14:paraId="6195DBBE" w14:textId="6197F0DC" w:rsidR="005F2137" w:rsidRPr="007061DD" w:rsidRDefault="005F2137" w:rsidP="00DC0ED9">
            <w:pPr>
              <w:spacing w:line="360" w:lineRule="auto"/>
              <w:jc w:val="right"/>
              <w:rPr>
                <w:rFonts w:ascii="Times New Roman" w:hAnsi="Times New Roman" w:cs="Times New Roman"/>
              </w:rPr>
            </w:pPr>
            <w:r w:rsidRPr="007061DD">
              <w:rPr>
                <w:rFonts w:ascii="Times New Roman" w:hAnsi="Times New Roman" w:cs="Times New Roman"/>
              </w:rPr>
              <w:t>(</w:t>
            </w:r>
            <w:r w:rsidR="00633D4F" w:rsidRPr="007061DD">
              <w:rPr>
                <w:rFonts w:ascii="Times New Roman" w:hAnsi="Times New Roman" w:cs="Times New Roman"/>
              </w:rPr>
              <w:t>5</w:t>
            </w:r>
            <w:r w:rsidRPr="007061DD">
              <w:rPr>
                <w:rFonts w:ascii="Times New Roman" w:hAnsi="Times New Roman" w:cs="Times New Roman"/>
              </w:rPr>
              <w:t>)</w:t>
            </w:r>
          </w:p>
        </w:tc>
      </w:tr>
    </w:tbl>
    <w:p w14:paraId="62073021" w14:textId="4EBD4833" w:rsidR="00A102A2" w:rsidRPr="007061DD" w:rsidRDefault="00A102A2"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A measure of ES is obtained as 1 minus the normalized </w:t>
      </w:r>
      <m:oMath>
        <m:sSub>
          <m:sSubPr>
            <m:ctrlPr>
              <w:rPr>
                <w:rFonts w:ascii="Cambria Math" w:hAnsi="Cambria Math" w:cs="Times New Roman"/>
                <w:i/>
                <w:lang w:val="en-CA"/>
              </w:rPr>
            </m:ctrlPr>
          </m:sSubPr>
          <m:e>
            <m:r>
              <w:rPr>
                <w:rFonts w:ascii="Cambria Math" w:hAnsi="Cambria Math" w:cs="Times New Roman"/>
                <w:lang w:val="en-CA"/>
              </w:rPr>
              <m:t>d</m:t>
            </m:r>
          </m:e>
          <m:sub>
            <m:r>
              <w:rPr>
                <w:rFonts w:ascii="Cambria Math" w:hAnsi="Cambria Math" w:cs="Times New Roman"/>
                <w:lang w:val="en-CA"/>
              </w:rPr>
              <m:t>z</m:t>
            </m:r>
            <m:r>
              <w:rPr>
                <w:rFonts w:ascii="Cambria Math" w:hAnsi="Cambria Math" w:cs="Times New Roman"/>
              </w:rPr>
              <m:t>1,</m:t>
            </m:r>
            <m:r>
              <w:rPr>
                <w:rFonts w:ascii="Cambria Math" w:hAnsi="Cambria Math" w:cs="Times New Roman"/>
                <w:lang w:val="en-CA"/>
              </w:rPr>
              <m:t>z</m:t>
            </m:r>
            <m:r>
              <w:rPr>
                <w:rFonts w:ascii="Cambria Math" w:hAnsi="Cambria Math" w:cs="Times New Roman"/>
              </w:rPr>
              <m:t>2</m:t>
            </m:r>
          </m:sub>
        </m:sSub>
      </m:oMath>
      <w:r w:rsidRPr="007061DD">
        <w:rPr>
          <w:rFonts w:ascii="Times New Roman" w:hAnsi="Times New Roman" w:cs="Times New Roman"/>
        </w:rPr>
        <w:t>, i.e., divided by the maximum distance between TAC pairs (scaled in the [0, 1] interval). Due to the heavy-tailed distribution of the ES values, a Fisher z-transformation was applied, followed by a new rescaling of the values in the [0, 1] interval. A wi-MC matrix was calculated for all participants, both HCs and patients.</w:t>
      </w:r>
    </w:p>
    <w:p w14:paraId="558468B4" w14:textId="77777777" w:rsidR="00905F23" w:rsidRPr="007061DD" w:rsidRDefault="00905F23" w:rsidP="00DC0ED9">
      <w:pPr>
        <w:spacing w:after="0" w:line="360" w:lineRule="auto"/>
        <w:jc w:val="both"/>
        <w:rPr>
          <w:rFonts w:ascii="Times New Roman" w:hAnsi="Times New Roman" w:cs="Times New Roman"/>
        </w:rPr>
      </w:pPr>
    </w:p>
    <w:p w14:paraId="40376A85" w14:textId="320091DF" w:rsidR="00024680" w:rsidRPr="007061DD" w:rsidRDefault="00905F23" w:rsidP="00DC0ED9">
      <w:pPr>
        <w:spacing w:after="0" w:line="360" w:lineRule="auto"/>
        <w:rPr>
          <w:rFonts w:ascii="Times New Roman" w:hAnsi="Times New Roman" w:cs="Times New Roman"/>
          <w:b/>
          <w:bCs/>
        </w:rPr>
      </w:pPr>
      <w:r w:rsidRPr="007061DD">
        <w:rPr>
          <w:rFonts w:ascii="Times New Roman" w:hAnsi="Times New Roman" w:cs="Times New Roman"/>
          <w:b/>
          <w:bCs/>
        </w:rPr>
        <w:t>Partial Least Squares Correlation (PLSC) analysis</w:t>
      </w:r>
    </w:p>
    <w:p w14:paraId="1280DB8B" w14:textId="4829ABCD"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lastRenderedPageBreak/>
        <w:t xml:space="preserve">The implementation of the Partial Least Squares Correlation (PLSC) analysis was facilitated by the </w:t>
      </w:r>
      <w:proofErr w:type="spellStart"/>
      <w:r w:rsidRPr="007061DD">
        <w:rPr>
          <w:rFonts w:ascii="Times New Roman" w:hAnsi="Times New Roman" w:cs="Times New Roman"/>
        </w:rPr>
        <w:t>myPLS</w:t>
      </w:r>
      <w:proofErr w:type="spellEnd"/>
      <w:r w:rsidRPr="007061DD">
        <w:rPr>
          <w:rFonts w:ascii="Times New Roman" w:hAnsi="Times New Roman" w:cs="Times New Roman"/>
        </w:rPr>
        <w:t xml:space="preserve"> toolbox in MATLAB 2021b, which is publicly accessible at </w:t>
      </w:r>
      <w:hyperlink r:id="rId13" w:history="1">
        <w:r w:rsidRPr="007061DD">
          <w:rPr>
            <w:rStyle w:val="Hyperlink"/>
            <w:rFonts w:ascii="Times New Roman" w:hAnsi="Times New Roman" w:cs="Times New Roman"/>
          </w:rPr>
          <w:t>https://github.com/danizoeller/myPLS</w:t>
        </w:r>
      </w:hyperlink>
      <w:r w:rsidRPr="007061DD">
        <w:rPr>
          <w:rFonts w:ascii="Times New Roman" w:hAnsi="Times New Roman" w:cs="Times New Roman"/>
        </w:rPr>
        <w:t xml:space="preserve"> and closely followed the modelling procedure outlined in </w:t>
      </w:r>
      <w:proofErr w:type="spellStart"/>
      <w:r w:rsidRPr="007061DD">
        <w:rPr>
          <w:rFonts w:ascii="Times New Roman" w:hAnsi="Times New Roman" w:cs="Times New Roman"/>
        </w:rPr>
        <w:t>Griffa</w:t>
      </w:r>
      <w:proofErr w:type="spellEnd"/>
      <w:r w:rsidRPr="007061DD">
        <w:rPr>
          <w:rFonts w:ascii="Times New Roman" w:hAnsi="Times New Roman" w:cs="Times New Roman"/>
        </w:rPr>
        <w:t xml:space="preserve"> et al.,</w:t>
      </w:r>
      <w:r w:rsidRPr="007061DD">
        <w:rPr>
          <w:rFonts w:ascii="Times New Roman" w:hAnsi="Times New Roman" w:cs="Times New Roman"/>
        </w:rPr>
        <w:fldChar w:fldCharType="begin" w:fldLock="1"/>
      </w:r>
      <w:r w:rsidR="005C4031" w:rsidRPr="007061DD">
        <w:rPr>
          <w:rFonts w:ascii="Times New Roman" w:hAnsi="Times New Roman" w:cs="Times New Roman"/>
        </w:rPr>
        <w:instrText>ADDIN CSL_CITATION {"citationItems":[{"id":"ITEM-1","itemData":{"DOI":"10.1016/j.neuroimage.2022.118970","ISSN":"10959572","PMID":"35124226","abstract":"Brain signatures of functional activity have shown promising results in both decoding brain states, meaning distinguishing between different tasks, and fingerprinting, that is identifying individuals within a large group. Importantly, these brain signatures do not account for the underlying brain anatomy on which brain function takes place. Structure-function coupling based on graph signal processing (GSP) has recently revealed a meaningful spatial gradient from unimodal to transmodal regions, on average in healthy subjects during resting-state. Here, we explore the specificity of structure-function coupling to distinct brain states (tasks) and to individual subjects. We used multimodal magnetic resonance imaging of 100 unrelated healthy subjects from the Human Connectome Project both during rest and seven different tasks and adopted a support vector machine classification approach for both decoding and fingerprinting, with various cross-validation settings. We found that structure-function coupling measures allow accurate classifications for both task decoding and fingerprinting. In particular, key information for fingerprinting is found in the more liberal portion of functional signals, with contributions strikingly localized to the fronto-parietal network. Moreover, the liberal portion of functional signals showed a strong correlation with cognitive traits, assessed with partial least square analysis, corroborating its relevance for fingerprinting. By introducing a new perspective on GSP-based signal filtering and FC decomposition, these results show that brain structure-function coupling provides a new class of signatures of cognition and individual brain organization at rest and during tasks. Further, they provide insights on clarifying the role of low and high spatial frequencies of the structural connectome, leading to new understanding of where key structure-function information for characterizing individuals can be found across the structural connectome graph spectrum.","author":[{"dropping-particle":"","family":"Griffa","given":"Alessandra","non-dropping-particle":"","parse-names":false,"suffix":""},{"dropping-particle":"","family":"Amico","given":"Enrico","non-dropping-particle":"","parse-names":false,"suffix":""},{"dropping-particle":"","family":"Liégeois","given":"Raphaël","non-dropping-particle":"","parse-names":false,"suffix":""},{"dropping-particle":"","family":"Ville","given":"Dimitri","non-dropping-particle":"Van De","parse-names":false,"suffix":""},{"dropping-particle":"","family":"Preti","given":"Maria Giulia","non-dropping-particle":"","parse-names":false,"suffix":""}],"container-title":"NeuroImage","id":"ITEM-1","issue":"January","issued":{"date-parts":[["2022"]]},"title":"Brain structure-function coupling provides signatures for task decoding and individual fingerprinting","type":"article-journal","volume":"250"},"uris":["http://www.mendeley.com/documents/?uuid=94250f4f-48de-4e9f-804b-c2d12f9806e5"]}],"mendeley":{"formattedCitation":"&lt;sup&gt;19&lt;/sup&gt;","plainTextFormattedCitation":"19","previouslyFormattedCitation":"&lt;sup&gt;18&lt;/sup&gt;"},"properties":{"noteIndex":0},"schema":"https://github.com/citation-style-language/schema/raw/master/csl-citation.json"}</w:instrText>
      </w:r>
      <w:r w:rsidRPr="007061DD">
        <w:rPr>
          <w:rFonts w:ascii="Times New Roman" w:hAnsi="Times New Roman" w:cs="Times New Roman"/>
        </w:rPr>
        <w:fldChar w:fldCharType="separate"/>
      </w:r>
      <w:r w:rsidR="005C4031" w:rsidRPr="007061DD">
        <w:rPr>
          <w:rFonts w:ascii="Times New Roman" w:hAnsi="Times New Roman" w:cs="Times New Roman"/>
          <w:noProof/>
          <w:vertAlign w:val="superscript"/>
        </w:rPr>
        <w:t>19</w:t>
      </w:r>
      <w:r w:rsidRPr="007061DD">
        <w:rPr>
          <w:rFonts w:ascii="Times New Roman" w:hAnsi="Times New Roman" w:cs="Times New Roman"/>
        </w:rPr>
        <w:fldChar w:fldCharType="end"/>
      </w:r>
      <w:r w:rsidRPr="007061DD">
        <w:rPr>
          <w:rFonts w:ascii="Times New Roman" w:hAnsi="Times New Roman" w:cs="Times New Roman"/>
        </w:rPr>
        <w:t xml:space="preserve"> for FC-related features projected on structural harmonics.</w:t>
      </w:r>
    </w:p>
    <w:p w14:paraId="74732129" w14:textId="13F5BD65"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For each latent dimension, the PLSC analysis produced effective and metabolic </w:t>
      </w:r>
      <w:r w:rsidR="003A2C80">
        <w:rPr>
          <w:rFonts w:ascii="Times New Roman" w:hAnsi="Times New Roman" w:cs="Times New Roman"/>
        </w:rPr>
        <w:t xml:space="preserve">PLSC </w:t>
      </w:r>
      <w:r w:rsidRPr="007061DD">
        <w:rPr>
          <w:rFonts w:ascii="Times New Roman" w:hAnsi="Times New Roman" w:cs="Times New Roman"/>
          <w:i/>
          <w:iCs/>
        </w:rPr>
        <w:t>salience maps</w:t>
      </w:r>
      <w:r w:rsidRPr="007061DD">
        <w:rPr>
          <w:rFonts w:ascii="Times New Roman" w:hAnsi="Times New Roman" w:cs="Times New Roman"/>
        </w:rPr>
        <w:t xml:space="preserve">, representing the left and right singular vectors of the data covariance matrix (i.e., correlation matrix when </w:t>
      </w:r>
      <w:r w:rsidRPr="007061DD">
        <w:rPr>
          <w:rFonts w:ascii="Times New Roman" w:hAnsi="Times New Roman" w:cs="Times New Roman"/>
          <w:i/>
          <w:iCs/>
        </w:rPr>
        <w:t xml:space="preserve">X </w:t>
      </w:r>
      <w:r w:rsidRPr="007061DD">
        <w:rPr>
          <w:rFonts w:ascii="Times New Roman" w:hAnsi="Times New Roman" w:cs="Times New Roman"/>
        </w:rPr>
        <w:t xml:space="preserve">and </w:t>
      </w:r>
      <w:r w:rsidRPr="007061DD">
        <w:rPr>
          <w:rFonts w:ascii="Times New Roman" w:hAnsi="Times New Roman" w:cs="Times New Roman"/>
          <w:i/>
          <w:iCs/>
        </w:rPr>
        <w:t xml:space="preserve">Y </w:t>
      </w:r>
      <w:r w:rsidRPr="007061DD">
        <w:rPr>
          <w:rFonts w:ascii="Times New Roman" w:hAnsi="Times New Roman" w:cs="Times New Roman"/>
        </w:rPr>
        <w:t>are normalized and centered) obtained through singular value decomposition: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755D8" w:rsidRPr="007061DD" w14:paraId="6224D21D" w14:textId="77777777">
        <w:tc>
          <w:tcPr>
            <w:tcW w:w="4675" w:type="dxa"/>
          </w:tcPr>
          <w:p w14:paraId="7FCC0E89" w14:textId="77777777" w:rsidR="004755D8" w:rsidRPr="007061DD" w:rsidRDefault="004755D8" w:rsidP="00DC0ED9">
            <w:pPr>
              <w:spacing w:line="360" w:lineRule="auto"/>
              <w:jc w:val="both"/>
              <w:rPr>
                <w:rFonts w:ascii="Times New Roman" w:hAnsi="Times New Roman" w:cs="Times New Roman"/>
              </w:rPr>
            </w:pPr>
            <m:oMathPara>
              <m:oMathParaPr>
                <m:jc m:val="left"/>
              </m:oMathParaPr>
              <m:oMath>
                <m:r>
                  <w:rPr>
                    <w:rFonts w:ascii="Cambria Math" w:hAnsi="Cambria Math" w:cs="Times New Roman"/>
                  </w:rPr>
                  <m:t>R=</m:t>
                </m:r>
                <m:sSup>
                  <m:sSupPr>
                    <m:ctrlPr>
                      <w:rPr>
                        <w:rFonts w:ascii="Cambria Math" w:hAnsi="Cambria Math" w:cs="Times New Roman"/>
                        <w:i/>
                      </w:rPr>
                    </m:ctrlPr>
                  </m:sSupPr>
                  <m:e>
                    <m:r>
                      <w:rPr>
                        <w:rFonts w:ascii="Cambria Math" w:hAnsi="Cambria Math" w:cs="Times New Roman"/>
                      </w:rPr>
                      <m:t>Y</m:t>
                    </m:r>
                  </m:e>
                  <m:sup>
                    <m:r>
                      <w:rPr>
                        <w:rFonts w:ascii="Cambria Math" w:hAnsi="Cambria Math" w:cs="Times New Roman"/>
                      </w:rPr>
                      <m:t>T</m:t>
                    </m:r>
                  </m:sup>
                </m:sSup>
                <m:r>
                  <w:rPr>
                    <w:rFonts w:ascii="Cambria Math" w:hAnsi="Cambria Math" w:cs="Times New Roman"/>
                  </w:rPr>
                  <m:t>X</m:t>
                </m:r>
              </m:oMath>
            </m:oMathPara>
          </w:p>
        </w:tc>
        <w:tc>
          <w:tcPr>
            <w:tcW w:w="4675" w:type="dxa"/>
          </w:tcPr>
          <w:p w14:paraId="5256AC82"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(6)</w:t>
            </w:r>
          </w:p>
        </w:tc>
      </w:tr>
      <w:tr w:rsidR="004755D8" w:rsidRPr="007061DD" w14:paraId="4F69FBC5" w14:textId="77777777">
        <w:tc>
          <w:tcPr>
            <w:tcW w:w="4675" w:type="dxa"/>
          </w:tcPr>
          <w:p w14:paraId="399D890A" w14:textId="77777777" w:rsidR="004755D8" w:rsidRPr="007061DD" w:rsidRDefault="004755D8" w:rsidP="00DC0ED9">
            <w:pPr>
              <w:spacing w:line="360" w:lineRule="auto"/>
              <w:jc w:val="both"/>
              <w:rPr>
                <w:rFonts w:ascii="Times New Roman" w:hAnsi="Times New Roman" w:cs="Times New Roman"/>
              </w:rPr>
            </w:pPr>
            <m:oMathPara>
              <m:oMathParaPr>
                <m:jc m:val="left"/>
              </m:oMathParaPr>
              <m:oMath>
                <m:r>
                  <w:rPr>
                    <w:rFonts w:ascii="Cambria Math" w:hAnsi="Cambria Math" w:cs="Times New Roman"/>
                  </w:rPr>
                  <m:t>R=U∆</m:t>
                </m:r>
                <m:sSup>
                  <m:sSupPr>
                    <m:ctrlPr>
                      <w:rPr>
                        <w:rFonts w:ascii="Cambria Math" w:hAnsi="Cambria Math" w:cs="Times New Roman"/>
                        <w:i/>
                      </w:rPr>
                    </m:ctrlPr>
                  </m:sSupPr>
                  <m:e>
                    <m:r>
                      <w:rPr>
                        <w:rFonts w:ascii="Cambria Math" w:hAnsi="Cambria Math" w:cs="Times New Roman"/>
                      </w:rPr>
                      <m:t>V</m:t>
                    </m:r>
                  </m:e>
                  <m:sup>
                    <m:r>
                      <w:rPr>
                        <w:rFonts w:ascii="Cambria Math" w:hAnsi="Cambria Math" w:cs="Times New Roman"/>
                      </w:rPr>
                      <m:t>T</m:t>
                    </m:r>
                  </m:sup>
                </m:sSup>
              </m:oMath>
            </m:oMathPara>
          </w:p>
        </w:tc>
        <w:tc>
          <w:tcPr>
            <w:tcW w:w="4675" w:type="dxa"/>
          </w:tcPr>
          <w:p w14:paraId="6B9F0AB0"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(7)</w:t>
            </w:r>
          </w:p>
        </w:tc>
      </w:tr>
    </w:tbl>
    <w:p w14:paraId="2FEC9BBE" w14:textId="77777777"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Where </w:t>
      </w:r>
      <m:oMath>
        <m:r>
          <w:rPr>
            <w:rFonts w:ascii="Cambria Math" w:hAnsi="Cambria Math" w:cs="Times New Roman"/>
            <w:lang w:val="it-IT"/>
          </w:rPr>
          <m:t>R</m:t>
        </m:r>
      </m:oMath>
      <w:r w:rsidRPr="007061DD">
        <w:rPr>
          <w:rFonts w:ascii="Times New Roman" w:hAnsi="Times New Roman" w:cs="Times New Roman"/>
          <w:i/>
          <w:iCs/>
        </w:rPr>
        <w:t xml:space="preserve"> </w:t>
      </w:r>
      <w:r w:rsidRPr="007061DD">
        <w:rPr>
          <w:rFonts w:ascii="Times New Roman" w:hAnsi="Times New Roman" w:cs="Times New Roman"/>
        </w:rPr>
        <w:t xml:space="preserve">is the correlation matrix, while </w:t>
      </w:r>
      <m:oMath>
        <m:r>
          <w:rPr>
            <w:rFonts w:ascii="Cambria Math" w:hAnsi="Cambria Math" w:cs="Times New Roman"/>
          </w:rPr>
          <m:t>U</m:t>
        </m:r>
      </m:oMath>
      <w:r w:rsidRPr="007061DD">
        <w:rPr>
          <w:rFonts w:ascii="Times New Roman" w:hAnsi="Times New Roman" w:cs="Times New Roman"/>
          <w:i/>
          <w:iCs/>
        </w:rPr>
        <w:t xml:space="preserve"> </w:t>
      </w:r>
      <w:r w:rsidRPr="007061DD">
        <w:rPr>
          <w:rFonts w:ascii="Times New Roman" w:hAnsi="Times New Roman" w:cs="Times New Roman"/>
        </w:rPr>
        <w:t xml:space="preserve">and </w:t>
      </w:r>
      <m:oMath>
        <m:r>
          <w:rPr>
            <w:rFonts w:ascii="Cambria Math" w:hAnsi="Cambria Math" w:cs="Times New Roman"/>
          </w:rPr>
          <m:t>V</m:t>
        </m:r>
      </m:oMath>
      <w:r w:rsidRPr="007061DD">
        <w:rPr>
          <w:rFonts w:ascii="Times New Roman" w:hAnsi="Times New Roman" w:cs="Times New Roman"/>
          <w:i/>
          <w:iCs/>
        </w:rPr>
        <w:t xml:space="preserve"> </w:t>
      </w:r>
      <w:r w:rsidRPr="007061DD">
        <w:rPr>
          <w:rFonts w:ascii="Times New Roman" w:hAnsi="Times New Roman" w:cs="Times New Roman"/>
        </w:rPr>
        <w:t>represent the effective and metabolic saliences, respectively.</w:t>
      </w:r>
    </w:p>
    <w:p w14:paraId="231FA66F" w14:textId="77777777"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Additionally, it produced sets of brain and cognitive latent </w:t>
      </w:r>
      <w:r w:rsidRPr="007061DD">
        <w:rPr>
          <w:rFonts w:ascii="Times New Roman" w:hAnsi="Times New Roman" w:cs="Times New Roman"/>
          <w:i/>
          <w:iCs/>
        </w:rPr>
        <w:t>scores</w:t>
      </w:r>
      <w:r w:rsidRPr="007061DD">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sub>
        </m:sSub>
      </m:oMath>
      <w:r w:rsidRPr="007061DD">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sub>
        </m:sSub>
      </m:oMath>
      <w:r w:rsidRPr="007061DD">
        <w:rPr>
          <w:rFonts w:ascii="Times New Roman" w:hAnsi="Times New Roman" w:cs="Times New Roman"/>
        </w:rPr>
        <w:t xml:space="preserve">, corresponding to data projections onto the brain and cognitive saliences, such that the covariance between each pair of </w:t>
      </w:r>
    </w:p>
    <w:tbl>
      <w:tblPr>
        <w:tblStyle w:val="TableGrid"/>
        <w:tblpPr w:leftFromText="141" w:rightFromText="141" w:vertAnchor="text" w:horzAnchor="margin" w:tblpY="45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755D8" w:rsidRPr="007061DD" w14:paraId="4A962949" w14:textId="77777777">
        <w:tc>
          <w:tcPr>
            <w:tcW w:w="4675" w:type="dxa"/>
          </w:tcPr>
          <w:p w14:paraId="1040C512" w14:textId="77777777" w:rsidR="004755D8" w:rsidRPr="007061DD" w:rsidRDefault="00000000" w:rsidP="00DC0ED9">
            <w:pPr>
              <w:spacing w:line="360" w:lineRule="auto"/>
              <w:jc w:val="both"/>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sub>
                </m:sSub>
                <m:r>
                  <w:rPr>
                    <w:rFonts w:ascii="Cambria Math" w:hAnsi="Cambria Math" w:cs="Times New Roman"/>
                  </w:rPr>
                  <m:t>=</m:t>
                </m:r>
                <m:r>
                  <w:rPr>
                    <w:rFonts w:ascii="Cambria Math" w:hAnsi="Cambria Math" w:cs="Times New Roman"/>
                  </w:rPr>
                  <m:t>XV</m:t>
                </m:r>
              </m:oMath>
            </m:oMathPara>
          </w:p>
        </w:tc>
        <w:tc>
          <w:tcPr>
            <w:tcW w:w="4675" w:type="dxa"/>
          </w:tcPr>
          <w:p w14:paraId="1FD507BA"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(8)</w:t>
            </w:r>
          </w:p>
        </w:tc>
      </w:tr>
      <w:tr w:rsidR="004755D8" w:rsidRPr="007061DD" w14:paraId="55303053" w14:textId="77777777">
        <w:tc>
          <w:tcPr>
            <w:tcW w:w="4675" w:type="dxa"/>
          </w:tcPr>
          <w:p w14:paraId="7DBAB0A1" w14:textId="77777777" w:rsidR="004755D8" w:rsidRPr="007061DD" w:rsidRDefault="00000000" w:rsidP="00DC0ED9">
            <w:pPr>
              <w:spacing w:line="360" w:lineRule="auto"/>
              <w:jc w:val="both"/>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sub>
                </m:sSub>
                <m:r>
                  <w:rPr>
                    <w:rFonts w:ascii="Cambria Math" w:hAnsi="Cambria Math" w:cs="Times New Roman"/>
                  </w:rPr>
                  <m:t>=</m:t>
                </m:r>
                <m:r>
                  <w:rPr>
                    <w:rFonts w:ascii="Cambria Math" w:hAnsi="Cambria Math" w:cs="Times New Roman"/>
                  </w:rPr>
                  <m:t>YU</m:t>
                </m:r>
              </m:oMath>
            </m:oMathPara>
          </w:p>
        </w:tc>
        <w:tc>
          <w:tcPr>
            <w:tcW w:w="4675" w:type="dxa"/>
          </w:tcPr>
          <w:p w14:paraId="7E170BE4"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(9)</w:t>
            </w:r>
          </w:p>
        </w:tc>
      </w:tr>
      <w:tr w:rsidR="004755D8" w:rsidRPr="007061DD" w14:paraId="28DD08AE" w14:textId="77777777">
        <w:tc>
          <w:tcPr>
            <w:tcW w:w="4675" w:type="dxa"/>
          </w:tcPr>
          <w:p w14:paraId="34BABBCA" w14:textId="77777777" w:rsidR="004755D8" w:rsidRPr="007061DD" w:rsidRDefault="00000000" w:rsidP="00DC0ED9">
            <w:pPr>
              <w:spacing w:line="360" w:lineRule="auto"/>
              <w:jc w:val="both"/>
              <w:rPr>
                <w:rFonts w:ascii="Times New Roman" w:hAnsi="Times New Roman" w:cs="Times New Roman"/>
              </w:rPr>
            </w:pPr>
            <m:oMathPara>
              <m:oMathParaPr>
                <m:jc m:val="left"/>
              </m:oMathParaPr>
              <m:oMath>
                <m:func>
                  <m:funcPr>
                    <m:ctrlPr>
                      <w:rPr>
                        <w:rFonts w:ascii="Cambria Math" w:hAnsi="Cambria Math" w:cs="Times New Roman"/>
                        <w:i/>
                      </w:rPr>
                    </m:ctrlPr>
                  </m:funcPr>
                  <m:fName>
                    <m:limLow>
                      <m:limLowPr>
                        <m:ctrlPr>
                          <w:rPr>
                            <w:rFonts w:ascii="Cambria Math" w:hAnsi="Cambria Math" w:cs="Times New Roman"/>
                            <w:i/>
                          </w:rPr>
                        </m:ctrlPr>
                      </m:limLowPr>
                      <m:e>
                        <m:r>
                          <m:rPr>
                            <m:sty m:val="p"/>
                          </m:rPr>
                          <w:rPr>
                            <w:rFonts w:ascii="Cambria Math" w:hAnsi="Cambria Math" w:cs="Times New Roman"/>
                          </w:rPr>
                          <m:t>max</m:t>
                        </m:r>
                      </m:e>
                      <m:lim>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l</m:t>
                            </m:r>
                          </m:sub>
                        </m:sSub>
                      </m:lim>
                    </m:limLow>
                  </m:fName>
                  <m:e>
                    <m:r>
                      <w:rPr>
                        <w:rFonts w:ascii="Cambria Math" w:hAnsi="Cambria Math" w:cs="Times New Roman"/>
                      </w:rPr>
                      <m:t>cov</m:t>
                    </m:r>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r>
                          <w:rPr>
                            <w:rFonts w:ascii="Cambria Math" w:hAnsi="Cambria Math" w:cs="Times New Roman"/>
                          </w:rPr>
                          <m:t>,</m:t>
                        </m:r>
                        <m:r>
                          <w:rPr>
                            <w:rFonts w:ascii="Cambria Math" w:hAnsi="Cambria Math" w:cs="Times New Roman"/>
                          </w:rPr>
                          <m:t>l</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r>
                          <w:rPr>
                            <w:rFonts w:ascii="Cambria Math" w:hAnsi="Cambria Math" w:cs="Times New Roman"/>
                          </w:rPr>
                          <m:t>,</m:t>
                        </m:r>
                        <m:r>
                          <w:rPr>
                            <w:rFonts w:ascii="Cambria Math" w:hAnsi="Cambria Math" w:cs="Times New Roman"/>
                          </w:rPr>
                          <m:t>l</m:t>
                        </m:r>
                      </m:sub>
                    </m:sSub>
                    <m:r>
                      <w:rPr>
                        <w:rFonts w:ascii="Cambria Math" w:hAnsi="Cambria Math" w:cs="Times New Roman"/>
                      </w:rPr>
                      <m:t>)</m:t>
                    </m:r>
                  </m:e>
                </m:func>
              </m:oMath>
            </m:oMathPara>
          </w:p>
        </w:tc>
        <w:tc>
          <w:tcPr>
            <w:tcW w:w="4675" w:type="dxa"/>
          </w:tcPr>
          <w:p w14:paraId="7AC313D7"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(10)</w:t>
            </w:r>
          </w:p>
        </w:tc>
      </w:tr>
    </w:tbl>
    <w:p w14:paraId="42A2D281" w14:textId="6BC205E8"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 latent vectors (i.e., the l</w:t>
      </w:r>
      <w:r w:rsidR="00D9366F">
        <w:rPr>
          <w:rFonts w:ascii="Times New Roman" w:hAnsi="Times New Roman" w:cs="Times New Roman"/>
        </w:rPr>
        <w:t>-</w:t>
      </w:r>
      <w:proofErr w:type="spellStart"/>
      <w:r w:rsidRPr="007061DD">
        <w:rPr>
          <w:rFonts w:ascii="Times New Roman" w:hAnsi="Times New Roman" w:cs="Times New Roman"/>
        </w:rPr>
        <w:t>th</w:t>
      </w:r>
      <w:proofErr w:type="spellEnd"/>
      <w:r w:rsidRPr="007061DD">
        <w:rPr>
          <w:rFonts w:ascii="Times New Roman" w:hAnsi="Times New Roman" w:cs="Times New Roman"/>
        </w:rPr>
        <w:t xml:space="preserve"> column of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sub>
        </m:sSub>
      </m:oMath>
      <w:r w:rsidRPr="007061DD">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sub>
        </m:sSub>
      </m:oMath>
      <w:r w:rsidRPr="007061DD">
        <w:rPr>
          <w:rFonts w:ascii="Times New Roman" w:hAnsi="Times New Roman" w:cs="Times New Roman"/>
        </w:rPr>
        <w:t>) is maximized:</w:t>
      </w:r>
    </w:p>
    <w:p w14:paraId="7B7269CA" w14:textId="532CED0A"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X,l</m:t>
            </m:r>
          </m:sub>
        </m:sSub>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l</m:t>
            </m:r>
          </m:sub>
        </m:sSub>
      </m:oMath>
      <w:r w:rsidRPr="007061DD">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Y,l</m:t>
            </m:r>
          </m:sub>
        </m:sSub>
        <m:r>
          <w:rPr>
            <w:rFonts w:ascii="Cambria Math" w:hAnsi="Cambria Math" w:cs="Times New Roman"/>
          </w:rPr>
          <m:t>=Y</m:t>
        </m:r>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l</m:t>
            </m:r>
          </m:sub>
        </m:sSub>
      </m:oMath>
      <w:r w:rsidRPr="007061DD">
        <w:rPr>
          <w:rFonts w:ascii="Times New Roman" w:hAnsi="Times New Roman" w:cs="Times New Roman"/>
        </w:rPr>
        <w:t xml:space="preserve">, while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l</m:t>
            </m:r>
          </m:sub>
        </m:sSub>
      </m:oMath>
      <w:r w:rsidRPr="007061DD">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u</m:t>
            </m:r>
          </m:e>
          <m:sub>
            <m:r>
              <w:rPr>
                <w:rFonts w:ascii="Cambria Math" w:hAnsi="Cambria Math" w:cs="Times New Roman"/>
              </w:rPr>
              <m:t>l</m:t>
            </m:r>
          </m:sub>
        </m:sSub>
      </m:oMath>
      <w:r w:rsidRPr="007061DD">
        <w:rPr>
          <w:rFonts w:ascii="Times New Roman" w:hAnsi="Times New Roman" w:cs="Times New Roman"/>
        </w:rPr>
        <w:t xml:space="preserve"> are the l</w:t>
      </w:r>
      <w:r w:rsidRPr="007061DD">
        <w:rPr>
          <w:rFonts w:ascii="Times New Roman" w:hAnsi="Times New Roman" w:cs="Times New Roman"/>
          <w:vertAlign w:val="superscript"/>
        </w:rPr>
        <w:t xml:space="preserve">th </w:t>
      </w:r>
      <w:r w:rsidRPr="007061DD">
        <w:rPr>
          <w:rFonts w:ascii="Times New Roman" w:hAnsi="Times New Roman" w:cs="Times New Roman"/>
        </w:rPr>
        <w:t xml:space="preserve">of </w:t>
      </w:r>
      <m:oMath>
        <m:r>
          <w:rPr>
            <w:rFonts w:ascii="Cambria Math" w:hAnsi="Cambria Math" w:cs="Times New Roman"/>
          </w:rPr>
          <m:t>V</m:t>
        </m:r>
      </m:oMath>
      <w:r w:rsidRPr="007061DD">
        <w:rPr>
          <w:rFonts w:ascii="Times New Roman" w:hAnsi="Times New Roman" w:cs="Times New Roman"/>
        </w:rPr>
        <w:t xml:space="preserve"> and </w:t>
      </w:r>
      <m:oMath>
        <m:r>
          <w:rPr>
            <w:rFonts w:ascii="Cambria Math" w:hAnsi="Cambria Math" w:cs="Times New Roman"/>
          </w:rPr>
          <m:t>U</m:t>
        </m:r>
      </m:oMath>
      <w:r w:rsidRPr="007061DD">
        <w:rPr>
          <w:rFonts w:ascii="Times New Roman" w:hAnsi="Times New Roman" w:cs="Times New Roman"/>
        </w:rPr>
        <w:t>, respectively</w:t>
      </w:r>
      <w:r w:rsidRPr="007061DD">
        <w:rPr>
          <w:rFonts w:ascii="Times New Roman" w:hAnsi="Times New Roman" w:cs="Times New Roman"/>
          <w:lang w:val="en-GB"/>
        </w:rPr>
        <w:fldChar w:fldCharType="begin" w:fldLock="1"/>
      </w:r>
      <w:r w:rsidR="005C4031" w:rsidRPr="007061DD">
        <w:rPr>
          <w:rFonts w:ascii="Times New Roman" w:hAnsi="Times New Roman" w:cs="Times New Roman"/>
          <w:lang w:val="en-GB"/>
        </w:rPr>
        <w:instrText>ADDIN CSL_CITATION {"citationItems":[{"id":"ITEM-1","itemData":{"DOI":"10.1016/j.neuroimage.2010.07.034","ISSN":"10538119","PMID":"20656037","abstract":"Partial Least Squares (PLS) methods are particularly suited to the analysis of relationships between measures of brain activity and of behavior or experimental design. In neuroimaging, PLS refers to two related methods: (1) symmetric PLS or Partial Least Squares Correlation (PLSC), and (2) asymmetric PLS or Partial Least Squares Regression (PLSR). The most popular (by far) version of PLS for neuroimaging is PLSC. It exists in several varieties based on the type of data that are related to brain activity: behavior PLSC analyzes the relationship between brain activity and behavioral data, task PLSC analyzes how brain activity relates to pre-defined categories or experimental design, seed PLSC analyzes the pattern of connectivity between brain regions, and multi-block or multi-table PLSC integrates one or more of these varieties in a common analysis. PLSR, in contrast to PLSC, is a predictive technique which, typically, predicts behavior (or design) from brain activity. For both PLS methods, statistical inferences are implemented using cross-validation techniques to identify significant patterns of voxel activation. This paper presents both PLS methods and illustrates them with small numerical examples and typical applications in neuroimaging. © 2010 Elsevier Inc.","author":[{"dropping-particle":"","family":"Krishnan","given":"Anjali","non-dropping-particle":"","parse-names":false,"suffix":""},{"dropping-particle":"","family":"Williams","given":"Lynne J.","non-dropping-particle":"","parse-names":false,"suffix":""},{"dropping-particle":"","family":"McIntosh","given":"Anthony Randal","non-dropping-particle":"","parse-names":false,"suffix":""},{"dropping-particle":"","family":"Abdi","given":"Hervé","non-dropping-particle":"","parse-names":false,"suffix":""}],"container-title":"NeuroImage","id":"ITEM-1","issue":"2","issued":{"date-parts":[["2011"]]},"page":"455-475","title":"Partial Least Squares (PLS) methods for neuroimaging: A tutorial and review","type":"article-journal","volume":"56"},"uris":["http://www.mendeley.com/documents/?uuid=f6f73530-a362-45b8-9006-8283bcf7fb57"]}],"mendeley":{"formattedCitation":"&lt;sup&gt;20&lt;/sup&gt;","plainTextFormattedCitation":"20","previouslyFormattedCitation":"&lt;sup&gt;19&lt;/sup&gt;"},"properties":{"noteIndex":0},"schema":"https://github.com/citation-style-language/schema/raw/master/csl-citation.json"}</w:instrText>
      </w:r>
      <w:r w:rsidRPr="007061DD">
        <w:rPr>
          <w:rFonts w:ascii="Times New Roman" w:hAnsi="Times New Roman" w:cs="Times New Roman"/>
          <w:lang w:val="en-GB"/>
        </w:rPr>
        <w:fldChar w:fldCharType="separate"/>
      </w:r>
      <w:r w:rsidR="005C4031" w:rsidRPr="007061DD">
        <w:rPr>
          <w:rFonts w:ascii="Times New Roman" w:hAnsi="Times New Roman" w:cs="Times New Roman"/>
          <w:noProof/>
          <w:vertAlign w:val="superscript"/>
          <w:lang w:val="en-GB"/>
        </w:rPr>
        <w:t>20</w:t>
      </w:r>
      <w:r w:rsidRPr="007061DD">
        <w:rPr>
          <w:rFonts w:ascii="Times New Roman" w:hAnsi="Times New Roman" w:cs="Times New Roman"/>
        </w:rPr>
        <w:fldChar w:fldCharType="end"/>
      </w:r>
      <w:r w:rsidRPr="007061DD">
        <w:rPr>
          <w:rFonts w:ascii="Times New Roman" w:hAnsi="Times New Roman" w:cs="Times New Roman"/>
        </w:rPr>
        <w:t>.</w:t>
      </w:r>
    </w:p>
    <w:p w14:paraId="6F515CCC" w14:textId="77777777"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Moreover, the PLSC analysis yielded a collection of effective and metabolic</w:t>
      </w:r>
      <w:r w:rsidRPr="007061DD">
        <w:rPr>
          <w:rFonts w:ascii="Times New Roman" w:hAnsi="Times New Roman" w:cs="Times New Roman"/>
          <w:i/>
          <w:iCs/>
        </w:rPr>
        <w:t xml:space="preserve"> loadings</w:t>
      </w:r>
      <w:r w:rsidRPr="007061DD">
        <w:rPr>
          <w:rFonts w:ascii="Times New Roman" w:hAnsi="Times New Roman" w:cs="Times New Roman"/>
        </w:rPr>
        <w:t>, representing Pearson’s correlations between the original variables and the latent scores: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755D8" w:rsidRPr="007061DD" w14:paraId="0F1B24FC" w14:textId="77777777">
        <w:tc>
          <w:tcPr>
            <w:tcW w:w="4675" w:type="dxa"/>
          </w:tcPr>
          <w:p w14:paraId="1F61E60A" w14:textId="77777777" w:rsidR="004755D8" w:rsidRPr="007061DD" w:rsidRDefault="00000000" w:rsidP="00DC0ED9">
            <w:pPr>
              <w:spacing w:line="360" w:lineRule="auto"/>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Load</m:t>
                    </m:r>
                  </m:e>
                  <m:sub>
                    <m:r>
                      <w:rPr>
                        <w:rFonts w:ascii="Cambria Math" w:hAnsi="Cambria Math" w:cs="Times New Roman"/>
                      </w:rPr>
                      <m:t>X</m:t>
                    </m:r>
                  </m:sub>
                </m:sSub>
                <m:r>
                  <w:rPr>
                    <w:rFonts w:ascii="Cambria Math" w:hAnsi="Cambria Math" w:cs="Times New Roman"/>
                  </w:rPr>
                  <m:t>=</m:t>
                </m:r>
                <m:r>
                  <w:rPr>
                    <w:rFonts w:ascii="Cambria Math" w:hAnsi="Cambria Math" w:cs="Times New Roman"/>
                  </w:rPr>
                  <m:t>corr</m:t>
                </m:r>
                <m:r>
                  <w:rPr>
                    <w:rFonts w:ascii="Cambria Math" w:hAnsi="Cambria Math" w:cs="Times New Roman"/>
                  </w:rPr>
                  <m:t>(</m:t>
                </m:r>
                <m:r>
                  <w:rPr>
                    <w:rFonts w:ascii="Cambria Math" w:hAnsi="Cambria Math" w:cs="Times New Roman"/>
                  </w:rPr>
                  <m:t>X</m:t>
                </m:r>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X</m:t>
                    </m:r>
                  </m:sub>
                </m:sSub>
                <m:r>
                  <w:rPr>
                    <w:rFonts w:ascii="Cambria Math" w:hAnsi="Cambria Math" w:cs="Times New Roman"/>
                  </w:rPr>
                  <m:t>)</m:t>
                </m:r>
              </m:oMath>
            </m:oMathPara>
          </w:p>
        </w:tc>
        <w:tc>
          <w:tcPr>
            <w:tcW w:w="4675" w:type="dxa"/>
          </w:tcPr>
          <w:p w14:paraId="09C2BEB7"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(11)</w:t>
            </w:r>
          </w:p>
        </w:tc>
      </w:tr>
      <w:tr w:rsidR="004755D8" w:rsidRPr="007061DD" w14:paraId="716B4EBF" w14:textId="77777777">
        <w:tc>
          <w:tcPr>
            <w:tcW w:w="4675" w:type="dxa"/>
          </w:tcPr>
          <w:p w14:paraId="1F669B5C" w14:textId="77777777" w:rsidR="004755D8" w:rsidRPr="007061DD" w:rsidRDefault="00000000" w:rsidP="00DC0ED9">
            <w:pPr>
              <w:spacing w:line="360" w:lineRule="auto"/>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Load</m:t>
                    </m:r>
                  </m:e>
                  <m:sub>
                    <m:r>
                      <w:rPr>
                        <w:rFonts w:ascii="Cambria Math" w:hAnsi="Cambria Math" w:cs="Times New Roman"/>
                      </w:rPr>
                      <m:t>Y</m:t>
                    </m:r>
                  </m:sub>
                </m:sSub>
                <m:r>
                  <w:rPr>
                    <w:rFonts w:ascii="Cambria Math" w:hAnsi="Cambria Math" w:cs="Times New Roman"/>
                  </w:rPr>
                  <m:t>=</m:t>
                </m:r>
                <m:r>
                  <w:rPr>
                    <w:rFonts w:ascii="Cambria Math" w:hAnsi="Cambria Math" w:cs="Times New Roman"/>
                  </w:rPr>
                  <m:t>corr</m:t>
                </m:r>
                <m:r>
                  <w:rPr>
                    <w:rFonts w:ascii="Cambria Math" w:hAnsi="Cambria Math" w:cs="Times New Roman"/>
                  </w:rPr>
                  <m:t>(</m:t>
                </m:r>
                <m:r>
                  <w:rPr>
                    <w:rFonts w:ascii="Cambria Math" w:hAnsi="Cambria Math" w:cs="Times New Roman"/>
                  </w:rPr>
                  <m:t>Y</m:t>
                </m:r>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Y</m:t>
                    </m:r>
                  </m:sub>
                </m:sSub>
                <m:r>
                  <w:rPr>
                    <w:rFonts w:ascii="Cambria Math" w:hAnsi="Cambria Math" w:cs="Times New Roman"/>
                  </w:rPr>
                  <m:t>)</m:t>
                </m:r>
              </m:oMath>
            </m:oMathPara>
          </w:p>
        </w:tc>
        <w:tc>
          <w:tcPr>
            <w:tcW w:w="4675" w:type="dxa"/>
          </w:tcPr>
          <w:p w14:paraId="3E62DAA9" w14:textId="77777777" w:rsidR="004755D8" w:rsidRPr="007061DD" w:rsidRDefault="004755D8" w:rsidP="00DC0ED9">
            <w:pPr>
              <w:spacing w:line="360" w:lineRule="auto"/>
              <w:jc w:val="right"/>
              <w:rPr>
                <w:rFonts w:ascii="Times New Roman" w:hAnsi="Times New Roman" w:cs="Times New Roman"/>
              </w:rPr>
            </w:pPr>
            <w:r w:rsidRPr="007061DD">
              <w:rPr>
                <w:rFonts w:ascii="Times New Roman" w:hAnsi="Times New Roman" w:cs="Times New Roman"/>
              </w:rPr>
              <w:t>(12)</w:t>
            </w:r>
          </w:p>
        </w:tc>
      </w:tr>
    </w:tbl>
    <w:p w14:paraId="3CB8EEEC" w14:textId="2B155495" w:rsidR="004755D8" w:rsidRPr="007061DD" w:rsidRDefault="004755D8" w:rsidP="00DC0ED9">
      <w:pPr>
        <w:spacing w:after="0" w:line="360" w:lineRule="auto"/>
        <w:jc w:val="both"/>
        <w:rPr>
          <w:rFonts w:ascii="Times New Roman" w:hAnsi="Times New Roman" w:cs="Times New Roman"/>
        </w:rPr>
      </w:pPr>
      <w:r w:rsidRPr="007061DD">
        <w:rPr>
          <w:rFonts w:ascii="Times New Roman" w:hAnsi="Times New Roman" w:cs="Times New Roman"/>
        </w:rPr>
        <w:t>To quantify the amount of functional measure variance explained by the metabolic counterpart within the new latent space, Pearson's correlation between the latent scores of each PLS</w:t>
      </w:r>
      <w:r w:rsidR="00875EB3" w:rsidRPr="007061DD">
        <w:rPr>
          <w:rFonts w:ascii="Times New Roman" w:hAnsi="Times New Roman" w:cs="Times New Roman"/>
        </w:rPr>
        <w:t>C</w:t>
      </w:r>
      <w:r w:rsidRPr="007061DD">
        <w:rPr>
          <w:rFonts w:ascii="Times New Roman" w:hAnsi="Times New Roman" w:cs="Times New Roman"/>
        </w:rPr>
        <w:t xml:space="preserve"> pair was used. Additionally, before to apply PLSC functional measures were normalized to the range [-1, 1], while metabolic measures were scaled to the range [0, 1]. Specifically, this approach allows us to treat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Pr="007061DD">
        <w:rPr>
          <w:rFonts w:ascii="Times New Roman" w:hAnsi="Times New Roman" w:cs="Times New Roman"/>
        </w:rPr>
        <w:t xml:space="preserve"> as the dissipative component </w:t>
      </w:r>
      <w:r w:rsidR="00DE444E" w:rsidRPr="007061DD">
        <w:rPr>
          <w:rFonts w:ascii="Times New Roman" w:hAnsi="Times New Roman" w:cs="Times New Roman"/>
        </w:rPr>
        <w:t xml:space="preserve">and </w:t>
      </w:r>
      <m:oMath>
        <m:r>
          <w:rPr>
            <w:rFonts w:ascii="Cambria Math" w:hAnsi="Cambria Math" w:cs="Times New Roman"/>
          </w:rPr>
          <m:t>S</m:t>
        </m:r>
      </m:oMath>
      <w:r w:rsidR="00DE444E" w:rsidRPr="007061DD">
        <w:rPr>
          <w:rFonts w:ascii="Times New Roman" w:hAnsi="Times New Roman" w:cs="Times New Roman"/>
        </w:rPr>
        <w:t xml:space="preserve"> as the solenoidal component </w:t>
      </w:r>
      <w:r w:rsidRPr="007061DD">
        <w:rPr>
          <w:rFonts w:ascii="Times New Roman" w:hAnsi="Times New Roman" w:cs="Times New Roman"/>
        </w:rPr>
        <w:t>by disregarding the multiplication factor σ²/2</w:t>
      </w:r>
      <w:r w:rsidR="00DE444E" w:rsidRPr="007061DD">
        <w:rPr>
          <w:rFonts w:ascii="Times New Roman" w:hAnsi="Times New Roman" w:cs="Times New Roman"/>
        </w:rPr>
        <w:t xml:space="preserve"> and 1/2, respectively</w:t>
      </w:r>
      <w:r w:rsidRPr="007061DD">
        <w:rPr>
          <w:rFonts w:ascii="Times New Roman" w:hAnsi="Times New Roman" w:cs="Times New Roman"/>
        </w:rPr>
        <w:t>. Furthermore, to ensure consistency in the variability range across participants and features, thus facilitating meaningful comparisons during the analysis, we applied z-score scaling across both directions.</w:t>
      </w:r>
    </w:p>
    <w:p w14:paraId="3C6834AB" w14:textId="77777777" w:rsidR="00905F23" w:rsidRPr="007061DD" w:rsidRDefault="00905F23" w:rsidP="00DC0ED9">
      <w:pPr>
        <w:spacing w:after="0" w:line="360" w:lineRule="auto"/>
        <w:rPr>
          <w:rFonts w:ascii="Times New Roman" w:hAnsi="Times New Roman" w:cs="Times New Roman"/>
        </w:rPr>
      </w:pPr>
    </w:p>
    <w:p w14:paraId="5EB58C3D" w14:textId="6B610442" w:rsidR="00CD3345" w:rsidRPr="007061DD" w:rsidRDefault="00E20F5C" w:rsidP="00DC0ED9">
      <w:pPr>
        <w:spacing w:after="0" w:line="360" w:lineRule="auto"/>
        <w:rPr>
          <w:rFonts w:ascii="Times New Roman" w:hAnsi="Times New Roman" w:cs="Times New Roman"/>
          <w:b/>
          <w:bCs/>
        </w:rPr>
      </w:pPr>
      <w:r w:rsidRPr="007061DD">
        <w:rPr>
          <w:rFonts w:ascii="Times New Roman" w:hAnsi="Times New Roman" w:cs="Times New Roman"/>
          <w:b/>
          <w:bCs/>
        </w:rPr>
        <w:t xml:space="preserve">Assessment of the </w:t>
      </w:r>
      <w:r w:rsidR="00B70E0A" w:rsidRPr="007061DD">
        <w:rPr>
          <w:rFonts w:ascii="Times New Roman" w:hAnsi="Times New Roman" w:cs="Times New Roman"/>
          <w:b/>
          <w:bCs/>
        </w:rPr>
        <w:t>impact of different acquisition scanners</w:t>
      </w:r>
    </w:p>
    <w:p w14:paraId="1494B536" w14:textId="10BB9129" w:rsidR="007145B4" w:rsidRPr="007061DD" w:rsidRDefault="007145B4" w:rsidP="00DC0ED9">
      <w:pPr>
        <w:spacing w:after="0" w:line="360" w:lineRule="auto"/>
        <w:jc w:val="both"/>
        <w:rPr>
          <w:rFonts w:ascii="Times New Roman" w:hAnsi="Times New Roman" w:cs="Times New Roman"/>
          <w:lang w:val="en-GB"/>
        </w:rPr>
      </w:pPr>
      <w:r w:rsidRPr="007061DD">
        <w:rPr>
          <w:rFonts w:ascii="Times New Roman" w:hAnsi="Times New Roman" w:cs="Times New Roman"/>
          <w:lang w:val="en-GB"/>
        </w:rPr>
        <w:t>The comparative analysis between healthy controls and patients presupposed the equivalence of effective and metabolic measures in terms of data quality and reliability. Given that PET and MRI acquisitions were conducted on different scanners for the two groups, we investigated the potential impact of these protocol variations on the results. To address this concern, we evaluated the temporal signal-to-noise ratio (</w:t>
      </w:r>
      <w:proofErr w:type="spellStart"/>
      <w:r w:rsidRPr="007061DD">
        <w:rPr>
          <w:rFonts w:ascii="Times New Roman" w:hAnsi="Times New Roman" w:cs="Times New Roman"/>
          <w:lang w:val="en-GB"/>
        </w:rPr>
        <w:t>tSNR</w:t>
      </w:r>
      <w:proofErr w:type="spellEnd"/>
      <w:r w:rsidRPr="007061DD">
        <w:rPr>
          <w:rFonts w:ascii="Times New Roman" w:hAnsi="Times New Roman" w:cs="Times New Roman"/>
          <w:lang w:val="en-GB"/>
        </w:rPr>
        <w:t>) for fMRI data, a metric commonly computed as the ratio between the region of interest (ROI)-wise mean signal and standard deviation</w:t>
      </w:r>
      <w:r w:rsidRPr="007061DD">
        <w:rPr>
          <w:rFonts w:ascii="Times New Roman" w:hAnsi="Times New Roman" w:cs="Times New Roman"/>
          <w:lang w:val="en-GB"/>
        </w:rPr>
        <w:fldChar w:fldCharType="begin" w:fldLock="1"/>
      </w:r>
      <w:r w:rsidR="005C4031" w:rsidRPr="007061DD">
        <w:rPr>
          <w:rFonts w:ascii="Times New Roman" w:hAnsi="Times New Roman" w:cs="Times New Roman"/>
          <w:lang w:val="en-GB"/>
        </w:rPr>
        <w:instrText>ADDIN CSL_CITATION {"citationItems":[{"id":"ITEM-1","itemData":{"DOI":"10.1371/journal.pone.0077089","ISSN":"19326203","PMID":"24223118","abstract":"Signal-to-noise ratio, the ratio between signal and noise, is a quantity that has been well established for MRI data but is still subject of ongoing debate and confusion when it comes to fMRI data. fMRI data are characterised by small activation fluctuations in a background of noise. Depending on how the signal of interest and the noise are identified, signal-to-noise ratio for fMRI data is reported by using many different definitions. Since each definition comes with a different scale, interpreting and comparing signal-to-noise ratio values for fMRI data can be a very challenging job. In this paper, we provide an overview of existing definitions. Further, the relationship with activation detection power is investigated. Reference tables and conversion formulae are provided to facilitate comparability between fMRI studies. © 2013 Welvaert, Rosseel.","author":[{"dropping-particle":"","family":"Welvaert","given":"Marijke","non-dropping-particle":"","parse-names":false,"suffix":""},{"dropping-particle":"","family":"Rosseel","given":"Yves","non-dropping-particle":"","parse-names":false,"suffix":""}],"container-title":"PLoS ONE","id":"ITEM-1","issue":"11","issued":{"date-parts":[["2013"]]},"title":"On the definition of signal-to-noise ratio and contrast-to-noise ratio for fMRI data","type":"article-journal","volume":"8"},"uris":["http://www.mendeley.com/documents/?uuid=becbb6aa-1326-42db-a432-0b9cac8070cd","http://www.mendeley.com/documents/?uuid=9ff72728-f0f8-4fc1-ba83-d79e1bd9fdcc"]}],"mendeley":{"formattedCitation":"&lt;sup&gt;21&lt;/sup&gt;","plainTextFormattedCitation":"21","previouslyFormattedCitation":"&lt;sup&gt;20&lt;/sup&gt;"},"properties":{"noteIndex":0},"schema":"https://github.com/citation-style-language/schema/raw/master/csl-citation.json"}</w:instrText>
      </w:r>
      <w:r w:rsidRPr="007061DD">
        <w:rPr>
          <w:rFonts w:ascii="Times New Roman" w:hAnsi="Times New Roman" w:cs="Times New Roman"/>
          <w:lang w:val="en-GB"/>
        </w:rPr>
        <w:fldChar w:fldCharType="separate"/>
      </w:r>
      <w:r w:rsidR="005C4031" w:rsidRPr="007061DD">
        <w:rPr>
          <w:rFonts w:ascii="Times New Roman" w:hAnsi="Times New Roman" w:cs="Times New Roman"/>
          <w:noProof/>
          <w:vertAlign w:val="superscript"/>
          <w:lang w:val="en-GB"/>
        </w:rPr>
        <w:t>21</w:t>
      </w:r>
      <w:r w:rsidRPr="007061DD">
        <w:rPr>
          <w:rFonts w:ascii="Times New Roman" w:hAnsi="Times New Roman" w:cs="Times New Roman"/>
        </w:rPr>
        <w:fldChar w:fldCharType="end"/>
      </w:r>
      <w:r w:rsidRPr="007061DD">
        <w:rPr>
          <w:rFonts w:ascii="Times New Roman" w:hAnsi="Times New Roman" w:cs="Times New Roman"/>
          <w:lang w:val="en-GB"/>
        </w:rPr>
        <w:t xml:space="preserve">. For each participant, we calculated ROI-level </w:t>
      </w:r>
      <w:proofErr w:type="spellStart"/>
      <w:r w:rsidRPr="007061DD">
        <w:rPr>
          <w:rFonts w:ascii="Times New Roman" w:hAnsi="Times New Roman" w:cs="Times New Roman"/>
          <w:lang w:val="en-GB"/>
        </w:rPr>
        <w:t>tSNR</w:t>
      </w:r>
      <w:proofErr w:type="spellEnd"/>
      <w:r w:rsidRPr="007061DD">
        <w:rPr>
          <w:rFonts w:ascii="Times New Roman" w:hAnsi="Times New Roman" w:cs="Times New Roman"/>
          <w:lang w:val="en-GB"/>
        </w:rPr>
        <w:t xml:space="preserve"> values and subsequently conducted a two-sided </w:t>
      </w:r>
      <w:r w:rsidR="00453A29" w:rsidRPr="007061DD">
        <w:rPr>
          <w:rFonts w:ascii="Times New Roman" w:hAnsi="Times New Roman" w:cs="Times New Roman"/>
        </w:rPr>
        <w:t>Mann-Whitney rank sum test</w:t>
      </w:r>
      <w:r w:rsidR="00453A29" w:rsidRPr="007061DD">
        <w:rPr>
          <w:rFonts w:ascii="Times New Roman" w:hAnsi="Times New Roman" w:cs="Times New Roman"/>
          <w:lang w:val="en-GB"/>
        </w:rPr>
        <w:t xml:space="preserve"> </w:t>
      </w:r>
      <w:r w:rsidRPr="007061DD">
        <w:rPr>
          <w:rFonts w:ascii="Times New Roman" w:hAnsi="Times New Roman" w:cs="Times New Roman"/>
          <w:lang w:val="en-GB"/>
        </w:rPr>
        <w:t xml:space="preserve">to compare these values between HCs and patients, employing a significance level of </w:t>
      </w:r>
      <w:r w:rsidRPr="007061DD">
        <w:rPr>
          <w:rFonts w:ascii="Times New Roman" w:hAnsi="Times New Roman" w:cs="Times New Roman"/>
          <w:lang w:val="it-IT"/>
        </w:rPr>
        <w:t>α</w:t>
      </w:r>
      <w:r w:rsidRPr="007061DD">
        <w:rPr>
          <w:rFonts w:ascii="Times New Roman" w:hAnsi="Times New Roman" w:cs="Times New Roman"/>
          <w:lang w:val="en-GB"/>
        </w:rPr>
        <w:t xml:space="preserve">=0.01 and applying the Holm-Bonferroni correction for multiple comparisons. To mitigate potential influences from individual variability associated with pathology rather than scanner differences, we performed the non-parametric test through 1000 iterations. In each iteration, we randomly sampled two subsets (each representing 1/3 of the original cohorts) and identified regions exhibiting significant </w:t>
      </w:r>
      <w:proofErr w:type="spellStart"/>
      <w:r w:rsidRPr="007061DD">
        <w:rPr>
          <w:rFonts w:ascii="Times New Roman" w:hAnsi="Times New Roman" w:cs="Times New Roman"/>
          <w:lang w:val="en-GB"/>
        </w:rPr>
        <w:t>tSNR</w:t>
      </w:r>
      <w:proofErr w:type="spellEnd"/>
      <w:r w:rsidRPr="007061DD">
        <w:rPr>
          <w:rFonts w:ascii="Times New Roman" w:hAnsi="Times New Roman" w:cs="Times New Roman"/>
          <w:lang w:val="en-GB"/>
        </w:rPr>
        <w:t xml:space="preserve"> differences for more than 75% of the iterations.</w:t>
      </w:r>
    </w:p>
    <w:p w14:paraId="27F8911D" w14:textId="6ADA009E" w:rsidR="007145B4" w:rsidRPr="007061DD" w:rsidRDefault="007145B4" w:rsidP="00DC0ED9">
      <w:pPr>
        <w:spacing w:after="0" w:line="360" w:lineRule="auto"/>
        <w:jc w:val="both"/>
        <w:rPr>
          <w:rFonts w:ascii="Times New Roman" w:hAnsi="Times New Roman" w:cs="Times New Roman"/>
          <w:lang w:val="en-GB"/>
        </w:rPr>
      </w:pPr>
      <w:r w:rsidRPr="007061DD">
        <w:rPr>
          <w:rFonts w:ascii="Times New Roman" w:hAnsi="Times New Roman" w:cs="Times New Roman"/>
          <w:lang w:val="en-GB"/>
        </w:rPr>
        <w:t>Additionally, a scanner sensitivity analysis was conducted on the PET data. We calculated the contrast-to-noise ratio (CNR) for each participant in both groups (HCs and patients) by determining the ratio of mean PET signal in grey matter to mean PET signal in white matter from the static PET data (40-60 min). This choice aligns with</w:t>
      </w:r>
      <w:r w:rsidR="00AE2110" w:rsidRPr="007061DD">
        <w:rPr>
          <w:rFonts w:ascii="Times New Roman" w:hAnsi="Times New Roman" w:cs="Times New Roman"/>
          <w:lang w:val="en-GB"/>
        </w:rPr>
        <w:t xml:space="preserve"> the work of Volpi and collegues</w:t>
      </w:r>
      <w:r w:rsidRPr="007061DD">
        <w:rPr>
          <w:rFonts w:ascii="Times New Roman" w:hAnsi="Times New Roman" w:cs="Times New Roman"/>
          <w:lang w:val="en-GB"/>
        </w:rPr>
        <w:fldChar w:fldCharType="begin" w:fldLock="1"/>
      </w:r>
      <w:r w:rsidR="005C4031" w:rsidRPr="007061DD">
        <w:rPr>
          <w:rFonts w:ascii="Times New Roman" w:hAnsi="Times New Roman" w:cs="Times New Roman"/>
          <w:lang w:val="en-GB"/>
        </w:rPr>
        <w:instrText>ADDIN CSL_CITATION {"citationItems":[{"id":"ITEM-1","itemData":{"DOI":"10.1177/0271678X231184365","author":[{"dropping-particle":"","family":"Volpi","given":"Tommaso","non-dropping-particle":"","parse-names":false,"suffix":""},{"dropping-particle":"","family":"Vallini","given":"Giulia","non-dropping-particle":"","parse-names":false,"suffix":""},{"dropping-particle":"","family":"Silvestri","given":"Erica","non-dropping-particle":"","parse-names":false,"suffix":""},{"dropping-particle":"","family":"Francisci","given":"Mattia","non-dropping-particle":"De","parse-names":false,"suffix":""},{"dropping-particle":"","family":"Durbin","given":"Tony","non-dropping-particle":"","parse-names":false,"suffix":""},{"dropping-particle":"","family":"Corbetta","given":"Maurizio","non-dropping-particle":"","parse-names":false,"suffix":""},{"dropping-particle":"","family":"Lee","given":"John J","non-dropping-particle":"","parse-names":false,"suffix":""},{"dropping-particle":"","family":"Louis","given":"St","non-dropping-particle":"","parse-names":false,"suffix":""},{"dropping-particle":"","family":"Vlassenko","given":"Andrei G","non-dropping-particle":"","parse-names":false,"suffix":""},{"dropping-particle":"","family":"Goyal","given":"Manu S","non-dropping-particle":"","parse-names":false,"suffix":""},{"dropping-particle":"","family":"Louis","given":"St","non-dropping-particle":"","parse-names":false,"suffix":""},{"dropping-particle":"","family":"Bertoldo","given":"Alessandra","non-dropping-particle":"","parse-names":false,"suffix":""}],"container-title":"Journal of Cerebral Blood Flow and Metabolism","id":"ITEM-1","issued":{"date-parts":[["2022"]]},"page":"1-21","title":"A new framework for metabolic connectivity mapping using bolus [ 18 F]FDG PET and kinetic modelling","type":"article-journal"},"uris":["http://www.mendeley.com/documents/?uuid=0c8d46b4-f881-4026-b143-476d899bc291"]}],"mendeley":{"formattedCitation":"&lt;sup&gt;18&lt;/sup&gt;","plainTextFormattedCitation":"18","previouslyFormattedCitation":"&lt;sup&gt;17&lt;/sup&gt;"},"properties":{"noteIndex":0},"schema":"https://github.com/citation-style-language/schema/raw/master/csl-citation.json"}</w:instrText>
      </w:r>
      <w:r w:rsidRPr="007061DD">
        <w:rPr>
          <w:rFonts w:ascii="Times New Roman" w:hAnsi="Times New Roman" w:cs="Times New Roman"/>
          <w:lang w:val="en-GB"/>
        </w:rPr>
        <w:fldChar w:fldCharType="separate"/>
      </w:r>
      <w:r w:rsidR="005C4031" w:rsidRPr="007061DD">
        <w:rPr>
          <w:rFonts w:ascii="Times New Roman" w:hAnsi="Times New Roman" w:cs="Times New Roman"/>
          <w:noProof/>
          <w:vertAlign w:val="superscript"/>
          <w:lang w:val="en-GB"/>
        </w:rPr>
        <w:t>18</w:t>
      </w:r>
      <w:r w:rsidRPr="007061DD">
        <w:rPr>
          <w:rFonts w:ascii="Times New Roman" w:hAnsi="Times New Roman" w:cs="Times New Roman"/>
        </w:rPr>
        <w:fldChar w:fldCharType="end"/>
      </w:r>
      <w:r w:rsidRPr="007061DD">
        <w:rPr>
          <w:rFonts w:ascii="Times New Roman" w:hAnsi="Times New Roman" w:cs="Times New Roman"/>
          <w:lang w:val="en-GB"/>
        </w:rPr>
        <w:t>, which suggests that MC matrices, derived from the Euclidean Similarity method, are primarily dependent on the latter part of the curves (40-60 min)</w:t>
      </w:r>
      <w:r w:rsidR="00AE2110" w:rsidRPr="007061DD">
        <w:rPr>
          <w:rFonts w:ascii="Times New Roman" w:hAnsi="Times New Roman" w:cs="Times New Roman"/>
          <w:lang w:val="en-GB"/>
        </w:rPr>
        <w:t xml:space="preserve">. </w:t>
      </w:r>
      <w:r w:rsidR="00AE2110" w:rsidRPr="007061DD">
        <w:rPr>
          <w:rFonts w:ascii="Times New Roman" w:hAnsi="Times New Roman" w:cs="Times New Roman"/>
        </w:rPr>
        <w:t>Additionally, analyzing this part of the signal allows us to also evaluate the impact of the scanner on SUVR, which is computed on these late frames.</w:t>
      </w:r>
      <w:r w:rsidR="008C3AB6" w:rsidRPr="007061DD">
        <w:rPr>
          <w:rFonts w:ascii="Times New Roman" w:hAnsi="Times New Roman" w:cs="Times New Roman"/>
          <w:lang w:val="en-GB"/>
        </w:rPr>
        <w:t xml:space="preserve"> </w:t>
      </w:r>
    </w:p>
    <w:p w14:paraId="4942D5C8" w14:textId="77777777" w:rsidR="002B67C5" w:rsidRPr="007061DD" w:rsidRDefault="002B67C5" w:rsidP="00DC0ED9">
      <w:pPr>
        <w:spacing w:after="0" w:line="360" w:lineRule="auto"/>
        <w:rPr>
          <w:rFonts w:ascii="Times New Roman" w:hAnsi="Times New Roman" w:cs="Times New Roman"/>
          <w:b/>
          <w:bCs/>
          <w:lang w:val="en-GB"/>
        </w:rPr>
      </w:pPr>
    </w:p>
    <w:p w14:paraId="11AD1063" w14:textId="60F5CD8D" w:rsidR="002B67C5" w:rsidRPr="007061DD" w:rsidRDefault="002B67C5" w:rsidP="00DC0ED9">
      <w:pPr>
        <w:spacing w:after="0" w:line="360" w:lineRule="auto"/>
        <w:rPr>
          <w:rFonts w:ascii="Times New Roman" w:hAnsi="Times New Roman" w:cs="Times New Roman"/>
          <w:b/>
          <w:bCs/>
        </w:rPr>
      </w:pPr>
      <w:r w:rsidRPr="007061DD">
        <w:rPr>
          <w:rFonts w:ascii="Times New Roman" w:hAnsi="Times New Roman" w:cs="Times New Roman"/>
          <w:b/>
          <w:bCs/>
        </w:rPr>
        <w:t xml:space="preserve">Analysis of Involved </w:t>
      </w:r>
      <w:r w:rsidR="7976377D" w:rsidRPr="007061DD">
        <w:rPr>
          <w:rFonts w:ascii="Times New Roman" w:hAnsi="Times New Roman" w:cs="Times New Roman"/>
          <w:b/>
          <w:bCs/>
        </w:rPr>
        <w:t xml:space="preserve">White Matter </w:t>
      </w:r>
      <w:r w:rsidRPr="007061DD">
        <w:rPr>
          <w:rFonts w:ascii="Times New Roman" w:hAnsi="Times New Roman" w:cs="Times New Roman"/>
          <w:b/>
          <w:bCs/>
        </w:rPr>
        <w:t>Tracts</w:t>
      </w:r>
      <w:r w:rsidR="254BE452" w:rsidRPr="007061DD">
        <w:rPr>
          <w:rFonts w:ascii="Times New Roman" w:hAnsi="Times New Roman" w:cs="Times New Roman"/>
          <w:b/>
          <w:bCs/>
        </w:rPr>
        <w:t xml:space="preserve"> in the glioma group</w:t>
      </w:r>
    </w:p>
    <w:p w14:paraId="1FC739FE" w14:textId="769401B2" w:rsidR="002B67C5" w:rsidRPr="007061DD" w:rsidRDefault="002B67C5"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To assess which tracts are primarily involved in the lesions of </w:t>
      </w:r>
      <w:r w:rsidR="0065059A" w:rsidRPr="007061DD">
        <w:rPr>
          <w:rFonts w:ascii="Times New Roman" w:hAnsi="Times New Roman" w:cs="Times New Roman"/>
        </w:rPr>
        <w:t>“</w:t>
      </w:r>
      <w:r w:rsidRPr="007061DD">
        <w:rPr>
          <w:rFonts w:ascii="Times New Roman" w:hAnsi="Times New Roman" w:cs="Times New Roman"/>
        </w:rPr>
        <w:t>out</w:t>
      </w:r>
      <w:r w:rsidR="00885F96" w:rsidRPr="007061DD">
        <w:rPr>
          <w:rFonts w:ascii="Times New Roman" w:hAnsi="Times New Roman" w:cs="Times New Roman"/>
        </w:rPr>
        <w:t xml:space="preserve">lier </w:t>
      </w:r>
      <w:r w:rsidRPr="007061DD">
        <w:rPr>
          <w:rFonts w:ascii="Times New Roman" w:hAnsi="Times New Roman" w:cs="Times New Roman"/>
        </w:rPr>
        <w:t>patients</w:t>
      </w:r>
      <w:r w:rsidR="0065059A" w:rsidRPr="007061DD">
        <w:rPr>
          <w:rFonts w:ascii="Times New Roman" w:hAnsi="Times New Roman" w:cs="Times New Roman"/>
        </w:rPr>
        <w:t>”</w:t>
      </w:r>
      <w:r w:rsidRPr="007061DD">
        <w:rPr>
          <w:rFonts w:ascii="Times New Roman" w:hAnsi="Times New Roman" w:cs="Times New Roman"/>
        </w:rPr>
        <w:t xml:space="preserve"> (outside the normal range) compared to </w:t>
      </w:r>
      <w:r w:rsidR="0065059A" w:rsidRPr="007061DD">
        <w:rPr>
          <w:rFonts w:ascii="Times New Roman" w:hAnsi="Times New Roman" w:cs="Times New Roman"/>
        </w:rPr>
        <w:t>“</w:t>
      </w:r>
      <w:r w:rsidR="005C2943" w:rsidRPr="007061DD">
        <w:rPr>
          <w:rFonts w:ascii="Times New Roman" w:hAnsi="Times New Roman" w:cs="Times New Roman"/>
        </w:rPr>
        <w:t>pseudo-healthy</w:t>
      </w:r>
      <w:r w:rsidR="00075E5E" w:rsidRPr="007061DD">
        <w:rPr>
          <w:rFonts w:ascii="Times New Roman" w:hAnsi="Times New Roman" w:cs="Times New Roman"/>
        </w:rPr>
        <w:t xml:space="preserve"> </w:t>
      </w:r>
      <w:r w:rsidRPr="007061DD">
        <w:rPr>
          <w:rFonts w:ascii="Times New Roman" w:hAnsi="Times New Roman" w:cs="Times New Roman"/>
        </w:rPr>
        <w:t>patients</w:t>
      </w:r>
      <w:r w:rsidR="0065059A" w:rsidRPr="007061DD">
        <w:rPr>
          <w:rFonts w:ascii="Times New Roman" w:hAnsi="Times New Roman" w:cs="Times New Roman"/>
        </w:rPr>
        <w:t>”</w:t>
      </w:r>
      <w:r w:rsidRPr="007061DD">
        <w:rPr>
          <w:rFonts w:ascii="Times New Roman" w:hAnsi="Times New Roman" w:cs="Times New Roman"/>
        </w:rPr>
        <w:t xml:space="preserve"> (within the expected range) for each coupling, we used the probabilistic tract maps provided by the BCBToolkit</w:t>
      </w:r>
      <w:r w:rsidR="002631C0" w:rsidRPr="007061DD">
        <w:rPr>
          <w:rFonts w:ascii="Times New Roman" w:hAnsi="Times New Roman" w:cs="Times New Roman"/>
        </w:rPr>
        <w:fldChar w:fldCharType="begin" w:fldLock="1"/>
      </w:r>
      <w:r w:rsidR="005C4031" w:rsidRPr="007061DD">
        <w:rPr>
          <w:rFonts w:ascii="Times New Roman" w:hAnsi="Times New Roman" w:cs="Times New Roman"/>
        </w:rPr>
        <w:instrText>ADDIN CSL_CITATION {"citationItems":[{"id":"ITEM-1","itemData":{"DOI":"10.1093/cercor/bhs351","ISSN":"10473211","PMID":"23162045","abstract":"The exact anatomical localization of right hemisphere lesions that lead to left spatial neglect is still debated. The effect of confounding factors such as acute diaschisis and hypoperfusion, visual field defects, and lesion size may account for conflicting results that have been reported in the literature. Here, we present a comprehensive anatomical investigation of the gray-and white matter lesion correlates of left spatial neglect, which was run in a sample 58 patients with subacute or chronic vascular strokes in the territory of the right middle cerebral artery. Standard voxel-based correlates confirmed the role played by lesions in the posterior parietal cortex (supramarginal gyrus, angular gyrus, and temporal-parietal junction), in the frontal cortex (frontal eye field, middle and inferior frontal gyrus), and in the underlying parietal-frontal white matter. Using a new diffusion tensor imaging-based atlas of the human brain, we were able to run, for the first time, a detailed analysis of the lesion involvement of subcortical white matter pathways. The results of this analysis revealed that, among the different pathways linking parietal with frontal areas, damage to the second branch of the superior longitudinal fasciculus (SLF II) was the best predictor of left spatial neglect. The group study also revealed a subsample of patients with neglect due to focal lesion in the lateral-dorsal portion of the thalamus, which connects the premotor cortex with the inferior parietal lobule. The relevance of fronto-parietal disconnection was further supported by complete in vivo tractography dissection of white matter pathways in 2 patients, one with and the other without signs of neglect. These 2 patients were studied both in the acute phase and 1 year after stroke and were perfectly matched for age, handedness, stroke onset, lesion size, and for cortical lesion involvement. Taken together, the results of the present study support the hypothesis that anatomical disconnections leading to a functional breakdown of parietal-frontal networks are an important pathophysiological factor leading to chronic left spatial neglect. Here, we propose that different loci of SLF disconnection on the rostro-caudal axis can also be associated with disconnection of short-range white matter pathways within the frontal or parietal areas. Such different local disconnection patterns can play a role in the important clinical variability of the neglect syndrome. © 2012 The Author.","author":[{"dropping-particle":"","family":"Thiebaut De Schotten","given":"Michel","non-dropping-particle":"","parse-names":false,"suffix":""},{"dropping-particle":"","family":"Tomaiuolo","given":"Francesco","non-dropping-particle":"","parse-names":false,"suffix":""},{"dropping-particle":"","family":"Aiello","given":"Marilena","non-dropping-particle":"","parse-names":false,"suffix":""},{"dropping-particle":"","family":"Merola","given":"Sheila","non-dropping-particle":"","parse-names":false,"suffix":""},{"dropping-particle":"","family":"Silvetti","given":"Massimo","non-dropping-particle":"","parse-names":false,"suffix":""},{"dropping-particle":"","family":"Lecce","given":"Francesca","non-dropping-particle":"","parse-names":false,"suffix":""},{"dropping-particle":"","family":"Bartolomeo","given":"Paolo","non-dropping-particle":"","parse-names":false,"suffix":""},{"dropping-particle":"","family":"Doricchi","given":"Fabrizio","non-dropping-particle":"","parse-names":false,"suffix":""}],"container-title":"Cerebral Cortex","id":"ITEM-1","issue":"3","issued":{"date-parts":[["2014"]]},"page":"691-706","title":"Damage to white matter pathways in subacute and chronic spatial neglect: A group study and 2 single-case studies with complete virtual \"in vivo\" tractography dissection","type":"article-journal","volume":"24"},"uris":["http://www.mendeley.com/documents/?uuid=963f7ef4-474c-4ed3-9cba-aa4d3f7755b1"]}],"mendeley":{"formattedCitation":"&lt;sup&gt;22&lt;/sup&gt;","plainTextFormattedCitation":"22","previouslyFormattedCitation":"&lt;sup&gt;21&lt;/sup&gt;"},"properties":{"noteIndex":0},"schema":"https://github.com/citation-style-language/schema/raw/master/csl-citation.json"}</w:instrText>
      </w:r>
      <w:r w:rsidR="002631C0" w:rsidRPr="007061DD">
        <w:rPr>
          <w:rFonts w:ascii="Times New Roman" w:hAnsi="Times New Roman" w:cs="Times New Roman"/>
        </w:rPr>
        <w:fldChar w:fldCharType="separate"/>
      </w:r>
      <w:r w:rsidR="005C4031" w:rsidRPr="007061DD">
        <w:rPr>
          <w:rFonts w:ascii="Times New Roman" w:hAnsi="Times New Roman" w:cs="Times New Roman"/>
          <w:noProof/>
          <w:vertAlign w:val="superscript"/>
        </w:rPr>
        <w:t>22</w:t>
      </w:r>
      <w:r w:rsidR="002631C0" w:rsidRPr="007061DD">
        <w:rPr>
          <w:rFonts w:ascii="Times New Roman" w:hAnsi="Times New Roman" w:cs="Times New Roman"/>
        </w:rPr>
        <w:fldChar w:fldCharType="end"/>
      </w:r>
      <w:r w:rsidRPr="007061DD">
        <w:rPr>
          <w:rFonts w:ascii="Times New Roman" w:hAnsi="Times New Roman" w:cs="Times New Roman"/>
        </w:rPr>
        <w:t>.</w:t>
      </w:r>
    </w:p>
    <w:p w14:paraId="71D3541A" w14:textId="21AB3D8F" w:rsidR="003F0DEA" w:rsidRPr="007061DD" w:rsidRDefault="002B67C5"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 </w:t>
      </w:r>
      <w:r w:rsidR="402BF8D2" w:rsidRPr="007061DD">
        <w:rPr>
          <w:rFonts w:ascii="Times New Roman" w:eastAsia="Times New Roman" w:hAnsi="Times New Roman" w:cs="Times New Roman"/>
        </w:rPr>
        <w:t xml:space="preserve">We applied an 80% threshold to the probabilistic maps to ensure a conservative assessment of tract presence. Next, we evaluated the potential overlap between the patient's tumor map and the </w:t>
      </w:r>
      <w:proofErr w:type="spellStart"/>
      <w:r w:rsidR="402BF8D2" w:rsidRPr="007061DD">
        <w:rPr>
          <w:rFonts w:ascii="Times New Roman" w:eastAsia="Times New Roman" w:hAnsi="Times New Roman" w:cs="Times New Roman"/>
        </w:rPr>
        <w:t>thresholded</w:t>
      </w:r>
      <w:proofErr w:type="spellEnd"/>
      <w:r w:rsidR="402BF8D2" w:rsidRPr="007061DD">
        <w:rPr>
          <w:rFonts w:ascii="Times New Roman" w:eastAsia="Times New Roman" w:hAnsi="Times New Roman" w:cs="Times New Roman"/>
        </w:rPr>
        <w:t xml:space="preserve"> tract map. A tract was considered involved if more than 20% of the tumor mask </w:t>
      </w:r>
      <w:r w:rsidR="402BF8D2" w:rsidRPr="007061DD">
        <w:rPr>
          <w:rFonts w:ascii="Times New Roman" w:eastAsia="Times New Roman" w:hAnsi="Times New Roman" w:cs="Times New Roman"/>
        </w:rPr>
        <w:lastRenderedPageBreak/>
        <w:t>intersected with the tract mask.</w:t>
      </w:r>
      <w:r w:rsidR="402BF8D2" w:rsidRPr="007061DD">
        <w:rPr>
          <w:rFonts w:ascii="Times New Roman" w:hAnsi="Times New Roman" w:cs="Times New Roman"/>
        </w:rPr>
        <w:t xml:space="preserve"> </w:t>
      </w:r>
      <w:r w:rsidR="00337FA7" w:rsidRPr="007061DD">
        <w:rPr>
          <w:rFonts w:ascii="Times New Roman" w:hAnsi="Times New Roman" w:cs="Times New Roman"/>
        </w:rPr>
        <w:t>Finally, we calculated for each tract the percentage of out</w:t>
      </w:r>
      <w:r w:rsidR="007079F1" w:rsidRPr="007061DD">
        <w:rPr>
          <w:rFonts w:ascii="Times New Roman" w:hAnsi="Times New Roman" w:cs="Times New Roman"/>
        </w:rPr>
        <w:t xml:space="preserve">lier </w:t>
      </w:r>
      <w:r w:rsidR="00337FA7" w:rsidRPr="007061DD">
        <w:rPr>
          <w:rFonts w:ascii="Times New Roman" w:hAnsi="Times New Roman" w:cs="Times New Roman"/>
        </w:rPr>
        <w:t xml:space="preserve">patients and </w:t>
      </w:r>
      <w:r w:rsidR="005C2943" w:rsidRPr="007061DD">
        <w:rPr>
          <w:rFonts w:ascii="Times New Roman" w:hAnsi="Times New Roman" w:cs="Times New Roman"/>
        </w:rPr>
        <w:t>pseudo-healthy</w:t>
      </w:r>
      <w:r w:rsidR="00075E5E" w:rsidRPr="007061DD">
        <w:rPr>
          <w:rFonts w:ascii="Times New Roman" w:hAnsi="Times New Roman" w:cs="Times New Roman"/>
        </w:rPr>
        <w:t xml:space="preserve"> </w:t>
      </w:r>
      <w:r w:rsidR="00337FA7" w:rsidRPr="007061DD">
        <w:rPr>
          <w:rFonts w:ascii="Times New Roman" w:hAnsi="Times New Roman" w:cs="Times New Roman"/>
        </w:rPr>
        <w:t>patients having that tract involved.</w:t>
      </w:r>
    </w:p>
    <w:p w14:paraId="66563109" w14:textId="77777777" w:rsidR="00535497" w:rsidRPr="007061DD" w:rsidRDefault="00535497" w:rsidP="00DC0ED9">
      <w:pPr>
        <w:spacing w:after="0" w:line="360" w:lineRule="auto"/>
        <w:jc w:val="both"/>
        <w:rPr>
          <w:rFonts w:ascii="Times New Roman" w:hAnsi="Times New Roman" w:cs="Times New Roman"/>
        </w:rPr>
      </w:pPr>
    </w:p>
    <w:p w14:paraId="599BE3B0" w14:textId="2EA7624C" w:rsidR="00080BEB" w:rsidRPr="00DB7CD8" w:rsidRDefault="009D780B" w:rsidP="00DC0ED9">
      <w:pPr>
        <w:spacing w:after="0" w:line="360" w:lineRule="auto"/>
        <w:jc w:val="center"/>
        <w:rPr>
          <w:rFonts w:ascii="Times New Roman" w:hAnsi="Times New Roman" w:cs="Times New Roman"/>
          <w:b/>
          <w:bCs/>
          <w:sz w:val="28"/>
          <w:szCs w:val="28"/>
        </w:rPr>
      </w:pPr>
      <w:r w:rsidRPr="00DB7CD8">
        <w:rPr>
          <w:rFonts w:ascii="Times New Roman" w:hAnsi="Times New Roman" w:cs="Times New Roman"/>
          <w:b/>
          <w:bCs/>
          <w:sz w:val="28"/>
          <w:szCs w:val="28"/>
        </w:rPr>
        <w:t>Supplementary Table</w:t>
      </w:r>
      <w:r w:rsidR="004122E6" w:rsidRPr="00DB7CD8">
        <w:rPr>
          <w:rFonts w:ascii="Times New Roman" w:hAnsi="Times New Roman" w:cs="Times New Roman"/>
          <w:b/>
          <w:bCs/>
          <w:sz w:val="28"/>
          <w:szCs w:val="28"/>
        </w:rPr>
        <w:t>s</w:t>
      </w:r>
    </w:p>
    <w:p w14:paraId="016AE38A" w14:textId="307AF87D" w:rsidR="00377876" w:rsidRPr="007061DD" w:rsidRDefault="00377876" w:rsidP="00DC0ED9">
      <w:pPr>
        <w:pStyle w:val="Caption"/>
        <w:keepNext/>
        <w:spacing w:after="0" w:line="360" w:lineRule="auto"/>
        <w:rPr>
          <w:rFonts w:ascii="Times New Roman" w:hAnsi="Times New Roman" w:cs="Times New Roman"/>
          <w:b/>
          <w:bCs/>
          <w:i w:val="0"/>
          <w:iCs w:val="0"/>
          <w:color w:val="000000" w:themeColor="text1"/>
          <w:sz w:val="24"/>
          <w:szCs w:val="24"/>
        </w:rPr>
      </w:pPr>
    </w:p>
    <w:p w14:paraId="55DFDCB0" w14:textId="7527CB31" w:rsidR="00F84194" w:rsidRPr="007061DD" w:rsidRDefault="00F84194" w:rsidP="00DC0ED9">
      <w:pPr>
        <w:pStyle w:val="Caption"/>
        <w:keepNext/>
        <w:spacing w:after="0" w:line="360" w:lineRule="auto"/>
        <w:rPr>
          <w:rFonts w:ascii="Times New Roman" w:hAnsi="Times New Roman" w:cs="Times New Roman"/>
          <w:b/>
          <w:bCs/>
          <w:i w:val="0"/>
          <w:iCs w:val="0"/>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Table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Supplementary_Table \* ARABIC </w:instrText>
      </w:r>
      <w:r w:rsidRPr="007061DD">
        <w:rPr>
          <w:rFonts w:ascii="Times New Roman" w:hAnsi="Times New Roman" w:cs="Times New Roman"/>
          <w:b/>
          <w:bCs/>
          <w:i w:val="0"/>
          <w:iCs w:val="0"/>
          <w:color w:val="000000" w:themeColor="text1"/>
          <w:sz w:val="24"/>
          <w:szCs w:val="24"/>
        </w:rPr>
        <w:fldChar w:fldCharType="separate"/>
      </w:r>
      <w:r w:rsidR="007C2EDB" w:rsidRPr="007061DD">
        <w:rPr>
          <w:rFonts w:ascii="Times New Roman" w:hAnsi="Times New Roman" w:cs="Times New Roman"/>
          <w:b/>
          <w:bCs/>
          <w:i w:val="0"/>
          <w:iCs w:val="0"/>
          <w:noProof/>
          <w:color w:val="000000" w:themeColor="text1"/>
          <w:sz w:val="24"/>
          <w:szCs w:val="24"/>
        </w:rPr>
        <w:t>1</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b/>
          <w:bCs/>
          <w:i w:val="0"/>
          <w:iCs w:val="0"/>
          <w:color w:val="000000" w:themeColor="text1"/>
          <w:sz w:val="24"/>
          <w:szCs w:val="24"/>
        </w:rPr>
        <w:t xml:space="preserve"> Generalizability of the multivariate correlation patterns</w:t>
      </w:r>
    </w:p>
    <w:tbl>
      <w:tblPr>
        <w:tblW w:w="6360" w:type="dxa"/>
        <w:tblCellMar>
          <w:left w:w="0" w:type="dxa"/>
          <w:right w:w="0" w:type="dxa"/>
        </w:tblCellMar>
        <w:tblLook w:val="0420" w:firstRow="1" w:lastRow="0" w:firstColumn="0" w:lastColumn="0" w:noHBand="0" w:noVBand="1"/>
      </w:tblPr>
      <w:tblGrid>
        <w:gridCol w:w="1192"/>
        <w:gridCol w:w="1055"/>
        <w:gridCol w:w="818"/>
        <w:gridCol w:w="1481"/>
        <w:gridCol w:w="950"/>
        <w:gridCol w:w="864"/>
      </w:tblGrid>
      <w:tr w:rsidR="00D75F30" w:rsidRPr="007061DD" w14:paraId="6984F5A6" w14:textId="77777777" w:rsidTr="00377876">
        <w:trPr>
          <w:trHeight w:val="408"/>
        </w:trPr>
        <w:tc>
          <w:tcPr>
            <w:tcW w:w="919"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1AC72E24" w14:textId="77777777" w:rsidR="00D75F30" w:rsidRPr="007061DD" w:rsidRDefault="00D75F30" w:rsidP="00DC0ED9">
            <w:pPr>
              <w:spacing w:after="0" w:line="360" w:lineRule="auto"/>
              <w:rPr>
                <w:rFonts w:ascii="Times New Roman" w:eastAsia="Times New Roman" w:hAnsi="Times New Roman" w:cs="Times New Roman"/>
                <w:lang w:eastAsia="it-IT"/>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6641E5A1"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Pair</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0913476E"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LC</w:t>
            </w:r>
          </w:p>
        </w:tc>
        <w:tc>
          <w:tcPr>
            <w:tcW w:w="1613"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43A7F6B1"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proofErr w:type="gramStart"/>
            <w:r w:rsidRPr="007061DD">
              <w:rPr>
                <w:rFonts w:ascii="Times New Roman" w:eastAsia="Calibri" w:hAnsi="Times New Roman" w:cs="Times New Roman"/>
                <w:i/>
                <w:iCs/>
                <w:color w:val="000000"/>
                <w:kern w:val="2"/>
                <w:lang w:val="en-GB" w:eastAsia="it-IT"/>
              </w:rPr>
              <w:t>Corr(</w:t>
            </w:r>
            <w:proofErr w:type="gramEnd"/>
            <w:r w:rsidRPr="007061DD">
              <w:rPr>
                <w:rFonts w:ascii="Times New Roman" w:eastAsia="Calibri" w:hAnsi="Times New Roman" w:cs="Times New Roman"/>
                <w:i/>
                <w:iCs/>
                <w:color w:val="000000"/>
                <w:kern w:val="2"/>
                <w:lang w:val="en-GB" w:eastAsia="it-IT"/>
              </w:rPr>
              <w:t>Lx, Ly)</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1DAFB2D4"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 xml:space="preserve">Gen. X </w:t>
            </w:r>
          </w:p>
        </w:tc>
        <w:tc>
          <w:tcPr>
            <w:tcW w:w="819"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786C3046"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 xml:space="preserve">Gen. Y </w:t>
            </w:r>
          </w:p>
        </w:tc>
      </w:tr>
      <w:tr w:rsidR="00D75F30" w:rsidRPr="007061DD" w14:paraId="5D4AF3C0" w14:textId="77777777" w:rsidTr="00377876">
        <w:trPr>
          <w:trHeight w:val="544"/>
        </w:trPr>
        <w:tc>
          <w:tcPr>
            <w:tcW w:w="919" w:type="dxa"/>
            <w:vMerge w:val="restart"/>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2CD0C3B0"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Upper triangular portion</w:t>
            </w:r>
          </w:p>
        </w:tc>
        <w:tc>
          <w:tcPr>
            <w:tcW w:w="1116" w:type="dxa"/>
            <w:tcBorders>
              <w:top w:val="single" w:sz="8" w:space="0" w:color="000000"/>
              <w:left w:val="single" w:sz="8" w:space="0" w:color="000000"/>
              <w:bottom w:val="single" w:sz="8" w:space="0" w:color="000000"/>
              <w:right w:val="single" w:sz="8" w:space="0" w:color="000000"/>
            </w:tcBorders>
            <w:shd w:val="clear" w:color="auto" w:fill="FFF0F4"/>
            <w:tcMar>
              <w:top w:w="51" w:type="dxa"/>
              <w:left w:w="102" w:type="dxa"/>
              <w:bottom w:w="51" w:type="dxa"/>
              <w:right w:w="102" w:type="dxa"/>
            </w:tcMar>
            <w:vAlign w:val="center"/>
            <w:hideMark/>
          </w:tcPr>
          <w:p w14:paraId="5FEFFD5E" w14:textId="2DFE32F9" w:rsidR="00D75F30" w:rsidRPr="007061DD" w:rsidRDefault="00000000" w:rsidP="00DC0ED9">
            <w:pPr>
              <w:spacing w:after="0" w:line="360" w:lineRule="auto"/>
              <w:jc w:val="center"/>
              <w:rPr>
                <w:rFonts w:ascii="Times New Roman" w:eastAsia="Times New Roman" w:hAnsi="Times New Roman" w:cs="Times New Roman"/>
                <w:lang w:val="it-IT" w:eastAsia="it-IT"/>
              </w:rPr>
            </w:pPr>
            <m:oMath>
              <m:acc>
                <m:accPr>
                  <m:ctrlPr>
                    <w:rPr>
                      <w:rFonts w:ascii="Cambria Math" w:eastAsia="Calibri" w:hAnsi="Cambria Math" w:cs="Times New Roman"/>
                      <w:b/>
                      <w:bCs/>
                      <w:color w:val="000000"/>
                      <w:kern w:val="2"/>
                      <w:lang w:val="en-GB" w:eastAsia="it-IT"/>
                    </w:rPr>
                  </m:ctrlPr>
                </m:accPr>
                <m:e>
                  <m:r>
                    <m:rPr>
                      <m:nor/>
                    </m:rPr>
                    <w:rPr>
                      <w:rFonts w:ascii="Times New Roman" w:eastAsia="Calibri" w:hAnsi="Times New Roman" w:cs="Times New Roman"/>
                      <w:b/>
                      <w:bCs/>
                      <w:color w:val="000000"/>
                      <w:kern w:val="2"/>
                      <w:lang w:val="en-GB" w:eastAsia="it-IT"/>
                    </w:rPr>
                    <m:t>FC</m:t>
                  </m:r>
                </m:e>
              </m:acc>
            </m:oMath>
            <w:r w:rsidR="00D75F30" w:rsidRPr="007061DD">
              <w:rPr>
                <w:rFonts w:ascii="Times New Roman" w:eastAsia="Calibri" w:hAnsi="Times New Roman" w:cs="Times New Roman"/>
                <w:b/>
                <w:bCs/>
                <w:color w:val="000000"/>
                <w:kern w:val="2"/>
                <w:lang w:val="en-GB" w:eastAsia="it-IT"/>
              </w:rPr>
              <w:t xml:space="preserve"> - MC</w:t>
            </w:r>
          </w:p>
        </w:tc>
        <w:tc>
          <w:tcPr>
            <w:tcW w:w="916" w:type="dxa"/>
            <w:tcBorders>
              <w:top w:val="single" w:sz="8" w:space="0" w:color="000000"/>
              <w:left w:val="single" w:sz="8" w:space="0" w:color="000000"/>
              <w:bottom w:val="single" w:sz="8" w:space="0" w:color="000000"/>
              <w:right w:val="single" w:sz="8" w:space="0" w:color="000000"/>
            </w:tcBorders>
            <w:shd w:val="clear" w:color="auto" w:fill="FFF0F4"/>
            <w:tcMar>
              <w:top w:w="51" w:type="dxa"/>
              <w:left w:w="102" w:type="dxa"/>
              <w:bottom w:w="51" w:type="dxa"/>
              <w:right w:w="102" w:type="dxa"/>
            </w:tcMar>
            <w:vAlign w:val="center"/>
            <w:hideMark/>
          </w:tcPr>
          <w:p w14:paraId="14D7F577"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1</w:t>
            </w:r>
          </w:p>
        </w:tc>
        <w:tc>
          <w:tcPr>
            <w:tcW w:w="1613" w:type="dxa"/>
            <w:tcBorders>
              <w:top w:val="single" w:sz="8" w:space="0" w:color="000000"/>
              <w:left w:val="single" w:sz="8" w:space="0" w:color="000000"/>
              <w:bottom w:val="single" w:sz="8" w:space="0" w:color="000000"/>
              <w:right w:val="single" w:sz="8" w:space="0" w:color="000000"/>
            </w:tcBorders>
            <w:shd w:val="clear" w:color="auto" w:fill="FFF0F4"/>
            <w:tcMar>
              <w:top w:w="51" w:type="dxa"/>
              <w:left w:w="102" w:type="dxa"/>
              <w:bottom w:w="51" w:type="dxa"/>
              <w:right w:w="102" w:type="dxa"/>
            </w:tcMar>
            <w:vAlign w:val="center"/>
            <w:hideMark/>
          </w:tcPr>
          <w:p w14:paraId="3BF08270"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0.7435</w:t>
            </w:r>
          </w:p>
          <w:p w14:paraId="14C8E2F9"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(p-value &lt; 0.001)</w:t>
            </w:r>
          </w:p>
        </w:tc>
        <w:tc>
          <w:tcPr>
            <w:tcW w:w="977" w:type="dxa"/>
            <w:tcBorders>
              <w:top w:val="single" w:sz="8" w:space="0" w:color="000000"/>
              <w:left w:val="single" w:sz="8" w:space="0" w:color="000000"/>
              <w:bottom w:val="single" w:sz="8" w:space="0" w:color="000000"/>
              <w:right w:val="single" w:sz="8" w:space="0" w:color="000000"/>
            </w:tcBorders>
            <w:shd w:val="clear" w:color="auto" w:fill="FFF0F4"/>
            <w:tcMar>
              <w:top w:w="51" w:type="dxa"/>
              <w:left w:w="102" w:type="dxa"/>
              <w:bottom w:w="51" w:type="dxa"/>
              <w:right w:w="102" w:type="dxa"/>
            </w:tcMar>
            <w:vAlign w:val="center"/>
            <w:hideMark/>
          </w:tcPr>
          <w:p w14:paraId="79B82D97"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0.9991</w:t>
            </w:r>
          </w:p>
        </w:tc>
        <w:tc>
          <w:tcPr>
            <w:tcW w:w="819" w:type="dxa"/>
            <w:tcBorders>
              <w:top w:val="single" w:sz="8" w:space="0" w:color="000000"/>
              <w:left w:val="single" w:sz="8" w:space="0" w:color="000000"/>
              <w:bottom w:val="single" w:sz="8" w:space="0" w:color="000000"/>
              <w:right w:val="single" w:sz="8" w:space="0" w:color="000000"/>
            </w:tcBorders>
            <w:shd w:val="clear" w:color="auto" w:fill="FFF0F4"/>
            <w:tcMar>
              <w:top w:w="51" w:type="dxa"/>
              <w:left w:w="102" w:type="dxa"/>
              <w:bottom w:w="51" w:type="dxa"/>
              <w:right w:w="102" w:type="dxa"/>
            </w:tcMar>
            <w:vAlign w:val="center"/>
            <w:hideMark/>
          </w:tcPr>
          <w:p w14:paraId="29B9F078"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0.8882</w:t>
            </w:r>
          </w:p>
        </w:tc>
      </w:tr>
      <w:tr w:rsidR="00D75F30" w:rsidRPr="007061DD" w14:paraId="45C4DED1" w14:textId="77777777" w:rsidTr="00377876">
        <w:trPr>
          <w:trHeight w:val="54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75E385" w14:textId="77777777" w:rsidR="00D75F30" w:rsidRPr="007061DD" w:rsidRDefault="00D75F30" w:rsidP="00DC0ED9">
            <w:pPr>
              <w:spacing w:after="0" w:line="360" w:lineRule="auto"/>
              <w:rPr>
                <w:rFonts w:ascii="Times New Roman" w:eastAsia="Times New Roman" w:hAnsi="Times New Roman" w:cs="Times New Roman"/>
                <w:lang w:val="it-IT" w:eastAsia="it-IT"/>
              </w:rPr>
            </w:pP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08A625D5"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S - MC</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69061EEA"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1</w:t>
            </w:r>
          </w:p>
        </w:tc>
        <w:tc>
          <w:tcPr>
            <w:tcW w:w="1613"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2ADCDC3D"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0.8054</w:t>
            </w:r>
          </w:p>
          <w:p w14:paraId="75F9D2D8"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(p-value &lt; 0.001)</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0C1A9BA3"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0.9966</w:t>
            </w:r>
          </w:p>
        </w:tc>
        <w:tc>
          <w:tcPr>
            <w:tcW w:w="819"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73D176BB"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0.4475</w:t>
            </w:r>
          </w:p>
        </w:tc>
      </w:tr>
      <w:tr w:rsidR="00D75F30" w:rsidRPr="007061DD" w14:paraId="3AC30ACA" w14:textId="77777777" w:rsidTr="00377876">
        <w:trPr>
          <w:trHeight w:val="544"/>
        </w:trPr>
        <w:tc>
          <w:tcPr>
            <w:tcW w:w="919" w:type="dxa"/>
            <w:vMerge w:val="restart"/>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2CA4CD92"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
                <w:lang w:val="en-GB" w:eastAsia="it-IT"/>
              </w:rPr>
              <w:t>Strength - SUVR</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496F251E" w14:textId="07947D22" w:rsidR="00D75F30" w:rsidRPr="007061DD" w:rsidRDefault="00000000" w:rsidP="00DC0ED9">
            <w:pPr>
              <w:spacing w:after="0" w:line="360" w:lineRule="auto"/>
              <w:jc w:val="center"/>
              <w:rPr>
                <w:rFonts w:ascii="Times New Roman" w:eastAsia="Times New Roman" w:hAnsi="Times New Roman" w:cs="Times New Roman"/>
                <w:lang w:val="it-IT" w:eastAsia="it-IT"/>
              </w:rPr>
            </w:pPr>
            <m:oMath>
              <m:acc>
                <m:accPr>
                  <m:ctrlPr>
                    <w:rPr>
                      <w:rFonts w:ascii="Cambria Math" w:eastAsia="Calibri" w:hAnsi="Cambria Math" w:cs="Times New Roman"/>
                      <w:color w:val="000000"/>
                      <w:kern w:val="2"/>
                      <w:lang w:val="en-GB" w:eastAsia="it-IT"/>
                    </w:rPr>
                  </m:ctrlPr>
                </m:accPr>
                <m:e>
                  <m:r>
                    <m:rPr>
                      <m:nor/>
                    </m:rPr>
                    <w:rPr>
                      <w:rFonts w:ascii="Times New Roman" w:eastAsia="Calibri" w:hAnsi="Times New Roman" w:cs="Times New Roman"/>
                      <w:color w:val="000000"/>
                      <w:kern w:val="2"/>
                      <w:lang w:val="en-GB" w:eastAsia="it-IT"/>
                    </w:rPr>
                    <m:t>FC</m:t>
                  </m:r>
                </m:e>
              </m:acc>
            </m:oMath>
            <w:r w:rsidR="00D75F30" w:rsidRPr="007061DD">
              <w:rPr>
                <w:rFonts w:ascii="Times New Roman" w:eastAsia="Calibri" w:hAnsi="Times New Roman" w:cs="Times New Roman"/>
                <w:color w:val="000000"/>
                <w:kern w:val="2"/>
                <w:lang w:val="en-GB" w:eastAsia="it-IT"/>
              </w:rPr>
              <w:t xml:space="preserve"> - SUVR</w:t>
            </w:r>
          </w:p>
        </w:tc>
        <w:tc>
          <w:tcPr>
            <w:tcW w:w="916"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47EFC9E3"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2</w:t>
            </w:r>
          </w:p>
        </w:tc>
        <w:tc>
          <w:tcPr>
            <w:tcW w:w="1613"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5520E913"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0.8030</w:t>
            </w:r>
          </w:p>
          <w:p w14:paraId="6A9A4F0C"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(p-value &lt; 0.001)</w:t>
            </w:r>
          </w:p>
        </w:tc>
        <w:tc>
          <w:tcPr>
            <w:tcW w:w="977"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3CD774B3"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0.8378</w:t>
            </w:r>
          </w:p>
        </w:tc>
        <w:tc>
          <w:tcPr>
            <w:tcW w:w="819" w:type="dxa"/>
            <w:tcBorders>
              <w:top w:val="single" w:sz="8" w:space="0" w:color="000000"/>
              <w:left w:val="single" w:sz="8" w:space="0" w:color="000000"/>
              <w:bottom w:val="single" w:sz="8" w:space="0" w:color="000000"/>
              <w:right w:val="single" w:sz="8" w:space="0" w:color="000000"/>
            </w:tcBorders>
            <w:shd w:val="clear" w:color="auto" w:fill="auto"/>
            <w:tcMar>
              <w:top w:w="51" w:type="dxa"/>
              <w:left w:w="102" w:type="dxa"/>
              <w:bottom w:w="51" w:type="dxa"/>
              <w:right w:w="102" w:type="dxa"/>
            </w:tcMar>
            <w:vAlign w:val="center"/>
            <w:hideMark/>
          </w:tcPr>
          <w:p w14:paraId="30A4BBBD"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
                <w:lang w:val="en-GB" w:eastAsia="it-IT"/>
              </w:rPr>
              <w:t>0.4335</w:t>
            </w:r>
          </w:p>
        </w:tc>
      </w:tr>
      <w:tr w:rsidR="00D75F30" w:rsidRPr="007061DD" w14:paraId="5F27BA60" w14:textId="77777777" w:rsidTr="00377876">
        <w:trPr>
          <w:trHeight w:val="54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781CC02" w14:textId="77777777" w:rsidR="00D75F30" w:rsidRPr="007061DD" w:rsidRDefault="00D75F30" w:rsidP="00DC0ED9">
            <w:pPr>
              <w:spacing w:after="0" w:line="360" w:lineRule="auto"/>
              <w:rPr>
                <w:rFonts w:ascii="Times New Roman" w:eastAsia="Times New Roman" w:hAnsi="Times New Roman" w:cs="Times New Roman"/>
                <w:lang w:val="it-IT" w:eastAsia="it-IT"/>
              </w:rPr>
            </w:pPr>
          </w:p>
        </w:tc>
        <w:tc>
          <w:tcPr>
            <w:tcW w:w="1116" w:type="dxa"/>
            <w:tcBorders>
              <w:top w:val="single" w:sz="8" w:space="0" w:color="000000"/>
              <w:left w:val="single" w:sz="8" w:space="0" w:color="000000"/>
              <w:bottom w:val="single" w:sz="8" w:space="0" w:color="000000"/>
              <w:right w:val="single" w:sz="8" w:space="0" w:color="000000"/>
            </w:tcBorders>
            <w:shd w:val="clear" w:color="auto" w:fill="F3FAFF"/>
            <w:tcMar>
              <w:top w:w="51" w:type="dxa"/>
              <w:left w:w="102" w:type="dxa"/>
              <w:bottom w:w="51" w:type="dxa"/>
              <w:right w:w="102" w:type="dxa"/>
            </w:tcMar>
            <w:vAlign w:val="center"/>
            <w:hideMark/>
          </w:tcPr>
          <w:p w14:paraId="797C66C1"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S - SUVR</w:t>
            </w:r>
          </w:p>
        </w:tc>
        <w:tc>
          <w:tcPr>
            <w:tcW w:w="916" w:type="dxa"/>
            <w:tcBorders>
              <w:top w:val="single" w:sz="8" w:space="0" w:color="000000"/>
              <w:left w:val="single" w:sz="8" w:space="0" w:color="000000"/>
              <w:bottom w:val="single" w:sz="8" w:space="0" w:color="000000"/>
              <w:right w:val="single" w:sz="8" w:space="0" w:color="000000"/>
            </w:tcBorders>
            <w:shd w:val="clear" w:color="auto" w:fill="F3FAFF"/>
            <w:tcMar>
              <w:top w:w="51" w:type="dxa"/>
              <w:left w:w="102" w:type="dxa"/>
              <w:bottom w:w="51" w:type="dxa"/>
              <w:right w:w="102" w:type="dxa"/>
            </w:tcMar>
            <w:vAlign w:val="center"/>
            <w:hideMark/>
          </w:tcPr>
          <w:p w14:paraId="347EE7E2"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2</w:t>
            </w:r>
          </w:p>
        </w:tc>
        <w:tc>
          <w:tcPr>
            <w:tcW w:w="1613" w:type="dxa"/>
            <w:tcBorders>
              <w:top w:val="single" w:sz="8" w:space="0" w:color="000000"/>
              <w:left w:val="single" w:sz="8" w:space="0" w:color="000000"/>
              <w:bottom w:val="single" w:sz="8" w:space="0" w:color="000000"/>
              <w:right w:val="single" w:sz="8" w:space="0" w:color="000000"/>
            </w:tcBorders>
            <w:shd w:val="clear" w:color="auto" w:fill="F3FAFF"/>
            <w:tcMar>
              <w:top w:w="51" w:type="dxa"/>
              <w:left w:w="102" w:type="dxa"/>
              <w:bottom w:w="51" w:type="dxa"/>
              <w:right w:w="102" w:type="dxa"/>
            </w:tcMar>
            <w:vAlign w:val="center"/>
            <w:hideMark/>
          </w:tcPr>
          <w:p w14:paraId="0392A6FE"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0.6373</w:t>
            </w:r>
          </w:p>
          <w:p w14:paraId="2C1D023E"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(p-value &lt; 0.001)</w:t>
            </w:r>
          </w:p>
        </w:tc>
        <w:tc>
          <w:tcPr>
            <w:tcW w:w="977" w:type="dxa"/>
            <w:tcBorders>
              <w:top w:val="single" w:sz="8" w:space="0" w:color="000000"/>
              <w:left w:val="single" w:sz="8" w:space="0" w:color="000000"/>
              <w:bottom w:val="single" w:sz="8" w:space="0" w:color="000000"/>
              <w:right w:val="single" w:sz="8" w:space="0" w:color="000000"/>
            </w:tcBorders>
            <w:shd w:val="clear" w:color="auto" w:fill="F3FAFF"/>
            <w:tcMar>
              <w:top w:w="51" w:type="dxa"/>
              <w:left w:w="102" w:type="dxa"/>
              <w:bottom w:w="51" w:type="dxa"/>
              <w:right w:w="102" w:type="dxa"/>
            </w:tcMar>
            <w:vAlign w:val="center"/>
            <w:hideMark/>
          </w:tcPr>
          <w:p w14:paraId="6FEBBF31"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0.9478</w:t>
            </w:r>
          </w:p>
        </w:tc>
        <w:tc>
          <w:tcPr>
            <w:tcW w:w="819" w:type="dxa"/>
            <w:tcBorders>
              <w:top w:val="single" w:sz="8" w:space="0" w:color="000000"/>
              <w:left w:val="single" w:sz="8" w:space="0" w:color="000000"/>
              <w:bottom w:val="single" w:sz="8" w:space="0" w:color="000000"/>
              <w:right w:val="single" w:sz="8" w:space="0" w:color="000000"/>
            </w:tcBorders>
            <w:shd w:val="clear" w:color="auto" w:fill="F3FAFF"/>
            <w:tcMar>
              <w:top w:w="51" w:type="dxa"/>
              <w:left w:w="102" w:type="dxa"/>
              <w:bottom w:w="51" w:type="dxa"/>
              <w:right w:w="102" w:type="dxa"/>
            </w:tcMar>
            <w:vAlign w:val="center"/>
            <w:hideMark/>
          </w:tcPr>
          <w:p w14:paraId="42129D42" w14:textId="77777777" w:rsidR="00D75F30" w:rsidRPr="007061DD" w:rsidRDefault="00D75F30"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b/>
                <w:bCs/>
                <w:color w:val="000000"/>
                <w:kern w:val="2"/>
                <w:lang w:val="en-GB" w:eastAsia="it-IT"/>
              </w:rPr>
              <w:t>0.7119</w:t>
            </w:r>
          </w:p>
        </w:tc>
      </w:tr>
    </w:tbl>
    <w:p w14:paraId="2D556FDD" w14:textId="77777777" w:rsidR="00E67C17" w:rsidRPr="007061DD" w:rsidRDefault="00E67C17" w:rsidP="00DC0ED9">
      <w:pPr>
        <w:spacing w:after="0" w:line="360" w:lineRule="auto"/>
        <w:jc w:val="center"/>
        <w:rPr>
          <w:rFonts w:ascii="Times New Roman" w:hAnsi="Times New Roman" w:cs="Times New Roman"/>
          <w:b/>
          <w:bCs/>
        </w:rPr>
      </w:pPr>
    </w:p>
    <w:p w14:paraId="78672657" w14:textId="73CACE94" w:rsidR="00411974" w:rsidRPr="007061DD" w:rsidRDefault="00411974" w:rsidP="00DC0ED9">
      <w:pPr>
        <w:pStyle w:val="Caption"/>
        <w:keepNext/>
        <w:spacing w:after="0" w:line="360" w:lineRule="auto"/>
        <w:rPr>
          <w:rFonts w:ascii="Times New Roman" w:hAnsi="Times New Roman" w:cs="Times New Roman"/>
          <w:b/>
          <w:bCs/>
          <w:i w:val="0"/>
          <w:iCs w:val="0"/>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Table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Supplementary_Table \* ARABIC </w:instrText>
      </w:r>
      <w:r w:rsidRPr="007061DD">
        <w:rPr>
          <w:rFonts w:ascii="Times New Roman" w:hAnsi="Times New Roman" w:cs="Times New Roman"/>
          <w:b/>
          <w:bCs/>
          <w:i w:val="0"/>
          <w:iCs w:val="0"/>
          <w:color w:val="000000" w:themeColor="text1"/>
          <w:sz w:val="24"/>
          <w:szCs w:val="24"/>
        </w:rPr>
        <w:fldChar w:fldCharType="separate"/>
      </w:r>
      <w:r w:rsidR="00A71C10" w:rsidRPr="007061DD">
        <w:rPr>
          <w:rFonts w:ascii="Times New Roman" w:hAnsi="Times New Roman" w:cs="Times New Roman"/>
          <w:b/>
          <w:bCs/>
          <w:i w:val="0"/>
          <w:iCs w:val="0"/>
          <w:noProof/>
          <w:color w:val="000000" w:themeColor="text1"/>
          <w:sz w:val="24"/>
          <w:szCs w:val="24"/>
        </w:rPr>
        <w:t>2</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b/>
          <w:bCs/>
          <w:i w:val="0"/>
          <w:iCs w:val="0"/>
          <w:color w:val="000000" w:themeColor="text1"/>
          <w:sz w:val="24"/>
          <w:szCs w:val="24"/>
        </w:rPr>
        <w:t xml:space="preserve"> Patients’ demographics and clinical data</w:t>
      </w:r>
    </w:p>
    <w:tbl>
      <w:tblPr>
        <w:tblW w:w="5445" w:type="dxa"/>
        <w:tblCellMar>
          <w:left w:w="0" w:type="dxa"/>
          <w:right w:w="0" w:type="dxa"/>
        </w:tblCellMar>
        <w:tblLook w:val="04A0" w:firstRow="1" w:lastRow="0" w:firstColumn="1" w:lastColumn="0" w:noHBand="0" w:noVBand="1"/>
      </w:tblPr>
      <w:tblGrid>
        <w:gridCol w:w="2331"/>
        <w:gridCol w:w="3114"/>
      </w:tblGrid>
      <w:tr w:rsidR="00411974" w:rsidRPr="007061DD" w14:paraId="47F44AF3" w14:textId="77777777" w:rsidTr="00F307CD">
        <w:trPr>
          <w:trHeight w:val="403"/>
        </w:trPr>
        <w:tc>
          <w:tcPr>
            <w:tcW w:w="2331" w:type="dxa"/>
            <w:tcBorders>
              <w:top w:val="single" w:sz="8" w:space="0" w:color="000000"/>
              <w:left w:val="nil"/>
              <w:bottom w:val="nil"/>
              <w:right w:val="nil"/>
            </w:tcBorders>
            <w:shd w:val="clear" w:color="auto" w:fill="auto"/>
            <w:tcMar>
              <w:top w:w="15" w:type="dxa"/>
              <w:left w:w="81" w:type="dxa"/>
              <w:bottom w:w="0" w:type="dxa"/>
              <w:right w:w="81" w:type="dxa"/>
            </w:tcMar>
            <w:vAlign w:val="center"/>
            <w:hideMark/>
          </w:tcPr>
          <w:p w14:paraId="2836C0BB"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4"/>
                <w:lang w:val="en-GB" w:eastAsia="it-IT"/>
              </w:rPr>
              <w:t>Age (years)</w:t>
            </w:r>
          </w:p>
        </w:tc>
        <w:tc>
          <w:tcPr>
            <w:tcW w:w="3114" w:type="dxa"/>
            <w:tcBorders>
              <w:top w:val="single" w:sz="8" w:space="0" w:color="000000"/>
              <w:left w:val="nil"/>
              <w:bottom w:val="nil"/>
              <w:right w:val="nil"/>
            </w:tcBorders>
            <w:shd w:val="clear" w:color="auto" w:fill="auto"/>
            <w:tcMar>
              <w:top w:w="15" w:type="dxa"/>
              <w:left w:w="81" w:type="dxa"/>
              <w:bottom w:w="0" w:type="dxa"/>
              <w:right w:w="81" w:type="dxa"/>
            </w:tcMar>
            <w:vAlign w:val="center"/>
            <w:hideMark/>
          </w:tcPr>
          <w:p w14:paraId="578C99C7"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58.8 </w:t>
            </w:r>
            <w:r w:rsidRPr="007061DD">
              <w:rPr>
                <w:rFonts w:ascii="Times New Roman" w:eastAsia="Symbol" w:hAnsi="Times New Roman" w:cs="Times New Roman"/>
                <w:color w:val="000000"/>
                <w:kern w:val="24"/>
                <w:lang w:val="en-GB" w:eastAsia="it-IT"/>
              </w:rPr>
              <w:t>±</w:t>
            </w:r>
            <w:r w:rsidRPr="007061DD">
              <w:rPr>
                <w:rFonts w:ascii="Times New Roman" w:eastAsia="Calibri" w:hAnsi="Times New Roman" w:cs="Times New Roman"/>
                <w:color w:val="000000"/>
                <w:kern w:val="24"/>
                <w:lang w:val="en-GB" w:eastAsia="it-IT"/>
              </w:rPr>
              <w:t xml:space="preserve"> 14.9</w:t>
            </w:r>
          </w:p>
        </w:tc>
      </w:tr>
      <w:tr w:rsidR="00411974" w:rsidRPr="007061DD" w14:paraId="07E81BD5"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1EC1616"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4"/>
                <w:lang w:val="en-GB" w:eastAsia="it-IT"/>
              </w:rPr>
              <w:t>Gender</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5917FA3F"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w:t>
            </w:r>
          </w:p>
        </w:tc>
      </w:tr>
      <w:tr w:rsidR="00411974" w:rsidRPr="007061DD" w14:paraId="5052553C"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6E8075CB"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Female</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5133EE85"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19</w:t>
            </w:r>
          </w:p>
        </w:tc>
      </w:tr>
      <w:tr w:rsidR="00411974" w:rsidRPr="007061DD" w14:paraId="3B2030D6"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19CAE60"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Male</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72DA489A"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24</w:t>
            </w:r>
          </w:p>
        </w:tc>
      </w:tr>
      <w:tr w:rsidR="00411974" w:rsidRPr="007061DD" w14:paraId="6C767CE2"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5CFE4E8B" w14:textId="77777777" w:rsidR="00411974" w:rsidRPr="007061DD" w:rsidRDefault="00411974" w:rsidP="00DC0ED9">
            <w:pPr>
              <w:spacing w:after="0" w:line="360" w:lineRule="auto"/>
              <w:rPr>
                <w:rFonts w:ascii="Times New Roman" w:eastAsia="Times New Roman" w:hAnsi="Times New Roman" w:cs="Times New Roman"/>
                <w:lang w:val="it-IT" w:eastAsia="it-IT"/>
              </w:rPr>
            </w:pPr>
            <w:proofErr w:type="spellStart"/>
            <w:r w:rsidRPr="007061DD">
              <w:rPr>
                <w:rFonts w:ascii="Times New Roman" w:eastAsia="Calibri" w:hAnsi="Times New Roman" w:cs="Times New Roman"/>
                <w:i/>
                <w:iCs/>
                <w:color w:val="000000"/>
                <w:kern w:val="24"/>
                <w:lang w:val="en-GB" w:eastAsia="it-IT"/>
              </w:rPr>
              <w:t>Tumor</w:t>
            </w:r>
            <w:proofErr w:type="spellEnd"/>
            <w:r w:rsidRPr="007061DD">
              <w:rPr>
                <w:rFonts w:ascii="Times New Roman" w:eastAsia="Calibri" w:hAnsi="Times New Roman" w:cs="Times New Roman"/>
                <w:i/>
                <w:iCs/>
                <w:color w:val="000000"/>
                <w:kern w:val="24"/>
                <w:lang w:val="en-GB" w:eastAsia="it-IT"/>
              </w:rPr>
              <w:t xml:space="preserve"> Histology</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23180B4E"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w:t>
            </w:r>
          </w:p>
        </w:tc>
      </w:tr>
      <w:tr w:rsidR="00411974" w:rsidRPr="007061DD" w14:paraId="1EDCB03A"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18A1EA3B"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Astrocytoma</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16A3A424"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w:t>
            </w:r>
          </w:p>
        </w:tc>
      </w:tr>
      <w:tr w:rsidR="00411974" w:rsidRPr="007061DD" w14:paraId="59F0E44F"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13616EED"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Diffuse astrocytoma        </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1BE92303"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w:t>
            </w:r>
          </w:p>
        </w:tc>
      </w:tr>
      <w:tr w:rsidR="00411974" w:rsidRPr="007061DD" w14:paraId="585209AE"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97389B6"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lastRenderedPageBreak/>
              <w:t xml:space="preserve">    Glioblastoma</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3076CAE2"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29</w:t>
            </w:r>
          </w:p>
        </w:tc>
      </w:tr>
      <w:tr w:rsidR="00411974" w:rsidRPr="007061DD" w14:paraId="15FF094F"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5E4A4049"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w:t>
            </w:r>
            <w:proofErr w:type="spellStart"/>
            <w:r w:rsidRPr="007061DD">
              <w:rPr>
                <w:rFonts w:ascii="Times New Roman" w:eastAsia="Calibri" w:hAnsi="Times New Roman" w:cs="Times New Roman"/>
                <w:color w:val="000000"/>
                <w:kern w:val="24"/>
                <w:lang w:val="en-GB" w:eastAsia="it-IT"/>
              </w:rPr>
              <w:t>Gliosarcoma</w:t>
            </w:r>
            <w:proofErr w:type="spellEnd"/>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619115D2"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w:t>
            </w:r>
          </w:p>
        </w:tc>
      </w:tr>
      <w:tr w:rsidR="00411974" w:rsidRPr="007061DD" w14:paraId="32897F57"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7414E460"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w:t>
            </w:r>
            <w:proofErr w:type="spellStart"/>
            <w:r w:rsidRPr="007061DD">
              <w:rPr>
                <w:rFonts w:ascii="Times New Roman" w:eastAsia="Calibri" w:hAnsi="Times New Roman" w:cs="Times New Roman"/>
                <w:color w:val="000000"/>
                <w:kern w:val="24"/>
                <w:lang w:val="en-GB" w:eastAsia="it-IT"/>
              </w:rPr>
              <w:t>Glioneural</w:t>
            </w:r>
            <w:proofErr w:type="spellEnd"/>
            <w:r w:rsidRPr="007061DD">
              <w:rPr>
                <w:rFonts w:ascii="Times New Roman" w:eastAsia="Calibri" w:hAnsi="Times New Roman" w:cs="Times New Roman"/>
                <w:color w:val="000000"/>
                <w:kern w:val="24"/>
                <w:lang w:val="en-GB" w:eastAsia="it-IT"/>
              </w:rPr>
              <w:t xml:space="preserve"> neoplasm</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608A3E6B"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w:t>
            </w:r>
          </w:p>
        </w:tc>
      </w:tr>
      <w:tr w:rsidR="00411974" w:rsidRPr="007061DD" w14:paraId="66B31463"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5FE6F8BB"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Oligodendroglioma</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3AE10CC1"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w:t>
            </w:r>
          </w:p>
        </w:tc>
      </w:tr>
      <w:tr w:rsidR="00411974" w:rsidRPr="007061DD" w14:paraId="615AD0AA"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7F2216B8"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Other</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59CE7B3E"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7</w:t>
            </w:r>
          </w:p>
        </w:tc>
      </w:tr>
      <w:tr w:rsidR="00411974" w:rsidRPr="007061DD" w14:paraId="4CFFBD31"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7403ED1C" w14:textId="77777777" w:rsidR="00411974" w:rsidRPr="007061DD" w:rsidRDefault="00411974" w:rsidP="00DC0ED9">
            <w:pPr>
              <w:spacing w:after="0" w:line="360" w:lineRule="auto"/>
              <w:rPr>
                <w:rFonts w:ascii="Times New Roman" w:eastAsia="Times New Roman" w:hAnsi="Times New Roman" w:cs="Times New Roman"/>
                <w:lang w:val="it-IT" w:eastAsia="it-IT"/>
              </w:rPr>
            </w:pPr>
            <w:proofErr w:type="spellStart"/>
            <w:r w:rsidRPr="007061DD">
              <w:rPr>
                <w:rFonts w:ascii="Times New Roman" w:eastAsia="Calibri" w:hAnsi="Times New Roman" w:cs="Times New Roman"/>
                <w:i/>
                <w:iCs/>
                <w:color w:val="000000"/>
                <w:kern w:val="24"/>
                <w:lang w:val="en-GB" w:eastAsia="it-IT"/>
              </w:rPr>
              <w:t>Tumor</w:t>
            </w:r>
            <w:proofErr w:type="spellEnd"/>
            <w:r w:rsidRPr="007061DD">
              <w:rPr>
                <w:rFonts w:ascii="Times New Roman" w:eastAsia="Calibri" w:hAnsi="Times New Roman" w:cs="Times New Roman"/>
                <w:i/>
                <w:iCs/>
                <w:color w:val="000000"/>
                <w:kern w:val="24"/>
                <w:lang w:val="en-GB" w:eastAsia="it-IT"/>
              </w:rPr>
              <w:t xml:space="preserve"> grade</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55AC45D4"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w:t>
            </w:r>
          </w:p>
        </w:tc>
      </w:tr>
      <w:tr w:rsidR="00411974" w:rsidRPr="007061DD" w14:paraId="191F86F9"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A09DF37"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II</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37C4EF5D"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6</w:t>
            </w:r>
          </w:p>
        </w:tc>
      </w:tr>
      <w:tr w:rsidR="00411974" w:rsidRPr="007061DD" w14:paraId="64E1C020"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6989BD2B"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III</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642B1C18"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3</w:t>
            </w:r>
          </w:p>
        </w:tc>
      </w:tr>
      <w:tr w:rsidR="00411974" w:rsidRPr="007061DD" w14:paraId="3BDE673C"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43946BAF"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IV</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2FF3ED2B"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30</w:t>
            </w:r>
          </w:p>
        </w:tc>
      </w:tr>
      <w:tr w:rsidR="00411974" w:rsidRPr="007061DD" w14:paraId="0F4AF969"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5E2B2FC1"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w:t>
            </w:r>
            <w:proofErr w:type="spellStart"/>
            <w:r w:rsidRPr="007061DD">
              <w:rPr>
                <w:rFonts w:ascii="Times New Roman" w:eastAsia="Calibri" w:hAnsi="Times New Roman" w:cs="Times New Roman"/>
                <w:color w:val="000000"/>
                <w:kern w:val="24"/>
                <w:lang w:val="en-GB" w:eastAsia="it-IT"/>
              </w:rPr>
              <w:t>n.a.</w:t>
            </w:r>
            <w:proofErr w:type="spellEnd"/>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39D3D97A"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4</w:t>
            </w:r>
          </w:p>
        </w:tc>
      </w:tr>
      <w:tr w:rsidR="00411974" w:rsidRPr="007061DD" w14:paraId="39787D7C"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4A4EEDB0"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i/>
                <w:iCs/>
                <w:color w:val="000000"/>
                <w:kern w:val="24"/>
                <w:lang w:val="en-GB" w:eastAsia="it-IT"/>
              </w:rPr>
              <w:t>IDH1 mutation status</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510149C9"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w:t>
            </w:r>
          </w:p>
        </w:tc>
      </w:tr>
      <w:tr w:rsidR="00411974" w:rsidRPr="007061DD" w14:paraId="13B1FFE3"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5E72D33D"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w:t>
            </w:r>
            <w:proofErr w:type="gramStart"/>
            <w:r w:rsidRPr="007061DD">
              <w:rPr>
                <w:rFonts w:ascii="Times New Roman" w:eastAsia="Calibri" w:hAnsi="Times New Roman" w:cs="Times New Roman"/>
                <w:color w:val="000000"/>
                <w:kern w:val="24"/>
                <w:lang w:val="en-GB" w:eastAsia="it-IT"/>
              </w:rPr>
              <w:t>Wild-type</w:t>
            </w:r>
            <w:proofErr w:type="gramEnd"/>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761EB927"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26</w:t>
            </w:r>
          </w:p>
        </w:tc>
      </w:tr>
      <w:tr w:rsidR="00411974" w:rsidRPr="007061DD" w14:paraId="6904BBD9"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2EB25E8A"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Mutated    </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0BE19B05"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7</w:t>
            </w:r>
          </w:p>
        </w:tc>
      </w:tr>
      <w:tr w:rsidR="00411974" w:rsidRPr="007061DD" w14:paraId="273DADB4"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75A75409"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w:t>
            </w:r>
            <w:proofErr w:type="spellStart"/>
            <w:r w:rsidRPr="007061DD">
              <w:rPr>
                <w:rFonts w:ascii="Times New Roman" w:eastAsia="Calibri" w:hAnsi="Times New Roman" w:cs="Times New Roman"/>
                <w:color w:val="000000"/>
                <w:kern w:val="24"/>
                <w:lang w:val="en-GB" w:eastAsia="it-IT"/>
              </w:rPr>
              <w:t>n.a.</w:t>
            </w:r>
            <w:proofErr w:type="spellEnd"/>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2F4FE62A"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10</w:t>
            </w:r>
          </w:p>
        </w:tc>
      </w:tr>
      <w:tr w:rsidR="00411974" w:rsidRPr="007061DD" w14:paraId="2A71B47E"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43DA112" w14:textId="77777777" w:rsidR="00411974" w:rsidRPr="007061DD" w:rsidRDefault="00411974" w:rsidP="00DC0ED9">
            <w:pPr>
              <w:spacing w:after="0" w:line="360" w:lineRule="auto"/>
              <w:rPr>
                <w:rFonts w:ascii="Times New Roman" w:eastAsia="Times New Roman" w:hAnsi="Times New Roman" w:cs="Times New Roman"/>
                <w:lang w:val="it-IT" w:eastAsia="it-IT"/>
              </w:rPr>
            </w:pPr>
            <w:proofErr w:type="spellStart"/>
            <w:r w:rsidRPr="007061DD">
              <w:rPr>
                <w:rFonts w:ascii="Times New Roman" w:eastAsia="Calibri" w:hAnsi="Times New Roman" w:cs="Times New Roman"/>
                <w:i/>
                <w:iCs/>
                <w:color w:val="000000"/>
                <w:kern w:val="24"/>
                <w:lang w:val="en-GB" w:eastAsia="it-IT"/>
              </w:rPr>
              <w:t>Tumor</w:t>
            </w:r>
            <w:proofErr w:type="spellEnd"/>
            <w:r w:rsidRPr="007061DD">
              <w:rPr>
                <w:rFonts w:ascii="Times New Roman" w:eastAsia="Calibri" w:hAnsi="Times New Roman" w:cs="Times New Roman"/>
                <w:i/>
                <w:iCs/>
                <w:color w:val="000000"/>
                <w:kern w:val="24"/>
                <w:lang w:val="en-GB" w:eastAsia="it-IT"/>
              </w:rPr>
              <w:t xml:space="preserve"> site</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4B58D860"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w:t>
            </w:r>
          </w:p>
        </w:tc>
      </w:tr>
      <w:tr w:rsidR="00411974" w:rsidRPr="007061DD" w14:paraId="7C84CA90"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6726028A"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Left </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383C4DE3"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24</w:t>
            </w:r>
          </w:p>
        </w:tc>
      </w:tr>
      <w:tr w:rsidR="00411974" w:rsidRPr="007061DD" w14:paraId="79971DA6" w14:textId="77777777" w:rsidTr="00F307CD">
        <w:trPr>
          <w:trHeight w:val="113"/>
        </w:trPr>
        <w:tc>
          <w:tcPr>
            <w:tcW w:w="2331" w:type="dxa"/>
            <w:tcBorders>
              <w:top w:val="nil"/>
              <w:left w:val="nil"/>
              <w:bottom w:val="nil"/>
              <w:right w:val="nil"/>
            </w:tcBorders>
            <w:shd w:val="clear" w:color="auto" w:fill="auto"/>
            <w:tcMar>
              <w:top w:w="15" w:type="dxa"/>
              <w:left w:w="81" w:type="dxa"/>
              <w:bottom w:w="0" w:type="dxa"/>
              <w:right w:w="81" w:type="dxa"/>
            </w:tcMar>
            <w:vAlign w:val="center"/>
            <w:hideMark/>
          </w:tcPr>
          <w:p w14:paraId="0D5BF2FF"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Right</w:t>
            </w:r>
          </w:p>
        </w:tc>
        <w:tc>
          <w:tcPr>
            <w:tcW w:w="3114" w:type="dxa"/>
            <w:tcBorders>
              <w:top w:val="nil"/>
              <w:left w:val="nil"/>
              <w:bottom w:val="nil"/>
              <w:right w:val="nil"/>
            </w:tcBorders>
            <w:shd w:val="clear" w:color="auto" w:fill="auto"/>
            <w:tcMar>
              <w:top w:w="15" w:type="dxa"/>
              <w:left w:w="81" w:type="dxa"/>
              <w:bottom w:w="0" w:type="dxa"/>
              <w:right w:w="81" w:type="dxa"/>
            </w:tcMar>
            <w:vAlign w:val="center"/>
            <w:hideMark/>
          </w:tcPr>
          <w:p w14:paraId="1B85DDB5"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15</w:t>
            </w:r>
          </w:p>
        </w:tc>
      </w:tr>
      <w:tr w:rsidR="00411974" w:rsidRPr="007061DD" w14:paraId="0B7CB47B" w14:textId="77777777" w:rsidTr="00F307CD">
        <w:trPr>
          <w:trHeight w:val="113"/>
        </w:trPr>
        <w:tc>
          <w:tcPr>
            <w:tcW w:w="2331" w:type="dxa"/>
            <w:tcBorders>
              <w:top w:val="nil"/>
              <w:left w:val="nil"/>
              <w:bottom w:val="single" w:sz="8" w:space="0" w:color="000000"/>
              <w:right w:val="nil"/>
            </w:tcBorders>
            <w:shd w:val="clear" w:color="auto" w:fill="auto"/>
            <w:tcMar>
              <w:top w:w="15" w:type="dxa"/>
              <w:left w:w="81" w:type="dxa"/>
              <w:bottom w:w="0" w:type="dxa"/>
              <w:right w:w="81" w:type="dxa"/>
            </w:tcMar>
            <w:vAlign w:val="center"/>
            <w:hideMark/>
          </w:tcPr>
          <w:p w14:paraId="355972A6" w14:textId="77777777" w:rsidR="00411974" w:rsidRPr="007061DD" w:rsidRDefault="00411974" w:rsidP="00DC0ED9">
            <w:pPr>
              <w:spacing w:after="0" w:line="360" w:lineRule="auto"/>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 xml:space="preserve">    Bilateral</w:t>
            </w:r>
          </w:p>
        </w:tc>
        <w:tc>
          <w:tcPr>
            <w:tcW w:w="3114" w:type="dxa"/>
            <w:tcBorders>
              <w:top w:val="nil"/>
              <w:left w:val="nil"/>
              <w:bottom w:val="single" w:sz="8" w:space="0" w:color="000000"/>
              <w:right w:val="nil"/>
            </w:tcBorders>
            <w:shd w:val="clear" w:color="auto" w:fill="auto"/>
            <w:tcMar>
              <w:top w:w="15" w:type="dxa"/>
              <w:left w:w="81" w:type="dxa"/>
              <w:bottom w:w="0" w:type="dxa"/>
              <w:right w:w="81" w:type="dxa"/>
            </w:tcMar>
            <w:vAlign w:val="center"/>
            <w:hideMark/>
          </w:tcPr>
          <w:p w14:paraId="43902232" w14:textId="77777777" w:rsidR="00411974" w:rsidRPr="007061DD" w:rsidRDefault="00411974" w:rsidP="00DC0ED9">
            <w:pPr>
              <w:spacing w:after="0" w:line="360" w:lineRule="auto"/>
              <w:jc w:val="center"/>
              <w:rPr>
                <w:rFonts w:ascii="Times New Roman" w:eastAsia="Times New Roman" w:hAnsi="Times New Roman" w:cs="Times New Roman"/>
                <w:lang w:val="it-IT" w:eastAsia="it-IT"/>
              </w:rPr>
            </w:pPr>
            <w:r w:rsidRPr="007061DD">
              <w:rPr>
                <w:rFonts w:ascii="Times New Roman" w:eastAsia="Calibri" w:hAnsi="Times New Roman" w:cs="Times New Roman"/>
                <w:color w:val="000000"/>
                <w:kern w:val="24"/>
                <w:lang w:val="en-GB" w:eastAsia="it-IT"/>
              </w:rPr>
              <w:t>4</w:t>
            </w:r>
          </w:p>
        </w:tc>
      </w:tr>
    </w:tbl>
    <w:p w14:paraId="0811C51E" w14:textId="77777777" w:rsidR="00F37F21" w:rsidRPr="007061DD" w:rsidRDefault="00F37F21" w:rsidP="00DC0ED9">
      <w:pPr>
        <w:spacing w:after="0" w:line="360" w:lineRule="auto"/>
        <w:jc w:val="center"/>
        <w:rPr>
          <w:rFonts w:ascii="Times New Roman" w:hAnsi="Times New Roman" w:cs="Times New Roman"/>
          <w:b/>
          <w:bCs/>
        </w:rPr>
      </w:pPr>
    </w:p>
    <w:p w14:paraId="48215DAF" w14:textId="6C348C19" w:rsidR="00546D2E" w:rsidRPr="00DB7CD8" w:rsidRDefault="00546D2E" w:rsidP="00DC0ED9">
      <w:pPr>
        <w:spacing w:after="0" w:line="360" w:lineRule="auto"/>
        <w:jc w:val="center"/>
        <w:rPr>
          <w:rFonts w:ascii="Times New Roman" w:hAnsi="Times New Roman" w:cs="Times New Roman"/>
          <w:b/>
          <w:bCs/>
          <w:sz w:val="28"/>
          <w:szCs w:val="28"/>
        </w:rPr>
      </w:pPr>
      <w:r w:rsidRPr="00DB7CD8">
        <w:rPr>
          <w:rFonts w:ascii="Times New Roman" w:hAnsi="Times New Roman" w:cs="Times New Roman"/>
          <w:b/>
          <w:bCs/>
          <w:sz w:val="28"/>
          <w:szCs w:val="28"/>
        </w:rPr>
        <w:t>Supplementary Figures</w:t>
      </w:r>
    </w:p>
    <w:p w14:paraId="04B9E4D8" w14:textId="77777777" w:rsidR="00541D51" w:rsidRPr="007061DD" w:rsidRDefault="00B37FEE"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67BD639A" wp14:editId="70FD5846">
            <wp:extent cx="5534025" cy="8229600"/>
            <wp:effectExtent l="0" t="0" r="3175" b="0"/>
            <wp:docPr id="173372380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23806" name="Immagine 173372380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34025" cy="8229600"/>
                    </a:xfrm>
                    <a:prstGeom prst="rect">
                      <a:avLst/>
                    </a:prstGeom>
                  </pic:spPr>
                </pic:pic>
              </a:graphicData>
            </a:graphic>
          </wp:inline>
        </w:drawing>
      </w:r>
    </w:p>
    <w:p w14:paraId="362EADCA" w14:textId="4FE923F4" w:rsidR="00B75E1D" w:rsidRPr="007061DD" w:rsidRDefault="00541D51" w:rsidP="00DC0ED9">
      <w:pPr>
        <w:pStyle w:val="Caption"/>
        <w:spacing w:after="0" w:line="360" w:lineRule="auto"/>
        <w:jc w:val="both"/>
        <w:rPr>
          <w:rFonts w:ascii="Times New Roman" w:hAnsi="Times New Roman" w:cs="Times New Roman"/>
          <w:i w:val="0"/>
          <w:iCs w:val="0"/>
          <w:color w:val="000000" w:themeColor="text1"/>
          <w:sz w:val="24"/>
          <w:szCs w:val="24"/>
        </w:rPr>
      </w:pPr>
      <w:r w:rsidRPr="007061DD">
        <w:rPr>
          <w:rFonts w:ascii="Times New Roman" w:hAnsi="Times New Roman" w:cs="Times New Roman"/>
          <w:b/>
          <w:bCs/>
          <w:i w:val="0"/>
          <w:iCs w:val="0"/>
          <w:color w:val="000000" w:themeColor="text1"/>
          <w:sz w:val="24"/>
          <w:szCs w:val="24"/>
        </w:rPr>
        <w:lastRenderedPageBreak/>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1</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Workflow of the main analyses performed in the study.</w:t>
      </w:r>
      <w:r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a</w:t>
      </w:r>
      <w:r w:rsidRPr="007061DD">
        <w:rPr>
          <w:rFonts w:ascii="Times New Roman" w:hAnsi="Times New Roman" w:cs="Times New Roman"/>
          <w:i w:val="0"/>
          <w:iCs w:val="0"/>
          <w:color w:val="000000" w:themeColor="text1"/>
          <w:sz w:val="24"/>
          <w:szCs w:val="24"/>
        </w:rPr>
        <w:t xml:space="preserve">) For each healthy control, regional SUVR and MC were extracted after projecting both static and dynamic PET data on the considered atlas; conversely, whole-brain flow patterns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vertAlign w:val="superscript"/>
        </w:rPr>
        <w:t xml:space="preserve"> </w:t>
      </w:r>
      <w:r w:rsidRPr="007061DD">
        <w:rPr>
          <w:rFonts w:ascii="Times New Roman" w:hAnsi="Times New Roman" w:cs="Times New Roman"/>
          <w:i w:val="0"/>
          <w:iCs w:val="0"/>
          <w:color w:val="000000" w:themeColor="text1"/>
          <w:sz w:val="24"/>
          <w:szCs w:val="24"/>
        </w:rPr>
        <w:t xml:space="preserve">and S are obtained from the individual EC matrix, after projecting </w:t>
      </w:r>
      <w:proofErr w:type="spellStart"/>
      <w:r w:rsidRPr="007061DD">
        <w:rPr>
          <w:rFonts w:ascii="Times New Roman" w:hAnsi="Times New Roman" w:cs="Times New Roman"/>
          <w:i w:val="0"/>
          <w:iCs w:val="0"/>
          <w:color w:val="000000" w:themeColor="text1"/>
          <w:sz w:val="24"/>
          <w:szCs w:val="24"/>
        </w:rPr>
        <w:t>rs</w:t>
      </w:r>
      <w:proofErr w:type="spellEnd"/>
      <w:r w:rsidRPr="007061DD">
        <w:rPr>
          <w:rFonts w:ascii="Times New Roman" w:hAnsi="Times New Roman" w:cs="Times New Roman"/>
          <w:i w:val="0"/>
          <w:iCs w:val="0"/>
          <w:color w:val="000000" w:themeColor="text1"/>
          <w:sz w:val="24"/>
          <w:szCs w:val="24"/>
        </w:rPr>
        <w:t xml:space="preserve">-fMRI data on the parcellation atlas and applying </w:t>
      </w:r>
      <w:proofErr w:type="spellStart"/>
      <w:r w:rsidRPr="007061DD">
        <w:rPr>
          <w:rFonts w:ascii="Times New Roman" w:hAnsi="Times New Roman" w:cs="Times New Roman"/>
          <w:i w:val="0"/>
          <w:iCs w:val="0"/>
          <w:color w:val="000000" w:themeColor="text1"/>
          <w:sz w:val="24"/>
          <w:szCs w:val="24"/>
        </w:rPr>
        <w:t>sDCM</w:t>
      </w:r>
      <w:proofErr w:type="spellEnd"/>
      <w:r w:rsidRPr="007061DD">
        <w:rPr>
          <w:rFonts w:ascii="Times New Roman" w:hAnsi="Times New Roman" w:cs="Times New Roman"/>
          <w:i w:val="0"/>
          <w:iCs w:val="0"/>
          <w:color w:val="000000" w:themeColor="text1"/>
          <w:sz w:val="24"/>
          <w:szCs w:val="24"/>
        </w:rPr>
        <w:t xml:space="preserve"> at subject-level. Node strength profiles were considered for comparison with regional SUVR. (</w:t>
      </w:r>
      <w:r w:rsidRPr="007061DD">
        <w:rPr>
          <w:rFonts w:ascii="Times New Roman" w:hAnsi="Times New Roman" w:cs="Times New Roman"/>
          <w:b/>
          <w:bCs/>
          <w:i w:val="0"/>
          <w:iCs w:val="0"/>
          <w:color w:val="000000" w:themeColor="text1"/>
          <w:sz w:val="24"/>
          <w:szCs w:val="24"/>
        </w:rPr>
        <w:t>b</w:t>
      </w:r>
      <w:r w:rsidRPr="007061DD">
        <w:rPr>
          <w:rFonts w:ascii="Times New Roman" w:hAnsi="Times New Roman" w:cs="Times New Roman"/>
          <w:i w:val="0"/>
          <w:iCs w:val="0"/>
          <w:color w:val="000000" w:themeColor="text1"/>
          <w:sz w:val="24"/>
          <w:szCs w:val="24"/>
        </w:rPr>
        <w:t xml:space="preserve">) PLSC was applied to each effective-metabolic pair (i.e.,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rPr>
        <w:t xml:space="preserve">–SUVR; S–SUVR;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rPr>
        <w:t>–MC; S–MC) after defining group-level X and Y, thus yielding the corresponding latent scores and salience weights. For each PLSC pair, a generalizability test was conducted to select significant pairs for further application on the glioma patients. (</w:t>
      </w:r>
      <w:r w:rsidRPr="007061DD">
        <w:rPr>
          <w:rFonts w:ascii="Times New Roman" w:hAnsi="Times New Roman" w:cs="Times New Roman"/>
          <w:b/>
          <w:bCs/>
          <w:i w:val="0"/>
          <w:iCs w:val="0"/>
          <w:color w:val="000000" w:themeColor="text1"/>
          <w:sz w:val="24"/>
          <w:szCs w:val="24"/>
        </w:rPr>
        <w:t>c</w:t>
      </w:r>
      <w:r w:rsidRPr="007061DD">
        <w:rPr>
          <w:rFonts w:ascii="Times New Roman" w:hAnsi="Times New Roman" w:cs="Times New Roman"/>
          <w:i w:val="0"/>
          <w:iCs w:val="0"/>
          <w:color w:val="000000" w:themeColor="text1"/>
          <w:sz w:val="24"/>
          <w:szCs w:val="24"/>
        </w:rPr>
        <w:t>) Metabolic and effective variables were extracted from each patient by employing the same procedure described in step (</w:t>
      </w:r>
      <w:r w:rsidRPr="007061DD">
        <w:rPr>
          <w:rFonts w:ascii="Times New Roman" w:hAnsi="Times New Roman" w:cs="Times New Roman"/>
          <w:b/>
          <w:bCs/>
          <w:i w:val="0"/>
          <w:iCs w:val="0"/>
          <w:color w:val="000000" w:themeColor="text1"/>
          <w:sz w:val="24"/>
          <w:szCs w:val="24"/>
        </w:rPr>
        <w:t>a</w:t>
      </w:r>
      <w:r w:rsidRPr="007061DD">
        <w:rPr>
          <w:rFonts w:ascii="Times New Roman" w:hAnsi="Times New Roman" w:cs="Times New Roman"/>
          <w:i w:val="0"/>
          <w:iCs w:val="0"/>
          <w:color w:val="000000" w:themeColor="text1"/>
          <w:sz w:val="24"/>
          <w:szCs w:val="24"/>
        </w:rPr>
        <w:t>). (</w:t>
      </w:r>
      <w:r w:rsidRPr="007061DD">
        <w:rPr>
          <w:rFonts w:ascii="Times New Roman" w:hAnsi="Times New Roman" w:cs="Times New Roman"/>
          <w:b/>
          <w:bCs/>
          <w:i w:val="0"/>
          <w:iCs w:val="0"/>
          <w:color w:val="000000" w:themeColor="text1"/>
          <w:sz w:val="24"/>
          <w:szCs w:val="24"/>
        </w:rPr>
        <w:t>d</w:t>
      </w:r>
      <w:r w:rsidRPr="007061DD">
        <w:rPr>
          <w:rFonts w:ascii="Times New Roman" w:hAnsi="Times New Roman" w:cs="Times New Roman"/>
          <w:i w:val="0"/>
          <w:iCs w:val="0"/>
          <w:color w:val="000000" w:themeColor="text1"/>
          <w:sz w:val="24"/>
          <w:szCs w:val="24"/>
        </w:rPr>
        <w:t>) After feature normalization, effective and metabolic measures were projected onto the maximizing-covariance latent space for each generalizable pair identified in the HC sample. Finally, after defining the normality range, we investigated the spatial pattern of tumor location in patients for which the effective-metabolic coupling deviates from the expected healthy trend (i.e., latent scores outside the normality range).</w:t>
      </w:r>
    </w:p>
    <w:p w14:paraId="5D55090C" w14:textId="77777777" w:rsidR="00F21A79" w:rsidRPr="007061DD" w:rsidRDefault="00F21A79" w:rsidP="00DC0ED9">
      <w:pPr>
        <w:spacing w:after="0" w:line="360" w:lineRule="auto"/>
        <w:rPr>
          <w:rFonts w:ascii="Times New Roman" w:hAnsi="Times New Roman" w:cs="Times New Roman"/>
        </w:rPr>
      </w:pPr>
    </w:p>
    <w:p w14:paraId="29A0343B" w14:textId="77777777" w:rsidR="003A1482" w:rsidRPr="007061DD" w:rsidRDefault="003A1482"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drawing>
          <wp:inline distT="0" distB="0" distL="0" distR="0" wp14:anchorId="42EF55F8" wp14:editId="5AF010CA">
            <wp:extent cx="5943600" cy="3031490"/>
            <wp:effectExtent l="0" t="0" r="0" b="3810"/>
            <wp:docPr id="163012578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5783" name="Immagine 163012578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031490"/>
                    </a:xfrm>
                    <a:prstGeom prst="rect">
                      <a:avLst/>
                    </a:prstGeom>
                  </pic:spPr>
                </pic:pic>
              </a:graphicData>
            </a:graphic>
          </wp:inline>
        </w:drawing>
      </w:r>
    </w:p>
    <w:p w14:paraId="37021EBA" w14:textId="5A7111E6" w:rsidR="004A4A4A" w:rsidRDefault="003A1482" w:rsidP="00DC0ED9">
      <w:pPr>
        <w:pStyle w:val="Caption"/>
        <w:spacing w:after="0" w:line="360" w:lineRule="auto"/>
        <w:jc w:val="both"/>
        <w:rPr>
          <w:rFonts w:ascii="Times New Roman" w:hAnsi="Times New Roman" w:cs="Times New Roman"/>
          <w:i w:val="0"/>
          <w:iCs w:val="0"/>
          <w:color w:val="000000" w:themeColor="text1"/>
          <w:sz w:val="24"/>
          <w:szCs w:val="24"/>
          <w:lang w:val="en-GB"/>
        </w:rPr>
      </w:pPr>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Pr="007061DD">
        <w:rPr>
          <w:rFonts w:ascii="Times New Roman" w:hAnsi="Times New Roman" w:cs="Times New Roman"/>
          <w:b/>
          <w:bCs/>
          <w:i w:val="0"/>
          <w:iCs w:val="0"/>
          <w:noProof/>
          <w:color w:val="000000" w:themeColor="text1"/>
          <w:sz w:val="24"/>
          <w:szCs w:val="24"/>
        </w:rPr>
        <w:t>2</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sz w:val="24"/>
          <w:szCs w:val="24"/>
        </w:rPr>
        <w:t xml:space="preserve"> </w:t>
      </w:r>
      <w:r w:rsidRPr="007061DD">
        <w:rPr>
          <w:rFonts w:ascii="Times New Roman" w:hAnsi="Times New Roman" w:cs="Times New Roman"/>
          <w:b/>
          <w:bCs/>
          <w:i w:val="0"/>
          <w:iCs w:val="0"/>
          <w:color w:val="000000" w:themeColor="text1"/>
          <w:sz w:val="24"/>
          <w:szCs w:val="24"/>
        </w:rPr>
        <w:t>Group-averaged metabolic and effective measures.</w:t>
      </w:r>
      <w:r w:rsidRPr="007061DD">
        <w:rPr>
          <w:rFonts w:ascii="Times New Roman" w:hAnsi="Times New Roman" w:cs="Times New Roman"/>
          <w:i w:val="0"/>
          <w:iCs w:val="0"/>
          <w:color w:val="000000" w:themeColor="text1"/>
          <w:sz w:val="24"/>
          <w:szCs w:val="24"/>
        </w:rPr>
        <w:t xml:space="preserve"> From the left: ROI-level SUVR and ROI-level distribution of SUVR values; metabolic connectivity matrix (MC) and distribution of column-wise strength for MC; differential cross-covariance matrix (S) and </w:t>
      </w:r>
      <w:r w:rsidRPr="007061DD">
        <w:rPr>
          <w:rFonts w:ascii="Times New Roman" w:hAnsi="Times New Roman" w:cs="Times New Roman"/>
          <w:i w:val="0"/>
          <w:iCs w:val="0"/>
          <w:color w:val="000000" w:themeColor="text1"/>
          <w:sz w:val="24"/>
          <w:szCs w:val="24"/>
        </w:rPr>
        <w:lastRenderedPageBreak/>
        <w:t>distribution of column-wise strength for S; partial covariance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rPr>
        <w:t xml:space="preserve">) and distribution of column-wise strength for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i w:val="0"/>
          <w:iCs w:val="0"/>
          <w:color w:val="000000" w:themeColor="text1"/>
          <w:sz w:val="24"/>
          <w:szCs w:val="24"/>
          <w:lang w:val="en-GB"/>
        </w:rPr>
        <w:t xml:space="preserve">Given the inherently high inter-individual variability characterizing the magnitude of covariance matrices, we implemented individual-level normalization (i.e., </w:t>
      </w:r>
      <w:proofErr w:type="gramStart"/>
      <w:r w:rsidRPr="007061DD">
        <w:rPr>
          <w:rFonts w:ascii="Times New Roman" w:hAnsi="Times New Roman" w:cs="Times New Roman"/>
          <w:i w:val="0"/>
          <w:iCs w:val="0"/>
          <w:color w:val="000000" w:themeColor="text1"/>
          <w:sz w:val="24"/>
          <w:szCs w:val="24"/>
          <w:lang w:val="en-GB"/>
        </w:rPr>
        <w:t>edge-wise</w:t>
      </w:r>
      <w:proofErr w:type="gramEnd"/>
      <w:r w:rsidRPr="007061DD">
        <w:rPr>
          <w:rFonts w:ascii="Times New Roman" w:hAnsi="Times New Roman" w:cs="Times New Roman"/>
          <w:i w:val="0"/>
          <w:iCs w:val="0"/>
          <w:color w:val="000000" w:themeColor="text1"/>
          <w:sz w:val="24"/>
          <w:szCs w:val="24"/>
          <w:lang w:val="en-GB"/>
        </w:rPr>
        <w:t xml:space="preserve"> division by the </w:t>
      </w:r>
      <w:proofErr w:type="spellStart"/>
      <w:r w:rsidRPr="007061DD">
        <w:rPr>
          <w:rFonts w:ascii="Times New Roman" w:hAnsi="Times New Roman" w:cs="Times New Roman"/>
          <w:i w:val="0"/>
          <w:iCs w:val="0"/>
          <w:color w:val="000000" w:themeColor="text1"/>
          <w:sz w:val="24"/>
          <w:szCs w:val="24"/>
          <w:lang w:val="en-GB"/>
        </w:rPr>
        <w:t>Frobenius</w:t>
      </w:r>
      <w:proofErr w:type="spellEnd"/>
      <w:r w:rsidRPr="007061DD">
        <w:rPr>
          <w:rFonts w:ascii="Times New Roman" w:hAnsi="Times New Roman" w:cs="Times New Roman"/>
          <w:i w:val="0"/>
          <w:iCs w:val="0"/>
          <w:color w:val="000000" w:themeColor="text1"/>
          <w:sz w:val="24"/>
          <w:szCs w:val="24"/>
          <w:lang w:val="en-GB"/>
        </w:rPr>
        <w:t xml:space="preserve"> norm) before averaging to enhance visualization.</w:t>
      </w:r>
    </w:p>
    <w:p w14:paraId="6F6827AA" w14:textId="77777777" w:rsidR="00DB7CD8" w:rsidRPr="00DB7CD8" w:rsidRDefault="00DB7CD8" w:rsidP="00DB7CD8">
      <w:pPr>
        <w:rPr>
          <w:lang w:val="en-GB"/>
        </w:rPr>
      </w:pPr>
    </w:p>
    <w:p w14:paraId="5874C1DB" w14:textId="77777777" w:rsidR="0003347F" w:rsidRPr="007061DD" w:rsidRDefault="0003347F"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drawing>
          <wp:inline distT="0" distB="0" distL="0" distR="0" wp14:anchorId="5CC30AE7" wp14:editId="50C6CBCA">
            <wp:extent cx="4476044" cy="3098800"/>
            <wp:effectExtent l="0" t="0" r="0" b="0"/>
            <wp:docPr id="214453963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39630" name="Immagine 21445396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94520" cy="3111591"/>
                    </a:xfrm>
                    <a:prstGeom prst="rect">
                      <a:avLst/>
                    </a:prstGeom>
                  </pic:spPr>
                </pic:pic>
              </a:graphicData>
            </a:graphic>
          </wp:inline>
        </w:drawing>
      </w:r>
    </w:p>
    <w:p w14:paraId="3FE19DBC" w14:textId="2DB577FD" w:rsidR="00F21A79" w:rsidRPr="007061DD" w:rsidRDefault="0003347F" w:rsidP="00DC0ED9">
      <w:pPr>
        <w:pStyle w:val="Caption"/>
        <w:spacing w:after="0" w:line="360" w:lineRule="auto"/>
        <w:jc w:val="both"/>
        <w:rPr>
          <w:rFonts w:ascii="Times New Roman" w:hAnsi="Times New Roman" w:cs="Times New Roman"/>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3</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Scatter plots representing original vs test latent scores from the 7-fold cross-validation procedure.</w:t>
      </w:r>
      <w:r w:rsidRPr="007061DD">
        <w:rPr>
          <w:rFonts w:ascii="Times New Roman" w:hAnsi="Times New Roman" w:cs="Times New Roman"/>
          <w:i w:val="0"/>
          <w:iCs w:val="0"/>
          <w:color w:val="000000" w:themeColor="text1"/>
          <w:sz w:val="24"/>
          <w:szCs w:val="24"/>
        </w:rPr>
        <w:t xml:space="preserve"> For each possible coupling pair</w:t>
      </w:r>
      <w:r w:rsidR="005B13A4" w:rsidRPr="007061DD">
        <w:rPr>
          <w:rFonts w:ascii="Times New Roman" w:hAnsi="Times New Roman" w:cs="Times New Roman"/>
          <w:i w:val="0"/>
          <w:iCs w:val="0"/>
          <w:color w:val="000000" w:themeColor="text1"/>
          <w:sz w:val="24"/>
          <w:szCs w:val="24"/>
        </w:rPr>
        <w:t>,</w:t>
      </w:r>
      <w:r w:rsidRPr="007061DD">
        <w:rPr>
          <w:rFonts w:ascii="Times New Roman" w:hAnsi="Times New Roman" w:cs="Times New Roman"/>
          <w:i w:val="0"/>
          <w:iCs w:val="0"/>
          <w:color w:val="000000" w:themeColor="text1"/>
          <w:sz w:val="24"/>
          <w:szCs w:val="24"/>
        </w:rPr>
        <w:t xml:space="preserve"> X are effective features, while Y metabolic features latent scores. Pearson’s correlations between original and test latent scores are reported in </w:t>
      </w:r>
      <w:r w:rsidRPr="007061DD">
        <w:rPr>
          <w:rFonts w:ascii="Times New Roman" w:hAnsi="Times New Roman" w:cs="Times New Roman"/>
          <w:b/>
          <w:bCs/>
          <w:i w:val="0"/>
          <w:iCs w:val="0"/>
          <w:color w:val="000000" w:themeColor="text1"/>
          <w:sz w:val="24"/>
          <w:szCs w:val="24"/>
        </w:rPr>
        <w:t>Supplementary Table 2</w:t>
      </w:r>
      <w:r w:rsidRPr="007061DD">
        <w:rPr>
          <w:rFonts w:ascii="Times New Roman" w:hAnsi="Times New Roman" w:cs="Times New Roman"/>
          <w:i w:val="0"/>
          <w:iCs w:val="0"/>
          <w:color w:val="000000" w:themeColor="text1"/>
          <w:sz w:val="24"/>
          <w:szCs w:val="24"/>
        </w:rPr>
        <w:t>. In the case of generalizable PLSC pattern, one expects that original and test latent scores align along the identity line (i.e., correlation greater than 0.5).</w:t>
      </w:r>
    </w:p>
    <w:p w14:paraId="02015C5A" w14:textId="77777777" w:rsidR="00157F2F" w:rsidRPr="007061DD" w:rsidRDefault="00157F2F"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37F14388" wp14:editId="473B9A90">
            <wp:extent cx="4612193" cy="2216069"/>
            <wp:effectExtent l="0" t="0" r="0" b="0"/>
            <wp:docPr id="1971050881" name="Immagine 4" descr="Immagine che contiene testo, schermata, Blu elettrico, cerch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50881" name="Immagine 4" descr="Immagine che contiene testo, schermata, Blu elettrico, cerchio&#10;&#10;Descrizione generat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1912" cy="2225543"/>
                    </a:xfrm>
                    <a:prstGeom prst="rect">
                      <a:avLst/>
                    </a:prstGeom>
                  </pic:spPr>
                </pic:pic>
              </a:graphicData>
            </a:graphic>
          </wp:inline>
        </w:drawing>
      </w:r>
    </w:p>
    <w:p w14:paraId="0C5DF839" w14:textId="78F45CF6" w:rsidR="00345883" w:rsidRPr="007061DD" w:rsidRDefault="00157F2F" w:rsidP="00DC0ED9">
      <w:pPr>
        <w:pStyle w:val="Caption"/>
        <w:spacing w:after="0" w:line="360" w:lineRule="auto"/>
        <w:jc w:val="both"/>
        <w:rPr>
          <w:rFonts w:ascii="Times New Roman" w:hAnsi="Times New Roman" w:cs="Times New Roman"/>
          <w:i w:val="0"/>
          <w:iCs w:val="0"/>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4</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Tumor and lesion frequency topography across patients.</w:t>
      </w:r>
      <w:r w:rsidRPr="007061DD">
        <w:rPr>
          <w:rFonts w:ascii="Times New Roman" w:hAnsi="Times New Roman" w:cs="Times New Roman"/>
          <w:i w:val="0"/>
          <w:iCs w:val="0"/>
          <w:color w:val="000000" w:themeColor="text1"/>
          <w:sz w:val="24"/>
          <w:szCs w:val="24"/>
        </w:rPr>
        <w:t xml:space="preserve"> Frequency maps showcasing tumor TM (left panel) and lesion TM+</w:t>
      </w:r>
      <w:r w:rsidR="003B6CCD" w:rsidRPr="007061DD">
        <w:rPr>
          <w:rFonts w:ascii="Times New Roman" w:hAnsi="Times New Roman" w:cs="Times New Roman"/>
          <w:i w:val="0"/>
          <w:iCs w:val="0"/>
          <w:color w:val="000000" w:themeColor="text1"/>
          <w:sz w:val="24"/>
          <w:szCs w:val="24"/>
        </w:rPr>
        <w:t>E</w:t>
      </w:r>
      <w:r w:rsidRPr="007061DD">
        <w:rPr>
          <w:rFonts w:ascii="Times New Roman" w:hAnsi="Times New Roman" w:cs="Times New Roman"/>
          <w:i w:val="0"/>
          <w:iCs w:val="0"/>
          <w:color w:val="000000" w:themeColor="text1"/>
          <w:sz w:val="24"/>
          <w:szCs w:val="24"/>
        </w:rPr>
        <w:t xml:space="preserve"> (right panel) for 43 patients. The left panel focuses solely on the tumor core and necrosis, while the right panel encompasses all lesion areas. Each representative frequency map is generated by overlaying individual binary masks and normalizing by the sample size. Notably, the frequency maps reveal a sparse distribution, with tumors primarily affecting the right frontal and temporal lobes. Spatial overlap is limited, with a maximum overlapping value of 19%.</w:t>
      </w:r>
    </w:p>
    <w:p w14:paraId="57CCDF74" w14:textId="77777777" w:rsidR="003822F9" w:rsidRPr="007061DD" w:rsidRDefault="003822F9" w:rsidP="00DC0ED9">
      <w:pPr>
        <w:spacing w:after="0" w:line="360" w:lineRule="auto"/>
        <w:rPr>
          <w:rFonts w:ascii="Times New Roman" w:hAnsi="Times New Roman" w:cs="Times New Roman"/>
        </w:rPr>
      </w:pPr>
    </w:p>
    <w:p w14:paraId="7F4033BA" w14:textId="77777777" w:rsidR="003822F9" w:rsidRPr="007061DD" w:rsidRDefault="003822F9"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79013377" wp14:editId="69565D06">
            <wp:extent cx="4572000" cy="3759200"/>
            <wp:effectExtent l="0" t="0" r="0" b="0"/>
            <wp:docPr id="193055401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554016" name="Immagine 19305540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3759200"/>
                    </a:xfrm>
                    <a:prstGeom prst="rect">
                      <a:avLst/>
                    </a:prstGeom>
                  </pic:spPr>
                </pic:pic>
              </a:graphicData>
            </a:graphic>
          </wp:inline>
        </w:drawing>
      </w:r>
    </w:p>
    <w:p w14:paraId="2206838C" w14:textId="5EC0E7B3" w:rsidR="00FD0AB3" w:rsidRPr="007061DD" w:rsidRDefault="003822F9" w:rsidP="00DC0ED9">
      <w:pPr>
        <w:pStyle w:val="Caption"/>
        <w:spacing w:after="0" w:line="360" w:lineRule="auto"/>
        <w:jc w:val="both"/>
        <w:rPr>
          <w:rFonts w:ascii="Times New Roman" w:hAnsi="Times New Roman" w:cs="Times New Roman"/>
          <w:i w:val="0"/>
          <w:iCs w:val="0"/>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5</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b/>
          <w:bCs/>
          <w:i w:val="0"/>
          <w:iCs w:val="0"/>
          <w:color w:val="000000" w:themeColor="text1"/>
          <w:sz w:val="24"/>
          <w:szCs w:val="24"/>
        </w:rPr>
        <w:t xml:space="preserve"> </w:t>
      </w:r>
      <m:oMath>
        <m:acc>
          <m:accPr>
            <m:ctrlPr>
              <w:rPr>
                <w:rFonts w:ascii="Cambria Math" w:hAnsi="Cambria Math" w:cs="Times New Roman"/>
                <w:b/>
                <w:bCs/>
                <w:i w:val="0"/>
                <w:iCs w:val="0"/>
                <w:color w:val="000000" w:themeColor="text1"/>
                <w:sz w:val="24"/>
                <w:szCs w:val="24"/>
                <w:lang w:val="en-GB"/>
              </w:rPr>
            </m:ctrlPr>
          </m:accPr>
          <m:e>
            <m:r>
              <m:rPr>
                <m:nor/>
              </m:rPr>
              <w:rPr>
                <w:rFonts w:ascii="Times New Roman" w:hAnsi="Times New Roman" w:cs="Times New Roman"/>
                <w:b/>
                <w:bCs/>
                <w:i w:val="0"/>
                <w:iCs w:val="0"/>
                <w:color w:val="000000" w:themeColor="text1"/>
                <w:sz w:val="24"/>
                <w:szCs w:val="24"/>
                <w:lang w:val="en-GB"/>
              </w:rPr>
              <m:t>FC</m:t>
            </m:r>
          </m:e>
        </m:acc>
      </m:oMath>
      <w:r w:rsidR="0031565B" w:rsidRPr="007061DD">
        <w:rPr>
          <w:rFonts w:ascii="Times New Roman" w:hAnsi="Times New Roman" w:cs="Times New Roman"/>
          <w:b/>
          <w:bCs/>
          <w:i w:val="0"/>
          <w:iCs w:val="0"/>
          <w:color w:val="000000" w:themeColor="text1"/>
          <w:sz w:val="24"/>
          <w:szCs w:val="24"/>
          <w:lang w:val="en-GB"/>
        </w:rPr>
        <w:t xml:space="preserve">–MC </w:t>
      </w:r>
      <w:r w:rsidR="002C6B67" w:rsidRPr="007061DD">
        <w:rPr>
          <w:rFonts w:ascii="Times New Roman" w:hAnsi="Times New Roman" w:cs="Times New Roman"/>
          <w:b/>
          <w:bCs/>
          <w:i w:val="0"/>
          <w:iCs w:val="0"/>
          <w:color w:val="000000" w:themeColor="text1"/>
          <w:sz w:val="24"/>
          <w:szCs w:val="24"/>
          <w:lang w:val="en-GB"/>
        </w:rPr>
        <w:t>PLSC salience and loading</w:t>
      </w:r>
      <w:r w:rsidR="00FB3BCC" w:rsidRPr="007061DD">
        <w:rPr>
          <w:rFonts w:ascii="Times New Roman" w:hAnsi="Times New Roman" w:cs="Times New Roman"/>
          <w:b/>
          <w:bCs/>
          <w:i w:val="0"/>
          <w:iCs w:val="0"/>
          <w:color w:val="000000" w:themeColor="text1"/>
          <w:sz w:val="24"/>
          <w:szCs w:val="24"/>
          <w:lang w:val="en-GB"/>
        </w:rPr>
        <w:t xml:space="preserve"> entries matrices</w:t>
      </w:r>
      <w:r w:rsidR="002C6B67" w:rsidRPr="007061DD">
        <w:rPr>
          <w:rFonts w:ascii="Times New Roman" w:hAnsi="Times New Roman" w:cs="Times New Roman"/>
          <w:b/>
          <w:bCs/>
          <w:i w:val="0"/>
          <w:iCs w:val="0"/>
          <w:color w:val="000000" w:themeColor="text1"/>
          <w:sz w:val="24"/>
          <w:szCs w:val="24"/>
          <w:lang w:val="en-GB"/>
        </w:rPr>
        <w:t xml:space="preserve">. </w:t>
      </w:r>
      <w:r w:rsidR="002C6B67" w:rsidRPr="007061DD">
        <w:rPr>
          <w:rFonts w:ascii="Times New Roman" w:hAnsi="Times New Roman" w:cs="Times New Roman"/>
          <w:i w:val="0"/>
          <w:iCs w:val="0"/>
          <w:color w:val="000000" w:themeColor="text1"/>
          <w:sz w:val="24"/>
          <w:szCs w:val="24"/>
          <w:lang w:val="en-GB"/>
        </w:rPr>
        <w:t>(</w:t>
      </w:r>
      <w:r w:rsidR="002C6B67" w:rsidRPr="007061DD">
        <w:rPr>
          <w:rFonts w:ascii="Times New Roman" w:hAnsi="Times New Roman" w:cs="Times New Roman"/>
          <w:b/>
          <w:bCs/>
          <w:i w:val="0"/>
          <w:iCs w:val="0"/>
          <w:color w:val="000000" w:themeColor="text1"/>
          <w:sz w:val="24"/>
          <w:szCs w:val="24"/>
          <w:lang w:val="en-GB"/>
        </w:rPr>
        <w:t>a</w:t>
      </w:r>
      <w:r w:rsidR="002C6B67" w:rsidRPr="007061DD">
        <w:rPr>
          <w:rFonts w:ascii="Times New Roman" w:hAnsi="Times New Roman" w:cs="Times New Roman"/>
          <w:i w:val="0"/>
          <w:iCs w:val="0"/>
          <w:color w:val="000000" w:themeColor="text1"/>
          <w:sz w:val="24"/>
          <w:szCs w:val="24"/>
          <w:lang w:val="en-GB"/>
        </w:rPr>
        <w:t>)</w:t>
      </w:r>
      <w:r w:rsidR="00906B39" w:rsidRPr="007061DD">
        <w:rPr>
          <w:rFonts w:ascii="Times New Roman" w:hAnsi="Times New Roman" w:cs="Times New Roman"/>
          <w:i w:val="0"/>
          <w:iCs w:val="0"/>
          <w:color w:val="000000" w:themeColor="text1"/>
          <w:sz w:val="24"/>
          <w:szCs w:val="24"/>
          <w:lang w:val="en-GB"/>
        </w:rPr>
        <w:t xml:space="preserve"> </w:t>
      </w:r>
      <m:oMath>
        <m:acc>
          <m:accPr>
            <m:ctrlPr>
              <w:rPr>
                <w:rFonts w:ascii="Cambria Math" w:hAnsi="Cambria Math" w:cs="Times New Roman"/>
                <w:i w:val="0"/>
                <w:color w:val="auto"/>
                <w:sz w:val="24"/>
                <w:szCs w:val="24"/>
                <w:lang w:val="en-GB"/>
              </w:rPr>
            </m:ctrlPr>
          </m:accPr>
          <m:e>
            <m:r>
              <m:rPr>
                <m:nor/>
              </m:rPr>
              <w:rPr>
                <w:rFonts w:ascii="Times New Roman" w:hAnsi="Times New Roman" w:cs="Times New Roman"/>
                <w:i w:val="0"/>
                <w:sz w:val="24"/>
                <w:szCs w:val="24"/>
                <w:lang w:val="en-GB"/>
              </w:rPr>
              <m:t>FC</m:t>
            </m:r>
          </m:e>
        </m:acc>
      </m:oMath>
      <w:r w:rsidR="00906B39" w:rsidRPr="007061DD">
        <w:rPr>
          <w:rFonts w:ascii="Times New Roman" w:hAnsi="Times New Roman" w:cs="Times New Roman"/>
          <w:i w:val="0"/>
          <w:iCs w:val="0"/>
          <w:color w:val="000000" w:themeColor="text1"/>
          <w:sz w:val="24"/>
          <w:szCs w:val="24"/>
        </w:rPr>
        <w:t xml:space="preserve"> and MC salience pattern</w:t>
      </w:r>
      <w:r w:rsidR="00FD0AB3" w:rsidRPr="007061DD">
        <w:rPr>
          <w:rFonts w:ascii="Times New Roman" w:hAnsi="Times New Roman" w:cs="Times New Roman"/>
          <w:i w:val="0"/>
          <w:iCs w:val="0"/>
          <w:color w:val="000000" w:themeColor="text1"/>
          <w:sz w:val="24"/>
          <w:szCs w:val="24"/>
        </w:rPr>
        <w:t xml:space="preserve">. </w:t>
      </w:r>
      <w:r w:rsidR="00C03836" w:rsidRPr="007061DD">
        <w:rPr>
          <w:rFonts w:ascii="Times New Roman" w:hAnsi="Times New Roman" w:cs="Times New Roman"/>
          <w:i w:val="0"/>
          <w:iCs w:val="0"/>
          <w:color w:val="000000" w:themeColor="text1"/>
          <w:sz w:val="24"/>
          <w:szCs w:val="24"/>
        </w:rPr>
        <w:t>(</w:t>
      </w:r>
      <w:r w:rsidR="00C03836" w:rsidRPr="007061DD">
        <w:rPr>
          <w:rFonts w:ascii="Times New Roman" w:hAnsi="Times New Roman" w:cs="Times New Roman"/>
          <w:b/>
          <w:bCs/>
          <w:i w:val="0"/>
          <w:iCs w:val="0"/>
          <w:color w:val="000000" w:themeColor="text1"/>
          <w:sz w:val="24"/>
          <w:szCs w:val="24"/>
        </w:rPr>
        <w:t>b</w:t>
      </w:r>
      <w:r w:rsidR="00C03836" w:rsidRPr="007061DD">
        <w:rPr>
          <w:rFonts w:ascii="Times New Roman" w:hAnsi="Times New Roman" w:cs="Times New Roman"/>
          <w:i w:val="0"/>
          <w:iCs w:val="0"/>
          <w:color w:val="000000" w:themeColor="text1"/>
          <w:sz w:val="24"/>
          <w:szCs w:val="24"/>
        </w:rPr>
        <w:t xml:space="preserve">)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00460861" w:rsidRPr="007061DD">
        <w:rPr>
          <w:rFonts w:ascii="Times New Roman" w:hAnsi="Times New Roman" w:cs="Times New Roman"/>
          <w:i w:val="0"/>
          <w:iCs w:val="0"/>
          <w:color w:val="000000" w:themeColor="text1"/>
          <w:sz w:val="24"/>
          <w:szCs w:val="24"/>
        </w:rPr>
        <w:t xml:space="preserve"> and MC loading maps computed in the HC sample (upper triangular portions) and the group of outlier patients (lower triangular portion).</w:t>
      </w:r>
      <w:r w:rsidR="00547DCC" w:rsidRPr="007061DD">
        <w:rPr>
          <w:rFonts w:ascii="Times New Roman" w:hAnsi="Times New Roman" w:cs="Times New Roman"/>
          <w:i w:val="0"/>
          <w:iCs w:val="0"/>
          <w:color w:val="000000" w:themeColor="text1"/>
          <w:sz w:val="24"/>
          <w:szCs w:val="24"/>
        </w:rPr>
        <w:t xml:space="preserve"> </w:t>
      </w:r>
      <w:r w:rsidR="00FD0AB3" w:rsidRPr="007061DD">
        <w:rPr>
          <w:rFonts w:ascii="Times New Roman" w:hAnsi="Times New Roman" w:cs="Times New Roman"/>
          <w:i w:val="0"/>
          <w:iCs w:val="0"/>
          <w:color w:val="000000" w:themeColor="text1"/>
          <w:sz w:val="24"/>
          <w:szCs w:val="24"/>
        </w:rPr>
        <w:t>In both saliences and loadings, only the robust weight values are highlighted (i.e. entry-wise absolute bootstrap ratio &gt; 3).</w:t>
      </w:r>
    </w:p>
    <w:p w14:paraId="7017C03E" w14:textId="77777777" w:rsidR="005E229E" w:rsidRPr="007061DD" w:rsidRDefault="005E229E"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1B46B1BA" wp14:editId="68A3FD17">
            <wp:extent cx="5943600" cy="7315835"/>
            <wp:effectExtent l="0" t="0" r="0" b="0"/>
            <wp:docPr id="2737063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06373" name="Immagine 27370637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315835"/>
                    </a:xfrm>
                    <a:prstGeom prst="rect">
                      <a:avLst/>
                    </a:prstGeom>
                  </pic:spPr>
                </pic:pic>
              </a:graphicData>
            </a:graphic>
          </wp:inline>
        </w:drawing>
      </w:r>
    </w:p>
    <w:p w14:paraId="569C5217" w14:textId="372CABEA" w:rsidR="00E278AB" w:rsidRPr="007061DD" w:rsidRDefault="005E229E" w:rsidP="00DC0ED9">
      <w:pPr>
        <w:pStyle w:val="Caption"/>
        <w:spacing w:after="0" w:line="360" w:lineRule="auto"/>
        <w:jc w:val="both"/>
        <w:rPr>
          <w:rFonts w:ascii="Times New Roman" w:hAnsi="Times New Roman" w:cs="Times New Roman"/>
          <w:i w:val="0"/>
          <w:iCs w:val="0"/>
          <w:color w:val="000000" w:themeColor="text1"/>
          <w:sz w:val="24"/>
          <w:szCs w:val="24"/>
        </w:rPr>
      </w:pPr>
      <w:bookmarkStart w:id="0" w:name="_Ref177741007"/>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6</w:t>
      </w:r>
      <w:r w:rsidRPr="007061DD">
        <w:rPr>
          <w:rFonts w:ascii="Times New Roman" w:hAnsi="Times New Roman" w:cs="Times New Roman"/>
          <w:b/>
          <w:bCs/>
          <w:i w:val="0"/>
          <w:iCs w:val="0"/>
          <w:color w:val="000000" w:themeColor="text1"/>
          <w:sz w:val="24"/>
          <w:szCs w:val="24"/>
        </w:rPr>
        <w:fldChar w:fldCharType="end"/>
      </w:r>
      <w:bookmarkEnd w:id="0"/>
      <w:r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 xml:space="preserve">S-strength a SUVR values (z-scored with respect to healthy controls) for each outlier patient. </w:t>
      </w:r>
      <w:r w:rsidRPr="007061DD">
        <w:rPr>
          <w:rFonts w:ascii="Times New Roman" w:hAnsi="Times New Roman" w:cs="Times New Roman"/>
          <w:i w:val="0"/>
          <w:iCs w:val="0"/>
          <w:color w:val="000000" w:themeColor="text1"/>
          <w:sz w:val="24"/>
          <w:szCs w:val="24"/>
        </w:rPr>
        <w:t xml:space="preserve">S-strength values for each outlier patients are displayed in the upper panel, while the SUVR values are shown in the lower panel. Additionally, an axial slice indicating </w:t>
      </w:r>
      <w:r w:rsidRPr="007061DD">
        <w:rPr>
          <w:rFonts w:ascii="Times New Roman" w:hAnsi="Times New Roman" w:cs="Times New Roman"/>
          <w:i w:val="0"/>
          <w:iCs w:val="0"/>
          <w:color w:val="000000" w:themeColor="text1"/>
          <w:sz w:val="24"/>
          <w:szCs w:val="24"/>
        </w:rPr>
        <w:lastRenderedPageBreak/>
        <w:t xml:space="preserve">the lesion in red is provided. On the slice, the different RSNs are also highlighted in different colors. In both cases only the regions with a significance </w:t>
      </w:r>
      <w:r w:rsidR="00FD109A" w:rsidRPr="007061DD">
        <w:rPr>
          <w:rFonts w:ascii="Times New Roman" w:hAnsi="Times New Roman" w:cs="Times New Roman"/>
          <w:i w:val="0"/>
          <w:iCs w:val="0"/>
          <w:color w:val="000000" w:themeColor="text1"/>
          <w:sz w:val="24"/>
          <w:szCs w:val="24"/>
        </w:rPr>
        <w:t xml:space="preserve">PLSC </w:t>
      </w:r>
      <w:r w:rsidRPr="007061DD">
        <w:rPr>
          <w:rFonts w:ascii="Times New Roman" w:hAnsi="Times New Roman" w:cs="Times New Roman"/>
          <w:i w:val="0"/>
          <w:iCs w:val="0"/>
          <w:color w:val="000000" w:themeColor="text1"/>
          <w:sz w:val="24"/>
          <w:szCs w:val="24"/>
        </w:rPr>
        <w:t>salience are considered in each RSN.</w:t>
      </w:r>
    </w:p>
    <w:p w14:paraId="05FFD0E4" w14:textId="77777777" w:rsidR="00E502FE" w:rsidRPr="007061DD" w:rsidRDefault="00E502FE"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239C14B6" wp14:editId="11992822">
            <wp:extent cx="5937250" cy="8229600"/>
            <wp:effectExtent l="0" t="0" r="6350" b="0"/>
            <wp:docPr id="212660148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01486" name="Immagine 212660148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37250" cy="8229600"/>
                    </a:xfrm>
                    <a:prstGeom prst="rect">
                      <a:avLst/>
                    </a:prstGeom>
                  </pic:spPr>
                </pic:pic>
              </a:graphicData>
            </a:graphic>
          </wp:inline>
        </w:drawing>
      </w:r>
    </w:p>
    <w:p w14:paraId="216C8E8B" w14:textId="012D1553" w:rsidR="00156694" w:rsidRPr="007061DD" w:rsidRDefault="00E502FE" w:rsidP="00DC0ED9">
      <w:pPr>
        <w:pStyle w:val="Caption"/>
        <w:spacing w:after="0" w:line="360" w:lineRule="auto"/>
        <w:jc w:val="both"/>
        <w:rPr>
          <w:rFonts w:ascii="Times New Roman" w:hAnsi="Times New Roman" w:cs="Times New Roman"/>
          <w:color w:val="000000" w:themeColor="text1"/>
          <w:sz w:val="24"/>
          <w:szCs w:val="24"/>
        </w:rPr>
      </w:pPr>
      <w:bookmarkStart w:id="1" w:name="_Ref177741035"/>
      <w:r w:rsidRPr="007061DD">
        <w:rPr>
          <w:rFonts w:ascii="Times New Roman" w:hAnsi="Times New Roman" w:cs="Times New Roman"/>
          <w:b/>
          <w:bCs/>
          <w:i w:val="0"/>
          <w:iCs w:val="0"/>
          <w:color w:val="000000" w:themeColor="text1"/>
          <w:sz w:val="24"/>
          <w:szCs w:val="24"/>
        </w:rPr>
        <w:lastRenderedPageBreak/>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7</w:t>
      </w:r>
      <w:r w:rsidRPr="007061DD">
        <w:rPr>
          <w:rFonts w:ascii="Times New Roman" w:hAnsi="Times New Roman" w:cs="Times New Roman"/>
          <w:b/>
          <w:bCs/>
          <w:i w:val="0"/>
          <w:iCs w:val="0"/>
          <w:color w:val="000000" w:themeColor="text1"/>
          <w:sz w:val="24"/>
          <w:szCs w:val="24"/>
        </w:rPr>
        <w:fldChar w:fldCharType="end"/>
      </w:r>
      <w:bookmarkEnd w:id="1"/>
      <w:r w:rsidRPr="007061DD">
        <w:rPr>
          <w:rFonts w:ascii="Times New Roman" w:hAnsi="Times New Roman" w:cs="Times New Roman"/>
          <w:color w:val="000000" w:themeColor="text1"/>
          <w:sz w:val="24"/>
          <w:szCs w:val="24"/>
        </w:rPr>
        <w:t xml:space="preserve"> </w:t>
      </w:r>
      <m:oMath>
        <m:acc>
          <m:accPr>
            <m:ctrlPr>
              <w:rPr>
                <w:rFonts w:ascii="Cambria Math" w:hAnsi="Cambria Math" w:cs="Times New Roman"/>
                <w:b/>
                <w:bCs/>
                <w:i w:val="0"/>
                <w:iCs w:val="0"/>
                <w:color w:val="000000" w:themeColor="text1"/>
                <w:sz w:val="24"/>
                <w:szCs w:val="24"/>
                <w:lang w:val="en-GB"/>
              </w:rPr>
            </m:ctrlPr>
          </m:accPr>
          <m:e>
            <m:r>
              <m:rPr>
                <m:nor/>
              </m:rPr>
              <w:rPr>
                <w:rFonts w:ascii="Times New Roman" w:hAnsi="Times New Roman" w:cs="Times New Roman"/>
                <w:b/>
                <w:bCs/>
                <w:i w:val="0"/>
                <w:iCs w:val="0"/>
                <w:color w:val="000000" w:themeColor="text1"/>
                <w:sz w:val="24"/>
                <w:szCs w:val="24"/>
                <w:lang w:val="en-GB"/>
              </w:rPr>
              <m:t>FC</m:t>
            </m:r>
          </m:e>
        </m:acc>
      </m:oMath>
      <w:r w:rsidRPr="007061DD">
        <w:rPr>
          <w:rFonts w:ascii="Times New Roman" w:hAnsi="Times New Roman" w:cs="Times New Roman"/>
          <w:b/>
          <w:bCs/>
          <w:i w:val="0"/>
          <w:iCs w:val="0"/>
          <w:color w:val="000000" w:themeColor="text1"/>
          <w:sz w:val="24"/>
          <w:szCs w:val="24"/>
        </w:rPr>
        <w:t xml:space="preserve"> a</w:t>
      </w:r>
      <w:r w:rsidR="0011303E" w:rsidRPr="007061DD">
        <w:rPr>
          <w:rFonts w:ascii="Times New Roman" w:hAnsi="Times New Roman" w:cs="Times New Roman"/>
          <w:b/>
          <w:bCs/>
          <w:i w:val="0"/>
          <w:iCs w:val="0"/>
          <w:color w:val="000000" w:themeColor="text1"/>
          <w:sz w:val="24"/>
          <w:szCs w:val="24"/>
        </w:rPr>
        <w:t>nd</w:t>
      </w:r>
      <w:r w:rsidRPr="007061DD">
        <w:rPr>
          <w:rFonts w:ascii="Times New Roman" w:hAnsi="Times New Roman" w:cs="Times New Roman"/>
          <w:b/>
          <w:bCs/>
          <w:i w:val="0"/>
          <w:iCs w:val="0"/>
          <w:color w:val="000000" w:themeColor="text1"/>
          <w:sz w:val="24"/>
          <w:szCs w:val="24"/>
        </w:rPr>
        <w:t xml:space="preserve"> MC matrices (z-scored with respect to healthy controls) for each out</w:t>
      </w:r>
      <w:r w:rsidR="007079F1" w:rsidRPr="007061DD">
        <w:rPr>
          <w:rFonts w:ascii="Times New Roman" w:hAnsi="Times New Roman" w:cs="Times New Roman"/>
          <w:b/>
          <w:bCs/>
          <w:i w:val="0"/>
          <w:iCs w:val="0"/>
          <w:color w:val="000000" w:themeColor="text1"/>
          <w:sz w:val="24"/>
          <w:szCs w:val="24"/>
        </w:rPr>
        <w:t xml:space="preserve">lier </w:t>
      </w:r>
      <w:r w:rsidRPr="007061DD">
        <w:rPr>
          <w:rFonts w:ascii="Times New Roman" w:hAnsi="Times New Roman" w:cs="Times New Roman"/>
          <w:b/>
          <w:bCs/>
          <w:i w:val="0"/>
          <w:iCs w:val="0"/>
          <w:color w:val="000000" w:themeColor="text1"/>
          <w:sz w:val="24"/>
          <w:szCs w:val="24"/>
        </w:rPr>
        <w:t xml:space="preserve">patient. </w:t>
      </w:r>
      <w:r w:rsidRPr="007061DD">
        <w:rPr>
          <w:rFonts w:ascii="Times New Roman" w:hAnsi="Times New Roman" w:cs="Times New Roman"/>
          <w:i w:val="0"/>
          <w:iCs w:val="0"/>
          <w:color w:val="000000" w:themeColor="text1"/>
          <w:sz w:val="24"/>
          <w:szCs w:val="24"/>
        </w:rPr>
        <w:t xml:space="preserve">The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008F6D6D" w:rsidRPr="007061DD">
        <w:rPr>
          <w:rFonts w:ascii="Times New Roman" w:hAnsi="Times New Roman" w:cs="Times New Roman"/>
          <w:i w:val="0"/>
          <w:iCs w:val="0"/>
          <w:color w:val="000000" w:themeColor="text1"/>
          <w:sz w:val="24"/>
          <w:szCs w:val="24"/>
        </w:rPr>
        <w:t xml:space="preserve"> </w:t>
      </w:r>
      <w:r w:rsidRPr="007061DD">
        <w:rPr>
          <w:rFonts w:ascii="Times New Roman" w:hAnsi="Times New Roman" w:cs="Times New Roman"/>
          <w:i w:val="0"/>
          <w:iCs w:val="0"/>
          <w:color w:val="000000" w:themeColor="text1"/>
          <w:sz w:val="24"/>
          <w:szCs w:val="24"/>
        </w:rPr>
        <w:t>matrix is displayed in the upper part, while the MC matrix is shown in the lower part. Additionally, an axial slice indicating the lesion in red is provided. On the slice, the different RSNs are also highlighted in different colors (see</w:t>
      </w:r>
      <w:r w:rsidR="00C12846" w:rsidRPr="007061DD">
        <w:rPr>
          <w:rFonts w:ascii="Times New Roman" w:hAnsi="Times New Roman" w:cs="Times New Roman"/>
          <w:b/>
          <w:bCs/>
          <w:i w:val="0"/>
          <w:iCs w:val="0"/>
          <w:color w:val="000000" w:themeColor="text1"/>
          <w:sz w:val="24"/>
          <w:szCs w:val="24"/>
        </w:rPr>
        <w:t xml:space="preserve"> </w:t>
      </w:r>
      <w:r w:rsidR="00C12846" w:rsidRPr="007061DD">
        <w:rPr>
          <w:rFonts w:ascii="Times New Roman" w:hAnsi="Times New Roman" w:cs="Times New Roman"/>
          <w:b/>
          <w:bCs/>
          <w:i w:val="0"/>
          <w:iCs w:val="0"/>
          <w:color w:val="000000" w:themeColor="text1"/>
          <w:sz w:val="24"/>
          <w:szCs w:val="24"/>
        </w:rPr>
        <w:fldChar w:fldCharType="begin"/>
      </w:r>
      <w:r w:rsidR="00C12846" w:rsidRPr="007061DD">
        <w:rPr>
          <w:rFonts w:ascii="Times New Roman" w:hAnsi="Times New Roman" w:cs="Times New Roman"/>
          <w:b/>
          <w:bCs/>
          <w:i w:val="0"/>
          <w:iCs w:val="0"/>
          <w:color w:val="000000" w:themeColor="text1"/>
          <w:sz w:val="24"/>
          <w:szCs w:val="24"/>
        </w:rPr>
        <w:instrText xml:space="preserve"> REF _Ref177741007 \h </w:instrText>
      </w:r>
      <w:r w:rsidR="00B133F7" w:rsidRPr="007061DD">
        <w:rPr>
          <w:rFonts w:ascii="Times New Roman" w:hAnsi="Times New Roman" w:cs="Times New Roman"/>
          <w:b/>
          <w:bCs/>
          <w:i w:val="0"/>
          <w:iCs w:val="0"/>
          <w:color w:val="000000" w:themeColor="text1"/>
          <w:sz w:val="24"/>
          <w:szCs w:val="24"/>
        </w:rPr>
        <w:instrText xml:space="preserve"> \* MERGEFORMAT </w:instrText>
      </w:r>
      <w:r w:rsidR="00C12846" w:rsidRPr="007061DD">
        <w:rPr>
          <w:rFonts w:ascii="Times New Roman" w:hAnsi="Times New Roman" w:cs="Times New Roman"/>
          <w:b/>
          <w:bCs/>
          <w:i w:val="0"/>
          <w:iCs w:val="0"/>
          <w:color w:val="000000" w:themeColor="text1"/>
          <w:sz w:val="24"/>
          <w:szCs w:val="24"/>
        </w:rPr>
      </w:r>
      <w:r w:rsidR="00C12846" w:rsidRPr="007061DD">
        <w:rPr>
          <w:rFonts w:ascii="Times New Roman" w:hAnsi="Times New Roman" w:cs="Times New Roman"/>
          <w:b/>
          <w:bCs/>
          <w:i w:val="0"/>
          <w:iCs w:val="0"/>
          <w:color w:val="000000" w:themeColor="text1"/>
          <w:sz w:val="24"/>
          <w:szCs w:val="24"/>
        </w:rPr>
        <w:fldChar w:fldCharType="separate"/>
      </w:r>
      <w:r w:rsidR="00C12846" w:rsidRPr="007061DD">
        <w:rPr>
          <w:rFonts w:ascii="Times New Roman" w:hAnsi="Times New Roman" w:cs="Times New Roman"/>
          <w:b/>
          <w:bCs/>
          <w:i w:val="0"/>
          <w:iCs w:val="0"/>
          <w:color w:val="000000" w:themeColor="text1"/>
          <w:sz w:val="24"/>
          <w:szCs w:val="24"/>
        </w:rPr>
        <w:t xml:space="preserve">Supplementary Fig. </w:t>
      </w:r>
      <w:r w:rsidR="00C12846" w:rsidRPr="007061DD">
        <w:rPr>
          <w:rFonts w:ascii="Times New Roman" w:hAnsi="Times New Roman" w:cs="Times New Roman"/>
          <w:b/>
          <w:bCs/>
          <w:i w:val="0"/>
          <w:iCs w:val="0"/>
          <w:noProof/>
          <w:color w:val="000000" w:themeColor="text1"/>
          <w:sz w:val="24"/>
          <w:szCs w:val="24"/>
        </w:rPr>
        <w:t>6</w:t>
      </w:r>
      <w:r w:rsidR="00C12846"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i w:val="0"/>
          <w:iCs w:val="0"/>
          <w:color w:val="000000" w:themeColor="text1"/>
          <w:sz w:val="24"/>
          <w:szCs w:val="24"/>
        </w:rPr>
        <w:t>). In both cases, the matrices are block-structured, and the average value in each block is reported, considering only the entries with significant salience.</w:t>
      </w:r>
    </w:p>
    <w:p w14:paraId="6BF2E13E" w14:textId="77777777" w:rsidR="00D76497" w:rsidRPr="007061DD" w:rsidRDefault="00D76497" w:rsidP="00DC0ED9">
      <w:pPr>
        <w:spacing w:after="0" w:line="360" w:lineRule="auto"/>
        <w:rPr>
          <w:rFonts w:ascii="Times New Roman" w:hAnsi="Times New Roman" w:cs="Times New Roman"/>
        </w:rPr>
      </w:pPr>
    </w:p>
    <w:p w14:paraId="0B839614" w14:textId="77777777" w:rsidR="00E502FE" w:rsidRPr="007061DD" w:rsidRDefault="00E502FE" w:rsidP="00DC0ED9">
      <w:pPr>
        <w:spacing w:after="0" w:line="360" w:lineRule="auto"/>
        <w:rPr>
          <w:rFonts w:ascii="Times New Roman" w:hAnsi="Times New Roman" w:cs="Times New Roman"/>
        </w:rPr>
      </w:pPr>
    </w:p>
    <w:p w14:paraId="5378D92D" w14:textId="77777777" w:rsidR="008B7728" w:rsidRPr="007061DD" w:rsidRDefault="008B7728"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2AE918B1" wp14:editId="53F02347">
            <wp:extent cx="5842000" cy="6210300"/>
            <wp:effectExtent l="0" t="0" r="0" b="0"/>
            <wp:docPr id="2189614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961498" name="Immagine 21896149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2000" cy="6210300"/>
                    </a:xfrm>
                    <a:prstGeom prst="rect">
                      <a:avLst/>
                    </a:prstGeom>
                  </pic:spPr>
                </pic:pic>
              </a:graphicData>
            </a:graphic>
          </wp:inline>
        </w:drawing>
      </w:r>
    </w:p>
    <w:p w14:paraId="5D36DB89" w14:textId="06392BF5" w:rsidR="008B7728" w:rsidRPr="007061DD" w:rsidRDefault="008B7728" w:rsidP="00DC0ED9">
      <w:pPr>
        <w:pStyle w:val="Caption"/>
        <w:spacing w:after="0" w:line="360" w:lineRule="auto"/>
        <w:jc w:val="both"/>
        <w:rPr>
          <w:rFonts w:ascii="Times New Roman" w:hAnsi="Times New Roman" w:cs="Times New Roman"/>
          <w:i w:val="0"/>
          <w:iCs w:val="0"/>
          <w:color w:val="000000" w:themeColor="text1"/>
          <w:sz w:val="24"/>
          <w:szCs w:val="24"/>
        </w:rPr>
      </w:pPr>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8</w:t>
      </w:r>
      <w:r w:rsidRPr="007061DD">
        <w:rPr>
          <w:rFonts w:ascii="Times New Roman" w:hAnsi="Times New Roman" w:cs="Times New Roman"/>
          <w:b/>
          <w:bCs/>
          <w:i w:val="0"/>
          <w:iCs w:val="0"/>
          <w:color w:val="000000" w:themeColor="text1"/>
          <w:sz w:val="24"/>
          <w:szCs w:val="24"/>
        </w:rPr>
        <w:fldChar w:fldCharType="end"/>
      </w:r>
      <w:r w:rsidRPr="007061DD">
        <w:rPr>
          <w:rFonts w:ascii="Times New Roman" w:hAnsi="Times New Roman" w:cs="Times New Roman"/>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For each tract, calculated the percentage of outlier patients and pseudo-</w:t>
      </w:r>
      <w:r w:rsidR="00112760">
        <w:rPr>
          <w:rFonts w:ascii="Times New Roman" w:hAnsi="Times New Roman" w:cs="Times New Roman"/>
          <w:b/>
          <w:bCs/>
          <w:i w:val="0"/>
          <w:iCs w:val="0"/>
          <w:color w:val="000000" w:themeColor="text1"/>
          <w:sz w:val="24"/>
          <w:szCs w:val="24"/>
        </w:rPr>
        <w:t>healthy</w:t>
      </w:r>
      <w:r w:rsidRPr="007061DD">
        <w:rPr>
          <w:rFonts w:ascii="Times New Roman" w:hAnsi="Times New Roman" w:cs="Times New Roman"/>
          <w:b/>
          <w:bCs/>
          <w:i w:val="0"/>
          <w:iCs w:val="0"/>
          <w:color w:val="000000" w:themeColor="text1"/>
          <w:sz w:val="24"/>
          <w:szCs w:val="24"/>
        </w:rPr>
        <w:t xml:space="preserve"> patients with the specific tract involved. </w:t>
      </w:r>
      <w:r w:rsidRPr="007061DD">
        <w:rPr>
          <w:rFonts w:ascii="Times New Roman" w:hAnsi="Times New Roman" w:cs="Times New Roman"/>
          <w:i w:val="0"/>
          <w:iCs w:val="0"/>
          <w:color w:val="000000" w:themeColor="text1"/>
          <w:sz w:val="24"/>
          <w:szCs w:val="24"/>
        </w:rPr>
        <w:t>(</w:t>
      </w:r>
      <w:r w:rsidRPr="007061DD">
        <w:rPr>
          <w:rFonts w:ascii="Times New Roman" w:hAnsi="Times New Roman" w:cs="Times New Roman"/>
          <w:color w:val="000000" w:themeColor="text1"/>
          <w:sz w:val="24"/>
          <w:szCs w:val="24"/>
        </w:rPr>
        <w:t>Upper panel</w:t>
      </w:r>
      <w:r w:rsidRPr="007061DD">
        <w:rPr>
          <w:rFonts w:ascii="Times New Roman" w:hAnsi="Times New Roman" w:cs="Times New Roman"/>
          <w:i w:val="0"/>
          <w:iCs w:val="0"/>
          <w:color w:val="000000" w:themeColor="text1"/>
          <w:sz w:val="24"/>
          <w:szCs w:val="24"/>
        </w:rPr>
        <w:t xml:space="preserve">) For the S–SUVR coupling, the percentages of patients with the tract involved in the tumor mask are reported for both outlier patients and </w:t>
      </w:r>
      <w:r w:rsidR="005C2943" w:rsidRPr="007061DD">
        <w:rPr>
          <w:rFonts w:ascii="Times New Roman" w:hAnsi="Times New Roman" w:cs="Times New Roman"/>
          <w:i w:val="0"/>
          <w:iCs w:val="0"/>
          <w:color w:val="000000" w:themeColor="text1"/>
          <w:sz w:val="24"/>
          <w:szCs w:val="24"/>
        </w:rPr>
        <w:t>pseudo-healthy</w:t>
      </w:r>
      <w:r w:rsidRPr="007061DD">
        <w:rPr>
          <w:rFonts w:ascii="Times New Roman" w:hAnsi="Times New Roman" w:cs="Times New Roman"/>
          <w:i w:val="0"/>
          <w:iCs w:val="0"/>
          <w:color w:val="000000" w:themeColor="text1"/>
          <w:sz w:val="24"/>
          <w:szCs w:val="24"/>
        </w:rPr>
        <w:t xml:space="preserve"> patients. (</w:t>
      </w:r>
      <w:r w:rsidRPr="007061DD">
        <w:rPr>
          <w:rFonts w:ascii="Times New Roman" w:hAnsi="Times New Roman" w:cs="Times New Roman"/>
          <w:color w:val="000000" w:themeColor="text1"/>
          <w:sz w:val="24"/>
          <w:szCs w:val="24"/>
        </w:rPr>
        <w:t>Lower panel</w:t>
      </w:r>
      <w:r w:rsidRPr="007061DD">
        <w:rPr>
          <w:rFonts w:ascii="Times New Roman" w:hAnsi="Times New Roman" w:cs="Times New Roman"/>
          <w:i w:val="0"/>
          <w:iCs w:val="0"/>
          <w:color w:val="000000" w:themeColor="text1"/>
          <w:sz w:val="24"/>
          <w:szCs w:val="24"/>
        </w:rPr>
        <w:t xml:space="preserve">) For the </w:t>
      </w:r>
      <m:oMath>
        <m:acc>
          <m:accPr>
            <m:ctrlPr>
              <w:rPr>
                <w:rFonts w:ascii="Cambria Math" w:hAnsi="Cambria Math" w:cs="Times New Roman"/>
                <w:i w:val="0"/>
                <w:iCs w:val="0"/>
                <w:color w:val="000000" w:themeColor="text1"/>
                <w:sz w:val="24"/>
                <w:szCs w:val="24"/>
                <w:lang w:val="en-GB"/>
              </w:rPr>
            </m:ctrlPr>
          </m:accPr>
          <m:e>
            <m:r>
              <m:rPr>
                <m:nor/>
              </m:rPr>
              <w:rPr>
                <w:rFonts w:ascii="Times New Roman" w:hAnsi="Times New Roman" w:cs="Times New Roman"/>
                <w:i w:val="0"/>
                <w:iCs w:val="0"/>
                <w:color w:val="000000" w:themeColor="text1"/>
                <w:sz w:val="24"/>
                <w:szCs w:val="24"/>
                <w:lang w:val="en-GB"/>
              </w:rPr>
              <m:t>FC</m:t>
            </m:r>
          </m:e>
        </m:acc>
      </m:oMath>
      <w:r w:rsidRPr="007061DD">
        <w:rPr>
          <w:rFonts w:ascii="Times New Roman" w:hAnsi="Times New Roman" w:cs="Times New Roman"/>
          <w:i w:val="0"/>
          <w:iCs w:val="0"/>
          <w:color w:val="000000" w:themeColor="text1"/>
          <w:sz w:val="24"/>
          <w:szCs w:val="24"/>
        </w:rPr>
        <w:t xml:space="preserve">–MC coupling, the percentages of patients with the tract involved in the tumor mask are reported for both outlier patients and </w:t>
      </w:r>
      <w:r w:rsidR="005C2943" w:rsidRPr="007061DD">
        <w:rPr>
          <w:rFonts w:ascii="Times New Roman" w:hAnsi="Times New Roman" w:cs="Times New Roman"/>
          <w:i w:val="0"/>
          <w:iCs w:val="0"/>
          <w:color w:val="000000" w:themeColor="text1"/>
          <w:sz w:val="24"/>
          <w:szCs w:val="24"/>
        </w:rPr>
        <w:t>pseudo-healthy</w:t>
      </w:r>
      <w:r w:rsidRPr="007061DD">
        <w:rPr>
          <w:rFonts w:ascii="Times New Roman" w:hAnsi="Times New Roman" w:cs="Times New Roman"/>
          <w:i w:val="0"/>
          <w:iCs w:val="0"/>
          <w:color w:val="000000" w:themeColor="text1"/>
          <w:sz w:val="24"/>
          <w:szCs w:val="24"/>
        </w:rPr>
        <w:t xml:space="preserve"> patients.</w:t>
      </w:r>
    </w:p>
    <w:p w14:paraId="06CA8E4F" w14:textId="1C90FA0D" w:rsidR="002C3555" w:rsidRPr="007061DD" w:rsidRDefault="002C3555" w:rsidP="00DC0ED9">
      <w:pPr>
        <w:pStyle w:val="Caption"/>
        <w:spacing w:after="0" w:line="360" w:lineRule="auto"/>
        <w:rPr>
          <w:rFonts w:ascii="Times New Roman" w:hAnsi="Times New Roman" w:cs="Times New Roman"/>
          <w:sz w:val="24"/>
          <w:szCs w:val="24"/>
        </w:rPr>
      </w:pPr>
    </w:p>
    <w:p w14:paraId="4800498D" w14:textId="77777777" w:rsidR="00E13241" w:rsidRPr="007061DD" w:rsidRDefault="000A4B48" w:rsidP="00DC0ED9">
      <w:pPr>
        <w:keepNext/>
        <w:spacing w:after="0" w:line="360" w:lineRule="auto"/>
        <w:jc w:val="center"/>
        <w:rPr>
          <w:rFonts w:ascii="Times New Roman" w:hAnsi="Times New Roman" w:cs="Times New Roman"/>
        </w:rPr>
      </w:pPr>
      <w:r w:rsidRPr="007061DD">
        <w:rPr>
          <w:rFonts w:ascii="Times New Roman" w:hAnsi="Times New Roman" w:cs="Times New Roman"/>
          <w:b/>
          <w:bCs/>
          <w:noProof/>
        </w:rPr>
        <w:lastRenderedPageBreak/>
        <w:drawing>
          <wp:inline distT="0" distB="0" distL="0" distR="0" wp14:anchorId="3DFCD270" wp14:editId="208ECFCE">
            <wp:extent cx="5943600" cy="2533650"/>
            <wp:effectExtent l="0" t="0" r="0" b="6350"/>
            <wp:docPr id="149518621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86213" name="Immagine 14951862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533650"/>
                    </a:xfrm>
                    <a:prstGeom prst="rect">
                      <a:avLst/>
                    </a:prstGeom>
                  </pic:spPr>
                </pic:pic>
              </a:graphicData>
            </a:graphic>
          </wp:inline>
        </w:drawing>
      </w:r>
    </w:p>
    <w:p w14:paraId="0BF667BE" w14:textId="7721AD61" w:rsidR="00E751B5" w:rsidRPr="007061DD" w:rsidRDefault="00E13241" w:rsidP="00DC0ED9">
      <w:pPr>
        <w:pStyle w:val="Caption"/>
        <w:spacing w:after="0" w:line="360" w:lineRule="auto"/>
        <w:jc w:val="both"/>
        <w:rPr>
          <w:rFonts w:ascii="Times New Roman" w:hAnsi="Times New Roman" w:cs="Times New Roman"/>
          <w:b/>
          <w:bCs/>
          <w:i w:val="0"/>
          <w:iCs w:val="0"/>
          <w:color w:val="000000" w:themeColor="text1"/>
          <w:sz w:val="24"/>
          <w:szCs w:val="24"/>
        </w:rPr>
      </w:pPr>
      <w:bookmarkStart w:id="2" w:name="_Ref177741060"/>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9</w:t>
      </w:r>
      <w:r w:rsidRPr="007061DD">
        <w:rPr>
          <w:rFonts w:ascii="Times New Roman" w:hAnsi="Times New Roman" w:cs="Times New Roman"/>
          <w:b/>
          <w:bCs/>
          <w:i w:val="0"/>
          <w:iCs w:val="0"/>
          <w:color w:val="000000" w:themeColor="text1"/>
          <w:sz w:val="24"/>
          <w:szCs w:val="24"/>
        </w:rPr>
        <w:fldChar w:fldCharType="end"/>
      </w:r>
      <w:bookmarkEnd w:id="2"/>
      <w:r w:rsidR="003B328E" w:rsidRPr="007061DD">
        <w:rPr>
          <w:rFonts w:ascii="Times New Roman" w:hAnsi="Times New Roman" w:cs="Times New Roman"/>
          <w:b/>
          <w:bCs/>
          <w:i w:val="0"/>
          <w:iCs w:val="0"/>
          <w:color w:val="000000" w:themeColor="text1"/>
          <w:sz w:val="24"/>
          <w:szCs w:val="24"/>
        </w:rPr>
        <w:t xml:space="preserve"> </w:t>
      </w:r>
      <w:r w:rsidR="008F53F8" w:rsidRPr="007061DD">
        <w:rPr>
          <w:rFonts w:ascii="Times New Roman" w:hAnsi="Times New Roman" w:cs="Times New Roman"/>
          <w:b/>
          <w:bCs/>
          <w:i w:val="0"/>
          <w:iCs w:val="0"/>
          <w:color w:val="000000" w:themeColor="text1"/>
          <w:sz w:val="24"/>
          <w:szCs w:val="24"/>
        </w:rPr>
        <w:t xml:space="preserve">Contrast-to-noise </w:t>
      </w:r>
      <w:r w:rsidR="009949F8" w:rsidRPr="007061DD">
        <w:rPr>
          <w:rFonts w:ascii="Times New Roman" w:hAnsi="Times New Roman" w:cs="Times New Roman"/>
          <w:b/>
          <w:bCs/>
          <w:i w:val="0"/>
          <w:iCs w:val="0"/>
          <w:color w:val="000000" w:themeColor="text1"/>
          <w:sz w:val="24"/>
          <w:szCs w:val="24"/>
        </w:rPr>
        <w:t>r</w:t>
      </w:r>
      <w:r w:rsidR="008F53F8" w:rsidRPr="007061DD">
        <w:rPr>
          <w:rFonts w:ascii="Times New Roman" w:hAnsi="Times New Roman" w:cs="Times New Roman"/>
          <w:b/>
          <w:bCs/>
          <w:i w:val="0"/>
          <w:iCs w:val="0"/>
          <w:color w:val="000000" w:themeColor="text1"/>
          <w:sz w:val="24"/>
          <w:szCs w:val="24"/>
        </w:rPr>
        <w:t xml:space="preserve">atio </w:t>
      </w:r>
      <w:r w:rsidR="007C0D40" w:rsidRPr="007061DD">
        <w:rPr>
          <w:rFonts w:ascii="Times New Roman" w:hAnsi="Times New Roman" w:cs="Times New Roman"/>
          <w:b/>
          <w:bCs/>
          <w:i w:val="0"/>
          <w:iCs w:val="0"/>
          <w:color w:val="000000" w:themeColor="text1"/>
          <w:sz w:val="24"/>
          <w:szCs w:val="24"/>
        </w:rPr>
        <w:t xml:space="preserve">(CNR) </w:t>
      </w:r>
      <w:r w:rsidR="00E75906" w:rsidRPr="007061DD">
        <w:rPr>
          <w:rFonts w:ascii="Times New Roman" w:hAnsi="Times New Roman" w:cs="Times New Roman"/>
          <w:b/>
          <w:bCs/>
          <w:i w:val="0"/>
          <w:iCs w:val="0"/>
          <w:color w:val="000000" w:themeColor="text1"/>
          <w:sz w:val="24"/>
          <w:szCs w:val="24"/>
        </w:rPr>
        <w:t xml:space="preserve">for PET data </w:t>
      </w:r>
      <w:r w:rsidR="007C0D40" w:rsidRPr="007061DD">
        <w:rPr>
          <w:rFonts w:ascii="Times New Roman" w:hAnsi="Times New Roman" w:cs="Times New Roman"/>
          <w:b/>
          <w:bCs/>
          <w:i w:val="0"/>
          <w:iCs w:val="0"/>
          <w:color w:val="000000" w:themeColor="text1"/>
          <w:sz w:val="24"/>
          <w:szCs w:val="24"/>
        </w:rPr>
        <w:t xml:space="preserve">and </w:t>
      </w:r>
      <w:r w:rsidR="00E75906" w:rsidRPr="007061DD">
        <w:rPr>
          <w:rFonts w:ascii="Times New Roman" w:hAnsi="Times New Roman" w:cs="Times New Roman"/>
          <w:b/>
          <w:bCs/>
          <w:i w:val="0"/>
          <w:iCs w:val="0"/>
          <w:color w:val="000000" w:themeColor="text1"/>
          <w:sz w:val="24"/>
          <w:szCs w:val="24"/>
        </w:rPr>
        <w:t xml:space="preserve">temporal Signal-to-noise ratio </w:t>
      </w:r>
      <w:r w:rsidR="007C0D40" w:rsidRPr="007061DD">
        <w:rPr>
          <w:rFonts w:ascii="Times New Roman" w:hAnsi="Times New Roman" w:cs="Times New Roman"/>
          <w:b/>
          <w:bCs/>
          <w:i w:val="0"/>
          <w:iCs w:val="0"/>
          <w:color w:val="000000" w:themeColor="text1"/>
          <w:sz w:val="24"/>
          <w:szCs w:val="24"/>
        </w:rPr>
        <w:t>(</w:t>
      </w:r>
      <w:proofErr w:type="spellStart"/>
      <w:r w:rsidR="007C0D40" w:rsidRPr="007061DD">
        <w:rPr>
          <w:rFonts w:ascii="Times New Roman" w:hAnsi="Times New Roman" w:cs="Times New Roman"/>
          <w:b/>
          <w:bCs/>
          <w:i w:val="0"/>
          <w:iCs w:val="0"/>
          <w:color w:val="000000" w:themeColor="text1"/>
          <w:sz w:val="24"/>
          <w:szCs w:val="24"/>
        </w:rPr>
        <w:t>tSNR</w:t>
      </w:r>
      <w:proofErr w:type="spellEnd"/>
      <w:r w:rsidR="007C0D40" w:rsidRPr="007061DD">
        <w:rPr>
          <w:rFonts w:ascii="Times New Roman" w:hAnsi="Times New Roman" w:cs="Times New Roman"/>
          <w:b/>
          <w:bCs/>
          <w:i w:val="0"/>
          <w:iCs w:val="0"/>
          <w:color w:val="000000" w:themeColor="text1"/>
          <w:sz w:val="24"/>
          <w:szCs w:val="24"/>
        </w:rPr>
        <w:t xml:space="preserve">) </w:t>
      </w:r>
      <w:r w:rsidR="00E75906" w:rsidRPr="007061DD">
        <w:rPr>
          <w:rFonts w:ascii="Times New Roman" w:hAnsi="Times New Roman" w:cs="Times New Roman"/>
          <w:b/>
          <w:bCs/>
          <w:i w:val="0"/>
          <w:iCs w:val="0"/>
          <w:color w:val="000000" w:themeColor="text1"/>
          <w:sz w:val="24"/>
          <w:szCs w:val="24"/>
        </w:rPr>
        <w:t xml:space="preserve">for </w:t>
      </w:r>
      <w:r w:rsidR="007C0D40" w:rsidRPr="007061DD">
        <w:rPr>
          <w:rFonts w:ascii="Times New Roman" w:hAnsi="Times New Roman" w:cs="Times New Roman"/>
          <w:b/>
          <w:bCs/>
          <w:i w:val="0"/>
          <w:iCs w:val="0"/>
          <w:color w:val="000000" w:themeColor="text1"/>
          <w:sz w:val="24"/>
          <w:szCs w:val="24"/>
        </w:rPr>
        <w:t>fMRI data.</w:t>
      </w:r>
      <w:r w:rsidR="007C0D40" w:rsidRPr="007061DD">
        <w:rPr>
          <w:rFonts w:ascii="Times New Roman" w:hAnsi="Times New Roman" w:cs="Times New Roman"/>
          <w:i w:val="0"/>
          <w:iCs w:val="0"/>
          <w:color w:val="000000" w:themeColor="text1"/>
          <w:sz w:val="24"/>
          <w:szCs w:val="24"/>
        </w:rPr>
        <w:t xml:space="preserve"> (</w:t>
      </w:r>
      <w:r w:rsidR="007C0D40" w:rsidRPr="007061DD">
        <w:rPr>
          <w:rFonts w:ascii="Times New Roman" w:hAnsi="Times New Roman" w:cs="Times New Roman"/>
          <w:b/>
          <w:bCs/>
          <w:i w:val="0"/>
          <w:iCs w:val="0"/>
          <w:color w:val="000000" w:themeColor="text1"/>
          <w:sz w:val="24"/>
          <w:szCs w:val="24"/>
        </w:rPr>
        <w:t>a</w:t>
      </w:r>
      <w:r w:rsidR="007C0D40" w:rsidRPr="007061DD">
        <w:rPr>
          <w:rFonts w:ascii="Times New Roman" w:hAnsi="Times New Roman" w:cs="Times New Roman"/>
          <w:i w:val="0"/>
          <w:iCs w:val="0"/>
          <w:color w:val="000000" w:themeColor="text1"/>
          <w:sz w:val="24"/>
          <w:szCs w:val="24"/>
        </w:rPr>
        <w:t xml:space="preserve">) </w:t>
      </w:r>
      <w:r w:rsidR="008F53F8" w:rsidRPr="007061DD">
        <w:rPr>
          <w:rFonts w:ascii="Times New Roman" w:hAnsi="Times New Roman" w:cs="Times New Roman"/>
          <w:i w:val="0"/>
          <w:iCs w:val="0"/>
          <w:color w:val="000000" w:themeColor="text1"/>
          <w:sz w:val="24"/>
          <w:szCs w:val="24"/>
        </w:rPr>
        <w:t>CNR</w:t>
      </w:r>
      <w:r w:rsidR="00E6138D" w:rsidRPr="007061DD">
        <w:rPr>
          <w:rFonts w:ascii="Times New Roman" w:hAnsi="Times New Roman" w:cs="Times New Roman"/>
          <w:i w:val="0"/>
          <w:iCs w:val="0"/>
          <w:color w:val="000000" w:themeColor="text1"/>
          <w:sz w:val="24"/>
          <w:szCs w:val="24"/>
        </w:rPr>
        <w:t xml:space="preserve"> calculated from individual PET images (static PET 40-60 min) for both </w:t>
      </w:r>
      <w:r w:rsidR="007F292E" w:rsidRPr="007061DD">
        <w:rPr>
          <w:rFonts w:ascii="Times New Roman" w:hAnsi="Times New Roman" w:cs="Times New Roman"/>
          <w:i w:val="0"/>
          <w:iCs w:val="0"/>
          <w:color w:val="000000" w:themeColor="text1"/>
          <w:sz w:val="24"/>
          <w:szCs w:val="24"/>
        </w:rPr>
        <w:t>population groups (red: patients, green: healthy controls). (</w:t>
      </w:r>
      <w:r w:rsidR="007F292E" w:rsidRPr="007061DD">
        <w:rPr>
          <w:rFonts w:ascii="Times New Roman" w:hAnsi="Times New Roman" w:cs="Times New Roman"/>
          <w:b/>
          <w:bCs/>
          <w:i w:val="0"/>
          <w:iCs w:val="0"/>
          <w:color w:val="000000" w:themeColor="text1"/>
          <w:sz w:val="24"/>
          <w:szCs w:val="24"/>
        </w:rPr>
        <w:t>b</w:t>
      </w:r>
      <w:r w:rsidR="007F292E" w:rsidRPr="007061DD">
        <w:rPr>
          <w:rFonts w:ascii="Times New Roman" w:hAnsi="Times New Roman" w:cs="Times New Roman"/>
          <w:i w:val="0"/>
          <w:iCs w:val="0"/>
          <w:color w:val="000000" w:themeColor="text1"/>
          <w:sz w:val="24"/>
          <w:szCs w:val="24"/>
        </w:rPr>
        <w:t xml:space="preserve">) </w:t>
      </w:r>
      <w:r w:rsidR="00336C52" w:rsidRPr="007061DD">
        <w:rPr>
          <w:rFonts w:ascii="Times New Roman" w:hAnsi="Times New Roman" w:cs="Times New Roman"/>
          <w:i w:val="0"/>
          <w:iCs w:val="0"/>
          <w:color w:val="000000" w:themeColor="text1"/>
          <w:sz w:val="24"/>
          <w:szCs w:val="24"/>
        </w:rPr>
        <w:t xml:space="preserve">In the upper panel, ROI-wise temporal </w:t>
      </w:r>
      <w:proofErr w:type="spellStart"/>
      <w:r w:rsidR="00283090" w:rsidRPr="007061DD">
        <w:rPr>
          <w:rFonts w:ascii="Times New Roman" w:hAnsi="Times New Roman" w:cs="Times New Roman"/>
          <w:i w:val="0"/>
          <w:iCs w:val="0"/>
          <w:color w:val="000000" w:themeColor="text1"/>
          <w:sz w:val="24"/>
          <w:szCs w:val="24"/>
        </w:rPr>
        <w:t>tSNR</w:t>
      </w:r>
      <w:proofErr w:type="spellEnd"/>
      <w:r w:rsidR="00283090" w:rsidRPr="007061DD">
        <w:rPr>
          <w:rFonts w:ascii="Times New Roman" w:hAnsi="Times New Roman" w:cs="Times New Roman"/>
          <w:i w:val="0"/>
          <w:iCs w:val="0"/>
          <w:color w:val="000000" w:themeColor="text1"/>
          <w:sz w:val="24"/>
          <w:szCs w:val="24"/>
        </w:rPr>
        <w:t xml:space="preserve"> curves derived from fMRI data for both </w:t>
      </w:r>
      <w:r w:rsidR="006F0704" w:rsidRPr="007061DD">
        <w:rPr>
          <w:rFonts w:ascii="Times New Roman" w:hAnsi="Times New Roman" w:cs="Times New Roman"/>
          <w:i w:val="0"/>
          <w:iCs w:val="0"/>
          <w:color w:val="000000" w:themeColor="text1"/>
          <w:sz w:val="24"/>
          <w:szCs w:val="24"/>
        </w:rPr>
        <w:t xml:space="preserve">population groups (red: patients, green: healthy controls). The solid line represents </w:t>
      </w:r>
      <w:r w:rsidR="001607D3" w:rsidRPr="007061DD">
        <w:rPr>
          <w:rFonts w:ascii="Times New Roman" w:hAnsi="Times New Roman" w:cs="Times New Roman"/>
          <w:i w:val="0"/>
          <w:iCs w:val="0"/>
          <w:color w:val="000000" w:themeColor="text1"/>
          <w:sz w:val="24"/>
          <w:szCs w:val="24"/>
        </w:rPr>
        <w:t xml:space="preserve">the mean value across subjects, and the shaded area </w:t>
      </w:r>
      <w:r w:rsidR="00B74C60" w:rsidRPr="007061DD">
        <w:rPr>
          <w:rFonts w:ascii="Times New Roman" w:hAnsi="Times New Roman" w:cs="Times New Roman"/>
          <w:i w:val="0"/>
          <w:iCs w:val="0"/>
          <w:color w:val="000000" w:themeColor="text1"/>
          <w:sz w:val="24"/>
          <w:szCs w:val="24"/>
        </w:rPr>
        <w:t>depicts the standard deviation</w:t>
      </w:r>
      <w:r w:rsidR="008E6048" w:rsidRPr="007061DD">
        <w:rPr>
          <w:rFonts w:ascii="Times New Roman" w:hAnsi="Times New Roman" w:cs="Times New Roman"/>
          <w:i w:val="0"/>
          <w:iCs w:val="0"/>
          <w:color w:val="000000" w:themeColor="text1"/>
          <w:sz w:val="24"/>
          <w:szCs w:val="24"/>
        </w:rPr>
        <w:t xml:space="preserve"> from the mean. In the lower panel, a stem plot presents the ROI-wise </w:t>
      </w:r>
      <w:r w:rsidR="001B7390" w:rsidRPr="007061DD">
        <w:rPr>
          <w:rFonts w:ascii="Times New Roman" w:hAnsi="Times New Roman" w:cs="Times New Roman"/>
          <w:i w:val="0"/>
          <w:iCs w:val="0"/>
          <w:color w:val="000000" w:themeColor="text1"/>
          <w:sz w:val="24"/>
          <w:szCs w:val="24"/>
        </w:rPr>
        <w:t>frequency of significant di</w:t>
      </w:r>
      <w:r w:rsidR="006A6C76" w:rsidRPr="007061DD">
        <w:rPr>
          <w:rFonts w:ascii="Times New Roman" w:hAnsi="Times New Roman" w:cs="Times New Roman"/>
          <w:i w:val="0"/>
          <w:iCs w:val="0"/>
          <w:color w:val="000000" w:themeColor="text1"/>
          <w:sz w:val="24"/>
          <w:szCs w:val="24"/>
        </w:rPr>
        <w:t xml:space="preserve">fferences in terms of </w:t>
      </w:r>
      <w:proofErr w:type="spellStart"/>
      <w:r w:rsidR="006A6C76" w:rsidRPr="007061DD">
        <w:rPr>
          <w:rFonts w:ascii="Times New Roman" w:hAnsi="Times New Roman" w:cs="Times New Roman"/>
          <w:i w:val="0"/>
          <w:iCs w:val="0"/>
          <w:color w:val="000000" w:themeColor="text1"/>
          <w:sz w:val="24"/>
          <w:szCs w:val="24"/>
        </w:rPr>
        <w:t>tSNR</w:t>
      </w:r>
      <w:proofErr w:type="spellEnd"/>
      <w:r w:rsidR="006A6C76" w:rsidRPr="007061DD">
        <w:rPr>
          <w:rFonts w:ascii="Times New Roman" w:hAnsi="Times New Roman" w:cs="Times New Roman"/>
          <w:i w:val="0"/>
          <w:iCs w:val="0"/>
          <w:color w:val="000000" w:themeColor="text1"/>
          <w:sz w:val="24"/>
          <w:szCs w:val="24"/>
        </w:rPr>
        <w:t xml:space="preserve"> when comparing</w:t>
      </w:r>
      <w:r w:rsidR="00BD4938" w:rsidRPr="007061DD">
        <w:rPr>
          <w:rFonts w:ascii="Times New Roman" w:hAnsi="Times New Roman" w:cs="Times New Roman"/>
          <w:i w:val="0"/>
          <w:iCs w:val="0"/>
          <w:color w:val="000000" w:themeColor="text1"/>
          <w:sz w:val="24"/>
          <w:szCs w:val="24"/>
        </w:rPr>
        <w:t xml:space="preserve"> subsets from the oncological and </w:t>
      </w:r>
      <w:r w:rsidR="00FD0471" w:rsidRPr="007061DD">
        <w:rPr>
          <w:rFonts w:ascii="Times New Roman" w:hAnsi="Times New Roman" w:cs="Times New Roman"/>
          <w:i w:val="0"/>
          <w:iCs w:val="0"/>
          <w:color w:val="000000" w:themeColor="text1"/>
          <w:sz w:val="24"/>
          <w:szCs w:val="24"/>
        </w:rPr>
        <w:t>control cohorts. The horiz</w:t>
      </w:r>
      <w:r w:rsidR="0028413E" w:rsidRPr="007061DD">
        <w:rPr>
          <w:rFonts w:ascii="Times New Roman" w:hAnsi="Times New Roman" w:cs="Times New Roman"/>
          <w:i w:val="0"/>
          <w:iCs w:val="0"/>
          <w:color w:val="000000" w:themeColor="text1"/>
          <w:sz w:val="24"/>
          <w:szCs w:val="24"/>
        </w:rPr>
        <w:t>ontal dashed line marks the threshold corresponding to 75%</w:t>
      </w:r>
      <w:r w:rsidR="00805D60" w:rsidRPr="007061DD">
        <w:rPr>
          <w:rFonts w:ascii="Times New Roman" w:hAnsi="Times New Roman" w:cs="Times New Roman"/>
          <w:i w:val="0"/>
          <w:iCs w:val="0"/>
          <w:color w:val="000000" w:themeColor="text1"/>
          <w:sz w:val="24"/>
          <w:szCs w:val="24"/>
        </w:rPr>
        <w:t>.</w:t>
      </w:r>
    </w:p>
    <w:p w14:paraId="77C6E57F" w14:textId="77777777" w:rsidR="00661199" w:rsidRPr="007061DD" w:rsidRDefault="00661199" w:rsidP="00DC0ED9">
      <w:pPr>
        <w:keepNext/>
        <w:spacing w:after="0" w:line="360" w:lineRule="auto"/>
        <w:jc w:val="center"/>
        <w:rPr>
          <w:rFonts w:ascii="Times New Roman" w:hAnsi="Times New Roman" w:cs="Times New Roman"/>
        </w:rPr>
      </w:pPr>
      <w:r w:rsidRPr="007061DD">
        <w:rPr>
          <w:rFonts w:ascii="Times New Roman" w:hAnsi="Times New Roman" w:cs="Times New Roman"/>
          <w:noProof/>
        </w:rPr>
        <w:lastRenderedPageBreak/>
        <w:drawing>
          <wp:inline distT="0" distB="0" distL="0" distR="0" wp14:anchorId="23391902" wp14:editId="4D9AB9B7">
            <wp:extent cx="5943600" cy="5497830"/>
            <wp:effectExtent l="0" t="0" r="0" b="1270"/>
            <wp:docPr id="133279289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92897" name="Immagine 133279289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5497830"/>
                    </a:xfrm>
                    <a:prstGeom prst="rect">
                      <a:avLst/>
                    </a:prstGeom>
                  </pic:spPr>
                </pic:pic>
              </a:graphicData>
            </a:graphic>
          </wp:inline>
        </w:drawing>
      </w:r>
    </w:p>
    <w:p w14:paraId="25DAB704" w14:textId="4C28073C" w:rsidR="008508EA" w:rsidRPr="007061DD" w:rsidRDefault="00661199" w:rsidP="00DC0ED9">
      <w:pPr>
        <w:pStyle w:val="Caption"/>
        <w:spacing w:after="0" w:line="360" w:lineRule="auto"/>
        <w:jc w:val="both"/>
        <w:rPr>
          <w:rFonts w:ascii="Times New Roman" w:hAnsi="Times New Roman" w:cs="Times New Roman"/>
          <w:sz w:val="24"/>
          <w:szCs w:val="24"/>
        </w:rPr>
      </w:pPr>
      <w:bookmarkStart w:id="3" w:name="_Ref177986639"/>
      <w:r w:rsidRPr="007061DD">
        <w:rPr>
          <w:rFonts w:ascii="Times New Roman" w:hAnsi="Times New Roman" w:cs="Times New Roman"/>
          <w:b/>
          <w:bCs/>
          <w:i w:val="0"/>
          <w:iCs w:val="0"/>
          <w:color w:val="000000" w:themeColor="text1"/>
          <w:sz w:val="24"/>
          <w:szCs w:val="24"/>
        </w:rPr>
        <w:t xml:space="preserve">Supplementary Fig. </w:t>
      </w:r>
      <w:r w:rsidRPr="007061DD">
        <w:rPr>
          <w:rFonts w:ascii="Times New Roman" w:hAnsi="Times New Roman" w:cs="Times New Roman"/>
          <w:b/>
          <w:bCs/>
          <w:i w:val="0"/>
          <w:iCs w:val="0"/>
          <w:color w:val="000000" w:themeColor="text1"/>
          <w:sz w:val="24"/>
          <w:szCs w:val="24"/>
        </w:rPr>
        <w:fldChar w:fldCharType="begin"/>
      </w:r>
      <w:r w:rsidRPr="007061DD">
        <w:rPr>
          <w:rFonts w:ascii="Times New Roman" w:hAnsi="Times New Roman" w:cs="Times New Roman"/>
          <w:b/>
          <w:bCs/>
          <w:i w:val="0"/>
          <w:iCs w:val="0"/>
          <w:color w:val="000000" w:themeColor="text1"/>
          <w:sz w:val="24"/>
          <w:szCs w:val="24"/>
        </w:rPr>
        <w:instrText xml:space="preserve"> SEQ Supplementary_Fig. \* ARABIC </w:instrText>
      </w:r>
      <w:r w:rsidRPr="007061DD">
        <w:rPr>
          <w:rFonts w:ascii="Times New Roman" w:hAnsi="Times New Roman" w:cs="Times New Roman"/>
          <w:b/>
          <w:bCs/>
          <w:i w:val="0"/>
          <w:iCs w:val="0"/>
          <w:color w:val="000000" w:themeColor="text1"/>
          <w:sz w:val="24"/>
          <w:szCs w:val="24"/>
        </w:rPr>
        <w:fldChar w:fldCharType="separate"/>
      </w:r>
      <w:r w:rsidR="003A1482" w:rsidRPr="007061DD">
        <w:rPr>
          <w:rFonts w:ascii="Times New Roman" w:hAnsi="Times New Roman" w:cs="Times New Roman"/>
          <w:b/>
          <w:bCs/>
          <w:i w:val="0"/>
          <w:iCs w:val="0"/>
          <w:noProof/>
          <w:color w:val="000000" w:themeColor="text1"/>
          <w:sz w:val="24"/>
          <w:szCs w:val="24"/>
        </w:rPr>
        <w:t>10</w:t>
      </w:r>
      <w:r w:rsidRPr="007061DD">
        <w:rPr>
          <w:rFonts w:ascii="Times New Roman" w:hAnsi="Times New Roman" w:cs="Times New Roman"/>
          <w:b/>
          <w:bCs/>
          <w:i w:val="0"/>
          <w:iCs w:val="0"/>
          <w:color w:val="000000" w:themeColor="text1"/>
          <w:sz w:val="24"/>
          <w:szCs w:val="24"/>
        </w:rPr>
        <w:fldChar w:fldCharType="end"/>
      </w:r>
      <w:bookmarkEnd w:id="3"/>
      <w:r w:rsidRPr="007061DD">
        <w:rPr>
          <w:rFonts w:ascii="Times New Roman" w:hAnsi="Times New Roman" w:cs="Times New Roman"/>
          <w:color w:val="000000" w:themeColor="text1"/>
          <w:sz w:val="24"/>
          <w:szCs w:val="24"/>
        </w:rPr>
        <w:t xml:space="preserve"> </w:t>
      </w:r>
      <w:r w:rsidRPr="007061DD">
        <w:rPr>
          <w:rFonts w:ascii="Times New Roman" w:hAnsi="Times New Roman" w:cs="Times New Roman"/>
          <w:b/>
          <w:bCs/>
          <w:i w:val="0"/>
          <w:iCs w:val="0"/>
          <w:color w:val="000000" w:themeColor="text1"/>
          <w:sz w:val="24"/>
          <w:szCs w:val="24"/>
        </w:rPr>
        <w:t xml:space="preserve">Scatterplots depicting original and test latent scores for patients in term of S–SUVR (a) and </w:t>
      </w:r>
      <m:oMath>
        <m:acc>
          <m:accPr>
            <m:ctrlPr>
              <w:rPr>
                <w:rFonts w:ascii="Cambria Math" w:hAnsi="Cambria Math" w:cs="Times New Roman"/>
                <w:b/>
                <w:bCs/>
                <w:i w:val="0"/>
                <w:iCs w:val="0"/>
                <w:color w:val="000000" w:themeColor="text1"/>
                <w:sz w:val="24"/>
                <w:szCs w:val="24"/>
                <w:lang w:val="en-GB"/>
              </w:rPr>
            </m:ctrlPr>
          </m:accPr>
          <m:e>
            <m:r>
              <m:rPr>
                <m:nor/>
              </m:rPr>
              <w:rPr>
                <w:rFonts w:ascii="Times New Roman" w:hAnsi="Times New Roman" w:cs="Times New Roman"/>
                <w:b/>
                <w:bCs/>
                <w:i w:val="0"/>
                <w:iCs w:val="0"/>
                <w:color w:val="000000" w:themeColor="text1"/>
                <w:sz w:val="24"/>
                <w:szCs w:val="24"/>
                <w:lang w:val="en-GB"/>
              </w:rPr>
              <m:t>FC</m:t>
            </m:r>
          </m:e>
        </m:acc>
      </m:oMath>
      <w:r w:rsidRPr="007061DD">
        <w:rPr>
          <w:rFonts w:ascii="Times New Roman" w:hAnsi="Times New Roman" w:cs="Times New Roman"/>
          <w:b/>
          <w:bCs/>
          <w:i w:val="0"/>
          <w:iCs w:val="0"/>
          <w:color w:val="000000" w:themeColor="text1"/>
          <w:sz w:val="24"/>
          <w:szCs w:val="24"/>
        </w:rPr>
        <w:t>–MC (b).</w:t>
      </w:r>
      <w:r w:rsidRPr="007061DD">
        <w:rPr>
          <w:rFonts w:ascii="Times New Roman" w:hAnsi="Times New Roman" w:cs="Times New Roman"/>
          <w:i w:val="0"/>
          <w:iCs w:val="0"/>
          <w:color w:val="000000" w:themeColor="text1"/>
          <w:sz w:val="24"/>
          <w:szCs w:val="24"/>
        </w:rPr>
        <w:t xml:space="preserve"> Test scatterplots were generated by projecting patients’ latent scores after excluding the contribution of ROIs that exhibited statistically significant differences in terms of </w:t>
      </w:r>
      <w:proofErr w:type="spellStart"/>
      <w:r w:rsidRPr="007061DD">
        <w:rPr>
          <w:rFonts w:ascii="Times New Roman" w:hAnsi="Times New Roman" w:cs="Times New Roman"/>
          <w:i w:val="0"/>
          <w:iCs w:val="0"/>
          <w:color w:val="000000" w:themeColor="text1"/>
          <w:sz w:val="24"/>
          <w:szCs w:val="24"/>
        </w:rPr>
        <w:t>tSNR</w:t>
      </w:r>
      <w:proofErr w:type="spellEnd"/>
      <w:r w:rsidRPr="007061DD">
        <w:rPr>
          <w:rFonts w:ascii="Times New Roman" w:hAnsi="Times New Roman" w:cs="Times New Roman"/>
          <w:i w:val="0"/>
          <w:iCs w:val="0"/>
          <w:color w:val="000000" w:themeColor="text1"/>
          <w:sz w:val="24"/>
          <w:szCs w:val="24"/>
        </w:rPr>
        <w:t xml:space="preserve"> between the two population samples based on fMRI measures. Each color corresponds to a different patient, with their respective ID denoted to illustrate differences in original and test spatial positions on the latent plane.</w:t>
      </w:r>
    </w:p>
    <w:p w14:paraId="3B09DD6D" w14:textId="77777777" w:rsidR="00520945" w:rsidRPr="007061DD" w:rsidRDefault="00520945" w:rsidP="00DC0ED9">
      <w:pPr>
        <w:spacing w:after="0" w:line="360" w:lineRule="auto"/>
        <w:rPr>
          <w:rFonts w:ascii="Times New Roman" w:hAnsi="Times New Roman" w:cs="Times New Roman"/>
        </w:rPr>
      </w:pPr>
    </w:p>
    <w:p w14:paraId="02319CB1" w14:textId="63CDDCBD" w:rsidR="00646022" w:rsidRPr="00112760" w:rsidRDefault="009D780B" w:rsidP="00DC0ED9">
      <w:pPr>
        <w:spacing w:after="0" w:line="360" w:lineRule="auto"/>
        <w:jc w:val="center"/>
        <w:rPr>
          <w:rFonts w:ascii="Times New Roman" w:hAnsi="Times New Roman" w:cs="Times New Roman"/>
          <w:b/>
          <w:bCs/>
          <w:sz w:val="28"/>
          <w:szCs w:val="28"/>
        </w:rPr>
      </w:pPr>
      <w:r w:rsidRPr="00112760">
        <w:rPr>
          <w:rFonts w:ascii="Times New Roman" w:hAnsi="Times New Roman" w:cs="Times New Roman"/>
          <w:b/>
          <w:bCs/>
          <w:sz w:val="28"/>
          <w:szCs w:val="28"/>
        </w:rPr>
        <w:t xml:space="preserve">Supplementary </w:t>
      </w:r>
      <w:r w:rsidR="00520945" w:rsidRPr="00112760">
        <w:rPr>
          <w:rFonts w:ascii="Times New Roman" w:hAnsi="Times New Roman" w:cs="Times New Roman"/>
          <w:b/>
          <w:bCs/>
          <w:sz w:val="28"/>
          <w:szCs w:val="28"/>
        </w:rPr>
        <w:t>Results</w:t>
      </w:r>
    </w:p>
    <w:p w14:paraId="63333FC2" w14:textId="3997BE1C" w:rsidR="00646022" w:rsidRPr="007061DD" w:rsidRDefault="00646022"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The findings from </w:t>
      </w:r>
      <w:r w:rsidR="00C12846" w:rsidRPr="007061DD">
        <w:rPr>
          <w:rFonts w:ascii="Times New Roman" w:hAnsi="Times New Roman" w:cs="Times New Roman"/>
          <w:b/>
          <w:bCs/>
        </w:rPr>
        <w:fldChar w:fldCharType="begin"/>
      </w:r>
      <w:r w:rsidR="00C12846" w:rsidRPr="007061DD">
        <w:rPr>
          <w:rFonts w:ascii="Times New Roman" w:hAnsi="Times New Roman" w:cs="Times New Roman"/>
        </w:rPr>
        <w:instrText xml:space="preserve"> REF _Ref177741007 \h </w:instrText>
      </w:r>
      <w:r w:rsidR="00B133F7" w:rsidRPr="007061DD">
        <w:rPr>
          <w:rFonts w:ascii="Times New Roman" w:hAnsi="Times New Roman" w:cs="Times New Roman"/>
          <w:b/>
          <w:bCs/>
        </w:rPr>
        <w:instrText xml:space="preserve"> \* MERGEFORMAT </w:instrText>
      </w:r>
      <w:r w:rsidR="00C12846" w:rsidRPr="007061DD">
        <w:rPr>
          <w:rFonts w:ascii="Times New Roman" w:hAnsi="Times New Roman" w:cs="Times New Roman"/>
          <w:b/>
          <w:bCs/>
        </w:rPr>
      </w:r>
      <w:r w:rsidR="00C12846" w:rsidRPr="007061DD">
        <w:rPr>
          <w:rFonts w:ascii="Times New Roman" w:hAnsi="Times New Roman" w:cs="Times New Roman"/>
          <w:b/>
          <w:bCs/>
        </w:rPr>
        <w:fldChar w:fldCharType="separate"/>
      </w:r>
      <w:r w:rsidR="00C12846" w:rsidRPr="007061DD">
        <w:rPr>
          <w:rFonts w:ascii="Times New Roman" w:hAnsi="Times New Roman" w:cs="Times New Roman"/>
          <w:b/>
          <w:bCs/>
          <w:color w:val="000000" w:themeColor="text1"/>
        </w:rPr>
        <w:t xml:space="preserve">Supplementary Fig. </w:t>
      </w:r>
      <w:r w:rsidR="00C12846" w:rsidRPr="007061DD">
        <w:rPr>
          <w:rFonts w:ascii="Times New Roman" w:hAnsi="Times New Roman" w:cs="Times New Roman"/>
          <w:b/>
          <w:bCs/>
          <w:noProof/>
          <w:color w:val="000000" w:themeColor="text1"/>
        </w:rPr>
        <w:t>6</w:t>
      </w:r>
      <w:r w:rsidR="00C12846" w:rsidRPr="007061DD">
        <w:rPr>
          <w:rFonts w:ascii="Times New Roman" w:hAnsi="Times New Roman" w:cs="Times New Roman"/>
          <w:b/>
          <w:bCs/>
        </w:rPr>
        <w:fldChar w:fldCharType="end"/>
      </w:r>
      <w:r w:rsidR="00C12846" w:rsidRPr="007061DD">
        <w:rPr>
          <w:rFonts w:ascii="Times New Roman" w:hAnsi="Times New Roman" w:cs="Times New Roman"/>
          <w:b/>
          <w:bCs/>
        </w:rPr>
        <w:t xml:space="preserve"> </w:t>
      </w:r>
      <w:r w:rsidRPr="007061DD">
        <w:rPr>
          <w:rFonts w:ascii="Times New Roman" w:hAnsi="Times New Roman" w:cs="Times New Roman"/>
        </w:rPr>
        <w:t>indicate that the scores of out</w:t>
      </w:r>
      <w:r w:rsidR="00E40D39" w:rsidRPr="007061DD">
        <w:rPr>
          <w:rFonts w:ascii="Times New Roman" w:hAnsi="Times New Roman" w:cs="Times New Roman"/>
        </w:rPr>
        <w:t xml:space="preserve">lier </w:t>
      </w:r>
      <w:r w:rsidRPr="007061DD">
        <w:rPr>
          <w:rFonts w:ascii="Times New Roman" w:hAnsi="Times New Roman" w:cs="Times New Roman"/>
        </w:rPr>
        <w:t xml:space="preserve">patients seem to be clustered into two distinct groups: above and below the normal range. By analyzing the S-strength </w:t>
      </w:r>
      <w:r w:rsidRPr="007061DD">
        <w:rPr>
          <w:rFonts w:ascii="Times New Roman" w:hAnsi="Times New Roman" w:cs="Times New Roman"/>
        </w:rPr>
        <w:lastRenderedPageBreak/>
        <w:t>and SUVR values (z-scored against healthy controls), different characteristics emerge for these two groups of subjects. Specifically, for S</w:t>
      </w:r>
      <w:r w:rsidR="00FB4EA9" w:rsidRPr="007061DD">
        <w:rPr>
          <w:rFonts w:ascii="Times New Roman" w:hAnsi="Times New Roman" w:cs="Times New Roman"/>
        </w:rPr>
        <w:t>-strength</w:t>
      </w:r>
      <w:r w:rsidRPr="007061DD">
        <w:rPr>
          <w:rFonts w:ascii="Times New Roman" w:hAnsi="Times New Roman" w:cs="Times New Roman"/>
        </w:rPr>
        <w:t>, the values increase when moving from out</w:t>
      </w:r>
      <w:r w:rsidR="007079F1" w:rsidRPr="007061DD">
        <w:rPr>
          <w:rFonts w:ascii="Times New Roman" w:hAnsi="Times New Roman" w:cs="Times New Roman"/>
        </w:rPr>
        <w:t xml:space="preserve">lier </w:t>
      </w:r>
      <w:r w:rsidRPr="007061DD">
        <w:rPr>
          <w:rFonts w:ascii="Times New Roman" w:hAnsi="Times New Roman" w:cs="Times New Roman"/>
        </w:rPr>
        <w:t xml:space="preserve">patients above the range </w:t>
      </w:r>
      <w:r w:rsidR="081BD8FC" w:rsidRPr="007061DD">
        <w:rPr>
          <w:rFonts w:ascii="Times New Roman" w:hAnsi="Times New Roman" w:cs="Times New Roman"/>
        </w:rPr>
        <w:t>(i.e.,</w:t>
      </w:r>
      <w:r w:rsidR="00520945" w:rsidRPr="007061DD">
        <w:rPr>
          <w:rFonts w:ascii="Times New Roman" w:hAnsi="Times New Roman" w:cs="Times New Roman"/>
        </w:rPr>
        <w:t xml:space="preserve"> </w:t>
      </w:r>
      <w:r w:rsidR="081BD8FC" w:rsidRPr="007061DD">
        <w:rPr>
          <w:rFonts w:ascii="Times New Roman" w:hAnsi="Times New Roman" w:cs="Times New Roman"/>
        </w:rPr>
        <w:t xml:space="preserve">more prominent receiver </w:t>
      </w:r>
      <w:r w:rsidR="00520945" w:rsidRPr="007061DD">
        <w:rPr>
          <w:rFonts w:ascii="Times New Roman" w:hAnsi="Times New Roman" w:cs="Times New Roman"/>
        </w:rPr>
        <w:t>behavior</w:t>
      </w:r>
      <w:r w:rsidR="081BD8FC" w:rsidRPr="007061DD">
        <w:rPr>
          <w:rFonts w:ascii="Times New Roman" w:hAnsi="Times New Roman" w:cs="Times New Roman"/>
        </w:rPr>
        <w:t>)</w:t>
      </w:r>
      <w:r w:rsidRPr="007061DD">
        <w:rPr>
          <w:rFonts w:ascii="Times New Roman" w:hAnsi="Times New Roman" w:cs="Times New Roman"/>
        </w:rPr>
        <w:t xml:space="preserve"> to those below the range</w:t>
      </w:r>
      <w:r w:rsidR="539A190A" w:rsidRPr="007061DD">
        <w:rPr>
          <w:rFonts w:ascii="Times New Roman" w:hAnsi="Times New Roman" w:cs="Times New Roman"/>
        </w:rPr>
        <w:t xml:space="preserve"> (i.e.,</w:t>
      </w:r>
      <w:r w:rsidR="00520945" w:rsidRPr="007061DD">
        <w:rPr>
          <w:rFonts w:ascii="Times New Roman" w:hAnsi="Times New Roman" w:cs="Times New Roman"/>
        </w:rPr>
        <w:t xml:space="preserve"> </w:t>
      </w:r>
      <w:r w:rsidR="539A190A" w:rsidRPr="007061DD">
        <w:rPr>
          <w:rFonts w:ascii="Times New Roman" w:hAnsi="Times New Roman" w:cs="Times New Roman"/>
        </w:rPr>
        <w:t xml:space="preserve">more prominent transmitter </w:t>
      </w:r>
      <w:r w:rsidR="00520945" w:rsidRPr="007061DD">
        <w:rPr>
          <w:rFonts w:ascii="Times New Roman" w:hAnsi="Times New Roman" w:cs="Times New Roman"/>
        </w:rPr>
        <w:t>behavior</w:t>
      </w:r>
      <w:r w:rsidR="539A190A" w:rsidRPr="007061DD">
        <w:rPr>
          <w:rFonts w:ascii="Times New Roman" w:hAnsi="Times New Roman" w:cs="Times New Roman"/>
        </w:rPr>
        <w:t xml:space="preserve">), especially focused on </w:t>
      </w:r>
      <w:proofErr w:type="spellStart"/>
      <w:r w:rsidR="6F865703" w:rsidRPr="007061DD">
        <w:rPr>
          <w:rFonts w:ascii="Times New Roman" w:hAnsi="Times New Roman" w:cs="Times New Roman"/>
        </w:rPr>
        <w:t>DorsAttn</w:t>
      </w:r>
      <w:proofErr w:type="spellEnd"/>
      <w:r w:rsidR="6F865703" w:rsidRPr="007061DD">
        <w:rPr>
          <w:rFonts w:ascii="Times New Roman" w:hAnsi="Times New Roman" w:cs="Times New Roman"/>
        </w:rPr>
        <w:t xml:space="preserve">, </w:t>
      </w:r>
      <w:proofErr w:type="spellStart"/>
      <w:r w:rsidR="6F865703" w:rsidRPr="007061DD">
        <w:rPr>
          <w:rFonts w:ascii="Times New Roman" w:hAnsi="Times New Roman" w:cs="Times New Roman"/>
        </w:rPr>
        <w:t>Cont</w:t>
      </w:r>
      <w:proofErr w:type="spellEnd"/>
      <w:r w:rsidR="6F865703" w:rsidRPr="007061DD">
        <w:rPr>
          <w:rFonts w:ascii="Times New Roman" w:hAnsi="Times New Roman" w:cs="Times New Roman"/>
        </w:rPr>
        <w:t>, Limbic and DMN</w:t>
      </w:r>
      <w:r w:rsidRPr="007061DD">
        <w:rPr>
          <w:rFonts w:ascii="Times New Roman" w:hAnsi="Times New Roman" w:cs="Times New Roman"/>
        </w:rPr>
        <w:t xml:space="preserve">. </w:t>
      </w:r>
    </w:p>
    <w:p w14:paraId="6C40866A" w14:textId="23F3DEA0" w:rsidR="00646022" w:rsidRPr="007061DD" w:rsidRDefault="00646022" w:rsidP="00DC0ED9">
      <w:pPr>
        <w:spacing w:after="0" w:line="360" w:lineRule="auto"/>
        <w:jc w:val="both"/>
        <w:rPr>
          <w:rFonts w:ascii="Times New Roman" w:hAnsi="Times New Roman" w:cs="Times New Roman"/>
        </w:rPr>
      </w:pPr>
      <w:r w:rsidRPr="007061DD">
        <w:rPr>
          <w:rFonts w:ascii="Times New Roman" w:hAnsi="Times New Roman" w:cs="Times New Roman"/>
        </w:rPr>
        <w:t>The role of SUVR is also notable. Examining the z-scored values reveals different contributions from certain regions in the two groups. Out</w:t>
      </w:r>
      <w:r w:rsidR="007079F1" w:rsidRPr="007061DD">
        <w:rPr>
          <w:rFonts w:ascii="Times New Roman" w:hAnsi="Times New Roman" w:cs="Times New Roman"/>
        </w:rPr>
        <w:t xml:space="preserve">lier </w:t>
      </w:r>
      <w:r w:rsidRPr="007061DD">
        <w:rPr>
          <w:rFonts w:ascii="Times New Roman" w:hAnsi="Times New Roman" w:cs="Times New Roman"/>
        </w:rPr>
        <w:t xml:space="preserve">patients above the range exhibit significantly lower values in the DMN and </w:t>
      </w:r>
      <w:proofErr w:type="spellStart"/>
      <w:r w:rsidRPr="007061DD">
        <w:rPr>
          <w:rFonts w:ascii="Times New Roman" w:hAnsi="Times New Roman" w:cs="Times New Roman"/>
        </w:rPr>
        <w:t>Cont</w:t>
      </w:r>
      <w:proofErr w:type="spellEnd"/>
      <w:r w:rsidRPr="007061DD">
        <w:rPr>
          <w:rFonts w:ascii="Times New Roman" w:hAnsi="Times New Roman" w:cs="Times New Roman"/>
        </w:rPr>
        <w:t xml:space="preserve"> areas compared to healthy subjects. Conversely, out</w:t>
      </w:r>
      <w:r w:rsidR="007079F1" w:rsidRPr="007061DD">
        <w:rPr>
          <w:rFonts w:ascii="Times New Roman" w:hAnsi="Times New Roman" w:cs="Times New Roman"/>
        </w:rPr>
        <w:t xml:space="preserve">lier </w:t>
      </w:r>
      <w:r w:rsidRPr="007061DD">
        <w:rPr>
          <w:rFonts w:ascii="Times New Roman" w:hAnsi="Times New Roman" w:cs="Times New Roman"/>
        </w:rPr>
        <w:t>patients below the range show a marked increase in the values of the limbic and subcortical regions compared to healthy controls.</w:t>
      </w:r>
    </w:p>
    <w:p w14:paraId="0C6EBAD8" w14:textId="0D65116B" w:rsidR="0052692E" w:rsidRPr="007061DD" w:rsidRDefault="00646022" w:rsidP="00DC0ED9">
      <w:pPr>
        <w:spacing w:after="0" w:line="360" w:lineRule="auto"/>
        <w:jc w:val="both"/>
        <w:rPr>
          <w:rFonts w:ascii="Times New Roman" w:hAnsi="Times New Roman" w:cs="Times New Roman"/>
        </w:rPr>
      </w:pPr>
      <w:r w:rsidRPr="007061DD">
        <w:rPr>
          <w:rFonts w:ascii="Times New Roman" w:hAnsi="Times New Roman" w:cs="Times New Roman"/>
        </w:rPr>
        <w:t xml:space="preserve">In contrast, the case of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Pr="007061DD">
        <w:rPr>
          <w:rFonts w:ascii="Times New Roman" w:hAnsi="Times New Roman" w:cs="Times New Roman"/>
        </w:rPr>
        <w:t xml:space="preserve"> and MC</w:t>
      </w:r>
      <w:r w:rsidR="00B05823" w:rsidRPr="007061DD">
        <w:rPr>
          <w:rFonts w:ascii="Times New Roman" w:hAnsi="Times New Roman" w:cs="Times New Roman"/>
        </w:rPr>
        <w:t xml:space="preserve"> (</w:t>
      </w:r>
      <w:r w:rsidR="00C12846" w:rsidRPr="007061DD">
        <w:rPr>
          <w:rFonts w:ascii="Times New Roman" w:hAnsi="Times New Roman" w:cs="Times New Roman"/>
          <w:b/>
          <w:bCs/>
        </w:rPr>
        <w:fldChar w:fldCharType="begin"/>
      </w:r>
      <w:r w:rsidR="00C12846" w:rsidRPr="007061DD">
        <w:rPr>
          <w:rFonts w:ascii="Times New Roman" w:hAnsi="Times New Roman" w:cs="Times New Roman"/>
        </w:rPr>
        <w:instrText xml:space="preserve"> REF _Ref177741035 \h </w:instrText>
      </w:r>
      <w:r w:rsidR="00B133F7" w:rsidRPr="007061DD">
        <w:rPr>
          <w:rFonts w:ascii="Times New Roman" w:hAnsi="Times New Roman" w:cs="Times New Roman"/>
          <w:b/>
          <w:bCs/>
        </w:rPr>
        <w:instrText xml:space="preserve"> \* MERGEFORMAT </w:instrText>
      </w:r>
      <w:r w:rsidR="00C12846" w:rsidRPr="007061DD">
        <w:rPr>
          <w:rFonts w:ascii="Times New Roman" w:hAnsi="Times New Roman" w:cs="Times New Roman"/>
          <w:b/>
          <w:bCs/>
        </w:rPr>
      </w:r>
      <w:r w:rsidR="00C12846" w:rsidRPr="007061DD">
        <w:rPr>
          <w:rFonts w:ascii="Times New Roman" w:hAnsi="Times New Roman" w:cs="Times New Roman"/>
          <w:b/>
          <w:bCs/>
        </w:rPr>
        <w:fldChar w:fldCharType="separate"/>
      </w:r>
      <w:r w:rsidR="00C12846" w:rsidRPr="007061DD">
        <w:rPr>
          <w:rFonts w:ascii="Times New Roman" w:hAnsi="Times New Roman" w:cs="Times New Roman"/>
          <w:b/>
          <w:bCs/>
          <w:color w:val="000000" w:themeColor="text1"/>
        </w:rPr>
        <w:t xml:space="preserve">Supplementary Fig. </w:t>
      </w:r>
      <w:r w:rsidR="00C12846" w:rsidRPr="007061DD">
        <w:rPr>
          <w:rFonts w:ascii="Times New Roman" w:hAnsi="Times New Roman" w:cs="Times New Roman"/>
          <w:b/>
          <w:bCs/>
          <w:noProof/>
          <w:color w:val="000000" w:themeColor="text1"/>
        </w:rPr>
        <w:t>7</w:t>
      </w:r>
      <w:r w:rsidR="00C12846" w:rsidRPr="007061DD">
        <w:rPr>
          <w:rFonts w:ascii="Times New Roman" w:hAnsi="Times New Roman" w:cs="Times New Roman"/>
          <w:b/>
          <w:bCs/>
        </w:rPr>
        <w:fldChar w:fldCharType="end"/>
      </w:r>
      <w:r w:rsidR="00B05823" w:rsidRPr="007061DD">
        <w:rPr>
          <w:rFonts w:ascii="Times New Roman" w:hAnsi="Times New Roman" w:cs="Times New Roman"/>
        </w:rPr>
        <w:t>)</w:t>
      </w:r>
      <w:r w:rsidRPr="007061DD">
        <w:rPr>
          <w:rFonts w:ascii="Times New Roman" w:hAnsi="Times New Roman" w:cs="Times New Roman"/>
        </w:rPr>
        <w:t xml:space="preserve"> shows that all out</w:t>
      </w:r>
      <w:r w:rsidR="007079F1" w:rsidRPr="007061DD">
        <w:rPr>
          <w:rFonts w:ascii="Times New Roman" w:hAnsi="Times New Roman" w:cs="Times New Roman"/>
        </w:rPr>
        <w:t xml:space="preserve">lier </w:t>
      </w:r>
      <w:r w:rsidRPr="007061DD">
        <w:rPr>
          <w:rFonts w:ascii="Times New Roman" w:hAnsi="Times New Roman" w:cs="Times New Roman"/>
        </w:rPr>
        <w:t xml:space="preserve">patients share common characteristics, specifically with generally negative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Pr="007061DD">
        <w:rPr>
          <w:rFonts w:ascii="Times New Roman" w:hAnsi="Times New Roman" w:cs="Times New Roman"/>
        </w:rPr>
        <w:t xml:space="preserve"> scores and positive MC scores. Additionally, the </w:t>
      </w:r>
      <m:oMath>
        <m:acc>
          <m:accPr>
            <m:ctrlPr>
              <w:rPr>
                <w:rFonts w:ascii="Cambria Math" w:hAnsi="Cambria Math" w:cs="Times New Roman"/>
                <w:color w:val="000000" w:themeColor="text1"/>
                <w:lang w:val="en-GB"/>
              </w:rPr>
            </m:ctrlPr>
          </m:accPr>
          <m:e>
            <m:r>
              <m:rPr>
                <m:nor/>
              </m:rPr>
              <w:rPr>
                <w:rFonts w:ascii="Times New Roman" w:hAnsi="Times New Roman" w:cs="Times New Roman"/>
                <w:color w:val="000000" w:themeColor="text1"/>
                <w:lang w:val="en-GB"/>
              </w:rPr>
              <m:t>FC</m:t>
            </m:r>
          </m:e>
        </m:acc>
      </m:oMath>
      <w:r w:rsidRPr="007061DD">
        <w:rPr>
          <w:rFonts w:ascii="Times New Roman" w:hAnsi="Times New Roman" w:cs="Times New Roman"/>
        </w:rPr>
        <w:t xml:space="preserve"> matrices of all out</w:t>
      </w:r>
      <w:r w:rsidR="007079F1" w:rsidRPr="007061DD">
        <w:rPr>
          <w:rFonts w:ascii="Times New Roman" w:hAnsi="Times New Roman" w:cs="Times New Roman"/>
        </w:rPr>
        <w:t xml:space="preserve">lier </w:t>
      </w:r>
      <w:r w:rsidRPr="007061DD">
        <w:rPr>
          <w:rFonts w:ascii="Times New Roman" w:hAnsi="Times New Roman" w:cs="Times New Roman"/>
        </w:rPr>
        <w:t xml:space="preserve">patients tend to have lower entries than those of healthy controls, indicating reduced functional integration. Regarding the MC matrices, these also share similar characteristics among patients, with very low values tending towards zero for most networks and higher values (compared to healthy subjects) in the areas involving </w:t>
      </w:r>
      <w:proofErr w:type="spellStart"/>
      <w:r w:rsidRPr="007061DD">
        <w:rPr>
          <w:rFonts w:ascii="Times New Roman" w:hAnsi="Times New Roman" w:cs="Times New Roman"/>
        </w:rPr>
        <w:t>DorsAttn</w:t>
      </w:r>
      <w:proofErr w:type="spellEnd"/>
      <w:r w:rsidRPr="007061DD">
        <w:rPr>
          <w:rFonts w:ascii="Times New Roman" w:hAnsi="Times New Roman" w:cs="Times New Roman"/>
        </w:rPr>
        <w:t xml:space="preserve"> and subcortical </w:t>
      </w:r>
      <w:r w:rsidR="007554D8" w:rsidRPr="007061DD">
        <w:rPr>
          <w:rFonts w:ascii="Times New Roman" w:hAnsi="Times New Roman" w:cs="Times New Roman"/>
        </w:rPr>
        <w:t>networks</w:t>
      </w:r>
      <w:r w:rsidRPr="007061DD">
        <w:rPr>
          <w:rFonts w:ascii="Times New Roman" w:hAnsi="Times New Roman" w:cs="Times New Roman"/>
        </w:rPr>
        <w:t>.</w:t>
      </w:r>
    </w:p>
    <w:p w14:paraId="6811F619" w14:textId="77777777" w:rsidR="00B05823" w:rsidRPr="007061DD" w:rsidRDefault="00B05823" w:rsidP="00DC0ED9">
      <w:pPr>
        <w:spacing w:after="0" w:line="360" w:lineRule="auto"/>
        <w:rPr>
          <w:rFonts w:ascii="Times New Roman" w:hAnsi="Times New Roman" w:cs="Times New Roman"/>
        </w:rPr>
      </w:pPr>
    </w:p>
    <w:p w14:paraId="677FC214" w14:textId="5C21D91B" w:rsidR="00E02EA5" w:rsidRPr="007061DD" w:rsidRDefault="00E02EA5" w:rsidP="00DC0ED9">
      <w:pPr>
        <w:spacing w:after="0" w:line="360" w:lineRule="auto"/>
        <w:rPr>
          <w:rFonts w:ascii="Times New Roman" w:hAnsi="Times New Roman" w:cs="Times New Roman"/>
          <w:b/>
          <w:bCs/>
        </w:rPr>
      </w:pPr>
      <w:r w:rsidRPr="007061DD">
        <w:rPr>
          <w:rFonts w:ascii="Times New Roman" w:hAnsi="Times New Roman" w:cs="Times New Roman"/>
          <w:b/>
          <w:bCs/>
        </w:rPr>
        <w:t>Assessment of the impact of different acquisition scanners</w:t>
      </w:r>
    </w:p>
    <w:p w14:paraId="781D336B" w14:textId="2521D1B3" w:rsidR="00E03926" w:rsidRPr="007061DD" w:rsidRDefault="00BD7D0D" w:rsidP="00DC0ED9">
      <w:pPr>
        <w:spacing w:after="0" w:line="360" w:lineRule="auto"/>
        <w:jc w:val="both"/>
        <w:rPr>
          <w:rFonts w:ascii="Times New Roman" w:hAnsi="Times New Roman" w:cs="Times New Roman"/>
        </w:rPr>
      </w:pPr>
      <w:r w:rsidRPr="007061DD">
        <w:rPr>
          <w:rFonts w:ascii="Times New Roman" w:hAnsi="Times New Roman" w:cs="Times New Roman"/>
        </w:rPr>
        <w:t>Concerning</w:t>
      </w:r>
      <w:r w:rsidR="00575FF5" w:rsidRPr="007061DD">
        <w:rPr>
          <w:rFonts w:ascii="Times New Roman" w:hAnsi="Times New Roman" w:cs="Times New Roman"/>
        </w:rPr>
        <w:t xml:space="preserve"> the potential impact of different acquisition scanners on the results</w:t>
      </w:r>
      <w:r w:rsidRPr="007061DD">
        <w:rPr>
          <w:rFonts w:ascii="Times New Roman" w:hAnsi="Times New Roman" w:cs="Times New Roman"/>
        </w:rPr>
        <w:t>, we have</w:t>
      </w:r>
      <w:r w:rsidR="00575FF5" w:rsidRPr="007061DD">
        <w:rPr>
          <w:rFonts w:ascii="Times New Roman" w:hAnsi="Times New Roman" w:cs="Times New Roman"/>
        </w:rPr>
        <w:t xml:space="preserve"> </w:t>
      </w:r>
      <w:r w:rsidR="00DD6CEC" w:rsidRPr="007061DD">
        <w:rPr>
          <w:rFonts w:ascii="Times New Roman" w:hAnsi="Times New Roman" w:cs="Times New Roman"/>
        </w:rPr>
        <w:t>compared</w:t>
      </w:r>
      <w:r w:rsidR="00575FF5" w:rsidRPr="007061DD">
        <w:rPr>
          <w:rFonts w:ascii="Times New Roman" w:hAnsi="Times New Roman" w:cs="Times New Roman"/>
        </w:rPr>
        <w:t xml:space="preserve"> CNR and SNR levels between HCs and patients for PET and fMRI measures, respectively. As depicted in</w:t>
      </w:r>
      <w:r w:rsidR="00C12846" w:rsidRPr="007061DD">
        <w:rPr>
          <w:rFonts w:ascii="Times New Roman" w:hAnsi="Times New Roman" w:cs="Times New Roman"/>
          <w:b/>
          <w:bCs/>
        </w:rPr>
        <w:t xml:space="preserve"> </w:t>
      </w:r>
      <w:r w:rsidR="00C12846" w:rsidRPr="007061DD">
        <w:rPr>
          <w:rFonts w:ascii="Times New Roman" w:hAnsi="Times New Roman" w:cs="Times New Roman"/>
          <w:b/>
          <w:bCs/>
        </w:rPr>
        <w:fldChar w:fldCharType="begin"/>
      </w:r>
      <w:r w:rsidR="00C12846" w:rsidRPr="007061DD">
        <w:rPr>
          <w:rFonts w:ascii="Times New Roman" w:hAnsi="Times New Roman" w:cs="Times New Roman"/>
          <w:b/>
          <w:bCs/>
        </w:rPr>
        <w:instrText xml:space="preserve"> REF _Ref177741060 \h </w:instrText>
      </w:r>
      <w:r w:rsidR="00B133F7" w:rsidRPr="007061DD">
        <w:rPr>
          <w:rFonts w:ascii="Times New Roman" w:hAnsi="Times New Roman" w:cs="Times New Roman"/>
          <w:b/>
          <w:bCs/>
        </w:rPr>
        <w:instrText xml:space="preserve"> \* MERGEFORMAT </w:instrText>
      </w:r>
      <w:r w:rsidR="00C12846" w:rsidRPr="007061DD">
        <w:rPr>
          <w:rFonts w:ascii="Times New Roman" w:hAnsi="Times New Roman" w:cs="Times New Roman"/>
          <w:b/>
          <w:bCs/>
        </w:rPr>
      </w:r>
      <w:r w:rsidR="00C12846" w:rsidRPr="007061DD">
        <w:rPr>
          <w:rFonts w:ascii="Times New Roman" w:hAnsi="Times New Roman" w:cs="Times New Roman"/>
          <w:b/>
          <w:bCs/>
        </w:rPr>
        <w:fldChar w:fldCharType="separate"/>
      </w:r>
      <w:r w:rsidR="00C12846" w:rsidRPr="007061DD">
        <w:rPr>
          <w:rFonts w:ascii="Times New Roman" w:hAnsi="Times New Roman" w:cs="Times New Roman"/>
          <w:b/>
          <w:bCs/>
          <w:color w:val="000000" w:themeColor="text1"/>
        </w:rPr>
        <w:t xml:space="preserve">Supplementary Fig. </w:t>
      </w:r>
      <w:r w:rsidR="00C12846" w:rsidRPr="007061DD">
        <w:rPr>
          <w:rFonts w:ascii="Times New Roman" w:hAnsi="Times New Roman" w:cs="Times New Roman"/>
          <w:b/>
          <w:bCs/>
          <w:noProof/>
          <w:color w:val="000000" w:themeColor="text1"/>
        </w:rPr>
        <w:t>9</w:t>
      </w:r>
      <w:r w:rsidR="00C12846" w:rsidRPr="007061DD">
        <w:rPr>
          <w:rFonts w:ascii="Times New Roman" w:hAnsi="Times New Roman" w:cs="Times New Roman"/>
          <w:b/>
          <w:bCs/>
        </w:rPr>
        <w:fldChar w:fldCharType="end"/>
      </w:r>
      <w:r w:rsidR="00C12846" w:rsidRPr="007061DD">
        <w:rPr>
          <w:rFonts w:ascii="Times New Roman" w:hAnsi="Times New Roman" w:cs="Times New Roman"/>
          <w:b/>
          <w:bCs/>
        </w:rPr>
        <w:t>a</w:t>
      </w:r>
      <w:r w:rsidR="00575FF5" w:rsidRPr="007061DD">
        <w:rPr>
          <w:rFonts w:ascii="Times New Roman" w:hAnsi="Times New Roman" w:cs="Times New Roman"/>
        </w:rPr>
        <w:t>, the Mann-Whitney rank sum test, applied to compare Contrast-to-Noise Ratio values between the two groups in PET data, did not reveal any significant differences (</w:t>
      </w:r>
      <w:r w:rsidR="00575FF5" w:rsidRPr="007061DD">
        <w:rPr>
          <w:rFonts w:ascii="Times New Roman" w:hAnsi="Times New Roman" w:cs="Times New Roman"/>
          <w:i/>
          <w:iCs/>
        </w:rPr>
        <w:t xml:space="preserve">p-value </w:t>
      </w:r>
      <w:r w:rsidR="00575FF5" w:rsidRPr="007061DD">
        <w:rPr>
          <w:rFonts w:ascii="Times New Roman" w:hAnsi="Times New Roman" w:cs="Times New Roman"/>
        </w:rPr>
        <w:t>= 0.97). However, an evaluation of the temporal Signal-to-Noise Ratio for fMRI data (</w:t>
      </w:r>
      <w:r w:rsidR="00C12846" w:rsidRPr="007061DD">
        <w:rPr>
          <w:rFonts w:ascii="Times New Roman" w:hAnsi="Times New Roman" w:cs="Times New Roman"/>
          <w:b/>
          <w:bCs/>
        </w:rPr>
        <w:fldChar w:fldCharType="begin"/>
      </w:r>
      <w:r w:rsidR="00C12846" w:rsidRPr="007061DD">
        <w:rPr>
          <w:rFonts w:ascii="Times New Roman" w:hAnsi="Times New Roman" w:cs="Times New Roman"/>
          <w:b/>
          <w:bCs/>
        </w:rPr>
        <w:instrText xml:space="preserve"> REF _Ref177741060 \h </w:instrText>
      </w:r>
      <w:r w:rsidR="007061DD" w:rsidRPr="007061DD">
        <w:rPr>
          <w:rFonts w:ascii="Times New Roman" w:hAnsi="Times New Roman" w:cs="Times New Roman"/>
          <w:b/>
          <w:bCs/>
        </w:rPr>
        <w:instrText xml:space="preserve"> \* MERGEFORMAT </w:instrText>
      </w:r>
      <w:r w:rsidR="00C12846" w:rsidRPr="007061DD">
        <w:rPr>
          <w:rFonts w:ascii="Times New Roman" w:hAnsi="Times New Roman" w:cs="Times New Roman"/>
          <w:b/>
          <w:bCs/>
        </w:rPr>
      </w:r>
      <w:r w:rsidR="00C12846" w:rsidRPr="007061DD">
        <w:rPr>
          <w:rFonts w:ascii="Times New Roman" w:hAnsi="Times New Roman" w:cs="Times New Roman"/>
          <w:b/>
          <w:bCs/>
        </w:rPr>
        <w:fldChar w:fldCharType="separate"/>
      </w:r>
      <w:r w:rsidR="00C12846" w:rsidRPr="007061DD">
        <w:rPr>
          <w:rFonts w:ascii="Times New Roman" w:hAnsi="Times New Roman" w:cs="Times New Roman"/>
          <w:b/>
          <w:bCs/>
          <w:color w:val="000000" w:themeColor="text1"/>
        </w:rPr>
        <w:t xml:space="preserve">Supplementary Fig. </w:t>
      </w:r>
      <w:r w:rsidR="00C12846" w:rsidRPr="007061DD">
        <w:rPr>
          <w:rFonts w:ascii="Times New Roman" w:hAnsi="Times New Roman" w:cs="Times New Roman"/>
          <w:b/>
          <w:bCs/>
          <w:noProof/>
          <w:color w:val="000000" w:themeColor="text1"/>
        </w:rPr>
        <w:t>9</w:t>
      </w:r>
      <w:r w:rsidR="00C12846" w:rsidRPr="007061DD">
        <w:rPr>
          <w:rFonts w:ascii="Times New Roman" w:hAnsi="Times New Roman" w:cs="Times New Roman"/>
          <w:b/>
          <w:bCs/>
        </w:rPr>
        <w:fldChar w:fldCharType="end"/>
      </w:r>
      <w:r w:rsidR="00C12846" w:rsidRPr="007061DD">
        <w:rPr>
          <w:rFonts w:ascii="Times New Roman" w:hAnsi="Times New Roman" w:cs="Times New Roman"/>
          <w:b/>
          <w:bCs/>
        </w:rPr>
        <w:t>b</w:t>
      </w:r>
      <w:r w:rsidR="00575FF5" w:rsidRPr="007061DD">
        <w:rPr>
          <w:rFonts w:ascii="Times New Roman" w:hAnsi="Times New Roman" w:cs="Times New Roman"/>
        </w:rPr>
        <w:t>) exposed some discrepancies, particularly in Limbic areas and certain deep structures such as the hippocampus and cerebellum, which are among the most affected by magnetic susceptibility artefacts</w:t>
      </w:r>
      <w:r w:rsidRPr="007061DD">
        <w:rPr>
          <w:rFonts w:ascii="Times New Roman" w:hAnsi="Times New Roman" w:cs="Times New Roman"/>
        </w:rPr>
        <w:fldChar w:fldCharType="begin" w:fldLock="1"/>
      </w:r>
      <w:r w:rsidR="005C4031" w:rsidRPr="007061DD">
        <w:rPr>
          <w:rFonts w:ascii="Times New Roman" w:hAnsi="Times New Roman" w:cs="Times New Roman"/>
        </w:rPr>
        <w:instrText>ADDIN CSL_CITATION {"citationItems":[{"id":"ITEM-1","itemData":{"DOI":"10.1016/j.neuroimage.2015.03.017","ISSN":"10959572","PMID":"25791784","abstract":"Recently introduced hybrid PET/MR scanners provide the opportunity to measure simultaneously, and in direct spatial correspondence, both metabolic demand and functional activity of the brain, hence capturing complementary information on the brain's physiological state. Here we exploited PET/MR simultaneous imaging to explore the relationship between the metabolic information provided by resting-state fluorodeoxyglucose-PET (FDG-PET) and fMRI (rs-fMRI) in neurologically healthy subjects. Regional homogeneity (ReHo), fractional amplitude of low frequency fluctuations (fALFF), and degree of centrality (DC) maps were generated from the rs-fMRI data in 23 subjects, and voxel-wise comparison to glucose uptake distribution provided by simultaneously acquired FDG-PET was performed. The mutual relationships among each couple of these four metrics were explored in terms of similarity, both of spatial distribution across the brain and the whole group, and voxel-wise across subjects, taking into account partial volume effects by adjusting for grey matter (GM) volume. Although a significant correlation between the spatial distribution of glucose uptake and rs-fMRI derived metrics was present, only a limited percentage of GM voxels correlated with PET across subjects. Moreover, the correlation between the spatial distributions of PET and rs-fMRI-derived metrics is spatially heterogeneous across both anatomic regions and functional networks, with lowest correlation strength in the limbic network (Spearman rho around -0.11 for DC), and strongest correlation for the default-mode network (up to 0.89 for ReHo and 0.86 for fALFF). Overall, ReHo and fALFF provided significantly higher correlation coefficients with PET (p=10-8 and 10-7, respectively) as compared to DC, while no significant differences were present between ReHo and fALFF. Local GM volume variations introduced a limited overestimation of the rs-fMRI to FDG correlation between the modalities under investigation through partial volume effects. These novel results provide the basis for future studies of alterations of the coupling between brain metabolism and functional connectivity in pathologic conditions.","author":[{"dropping-particle":"","family":"Aiello","given":"Marco","non-dropping-particle":"","parse-names":false,"suffix":""},{"dropping-particle":"","family":"Salvatore","given":"Elena","non-dropping-particle":"","parse-names":false,"suffix":""},{"dropping-particle":"","family":"Cachia","given":"Arnaud","non-dropping-particle":"","parse-names":false,"suffix":""},{"dropping-particle":"","family":"Pappatà","given":"Sabina","non-dropping-particle":"","parse-names":false,"suffix":""},{"dropping-particle":"","family":"Cavaliere","given":"Carlo","non-dropping-particle":"","parse-names":false,"suffix":""},{"dropping-particle":"","family":"Prinster","given":"Anna","non-dropping-particle":"","parse-names":false,"suffix":""},{"dropping-particle":"","family":"Nicolai","given":"Emanuele","non-dropping-particle":"","parse-names":false,"suffix":""},{"dropping-particle":"","family":"Salvatore","given":"Marco","non-dropping-particle":"","parse-names":false,"suffix":""},{"dropping-particle":"","family":"Baron","given":"Jean Claude","non-dropping-particle":"","parse-names":false,"suffix":""},{"dropping-particle":"","family":"Quarantelli","given":"Mario","non-dropping-particle":"","parse-names":false,"suffix":""}],"container-title":"NeuroImage","id":"ITEM-1","issued":{"date-parts":[["2015"]]},"page":"111-121","publisher":"Elsevier Inc.","title":"Relationship between simultaneously acquired resting-state regional cerebral glucose metabolism and functional MRI: A PET/MR hybrid scanner study","type":"article-journal","volume":"113"},"uris":["http://www.mendeley.com/documents/?uuid=12a37ae9-5d3e-4e70-9db3-3b8410c44e6a"]}],"mendeley":{"formattedCitation":"&lt;sup&gt;23&lt;/sup&gt;","plainTextFormattedCitation":"23","previouslyFormattedCitation":"&lt;sup&gt;22&lt;/sup&gt;"},"properties":{"noteIndex":0},"schema":"https://github.com/citation-style-language/schema/raw/master/csl-citation.json"}</w:instrText>
      </w:r>
      <w:r w:rsidRPr="007061DD">
        <w:rPr>
          <w:rFonts w:ascii="Times New Roman" w:hAnsi="Times New Roman" w:cs="Times New Roman"/>
        </w:rPr>
        <w:fldChar w:fldCharType="separate"/>
      </w:r>
      <w:r w:rsidR="005C4031" w:rsidRPr="007061DD">
        <w:rPr>
          <w:rFonts w:ascii="Times New Roman" w:hAnsi="Times New Roman" w:cs="Times New Roman"/>
          <w:noProof/>
          <w:vertAlign w:val="superscript"/>
        </w:rPr>
        <w:t>23</w:t>
      </w:r>
      <w:r w:rsidRPr="007061DD">
        <w:rPr>
          <w:rFonts w:ascii="Times New Roman" w:hAnsi="Times New Roman" w:cs="Times New Roman"/>
        </w:rPr>
        <w:fldChar w:fldCharType="end"/>
      </w:r>
      <w:r w:rsidR="0030662F" w:rsidRPr="007061DD">
        <w:rPr>
          <w:rFonts w:ascii="Times New Roman" w:hAnsi="Times New Roman" w:cs="Times New Roman"/>
        </w:rPr>
        <w:t xml:space="preserve">. </w:t>
      </w:r>
      <w:r w:rsidR="00575FF5" w:rsidRPr="007061DD">
        <w:rPr>
          <w:rFonts w:ascii="Times New Roman" w:hAnsi="Times New Roman" w:cs="Times New Roman"/>
        </w:rPr>
        <w:t>This observation prompted further investigation into the influence of these differences on the results through an additional test leading to the exclusion of these specific ROIs from the projection of patients onto the functional latent dimension (i.e., discarding the corresponding salience functional weights). Despite the presence of residual differences, as illustrated in</w:t>
      </w:r>
      <w:r w:rsidR="00A14CF2" w:rsidRPr="007061DD">
        <w:rPr>
          <w:rFonts w:ascii="Times New Roman" w:hAnsi="Times New Roman" w:cs="Times New Roman"/>
        </w:rPr>
        <w:t xml:space="preserve"> </w:t>
      </w:r>
      <w:r w:rsidR="00A14CF2" w:rsidRPr="007061DD">
        <w:rPr>
          <w:rFonts w:ascii="Times New Roman" w:hAnsi="Times New Roman" w:cs="Times New Roman"/>
        </w:rPr>
        <w:fldChar w:fldCharType="begin"/>
      </w:r>
      <w:r w:rsidR="00A14CF2" w:rsidRPr="007061DD">
        <w:rPr>
          <w:rFonts w:ascii="Times New Roman" w:hAnsi="Times New Roman" w:cs="Times New Roman"/>
        </w:rPr>
        <w:instrText xml:space="preserve"> REF _Ref177986639 \h  \* MERGEFORMAT </w:instrText>
      </w:r>
      <w:r w:rsidR="00A14CF2" w:rsidRPr="007061DD">
        <w:rPr>
          <w:rFonts w:ascii="Times New Roman" w:hAnsi="Times New Roman" w:cs="Times New Roman"/>
        </w:rPr>
      </w:r>
      <w:r w:rsidR="00A14CF2" w:rsidRPr="007061DD">
        <w:rPr>
          <w:rFonts w:ascii="Times New Roman" w:hAnsi="Times New Roman" w:cs="Times New Roman"/>
        </w:rPr>
        <w:fldChar w:fldCharType="separate"/>
      </w:r>
      <w:r w:rsidR="00A14CF2" w:rsidRPr="007061DD">
        <w:rPr>
          <w:rFonts w:ascii="Times New Roman" w:hAnsi="Times New Roman" w:cs="Times New Roman"/>
          <w:b/>
          <w:bCs/>
          <w:color w:val="000000" w:themeColor="text1"/>
        </w:rPr>
        <w:t xml:space="preserve">Supplementary Fig. </w:t>
      </w:r>
      <w:r w:rsidR="00A14CF2" w:rsidRPr="007061DD">
        <w:rPr>
          <w:rFonts w:ascii="Times New Roman" w:hAnsi="Times New Roman" w:cs="Times New Roman"/>
          <w:b/>
          <w:bCs/>
          <w:noProof/>
          <w:color w:val="000000" w:themeColor="text1"/>
        </w:rPr>
        <w:t>10</w:t>
      </w:r>
      <w:r w:rsidR="00A14CF2" w:rsidRPr="007061DD">
        <w:rPr>
          <w:rFonts w:ascii="Times New Roman" w:hAnsi="Times New Roman" w:cs="Times New Roman"/>
        </w:rPr>
        <w:fldChar w:fldCharType="end"/>
      </w:r>
      <w:r w:rsidR="00575FF5" w:rsidRPr="007061DD">
        <w:rPr>
          <w:rFonts w:ascii="Times New Roman" w:hAnsi="Times New Roman" w:cs="Times New Roman"/>
        </w:rPr>
        <w:t xml:space="preserve">, the spatial dispersion of data </w:t>
      </w:r>
      <w:r w:rsidR="00575FF5" w:rsidRPr="007061DD">
        <w:rPr>
          <w:rFonts w:ascii="Times New Roman" w:hAnsi="Times New Roman" w:cs="Times New Roman"/>
        </w:rPr>
        <w:lastRenderedPageBreak/>
        <w:t>points remained largely insensitive to the removal of these ROIs, indicating a negligible effect on the observed decoupling pattern induced by the tumor.</w:t>
      </w:r>
    </w:p>
    <w:p w14:paraId="0062245A" w14:textId="0B2C2504" w:rsidR="009D780B" w:rsidRPr="007061DD" w:rsidRDefault="009D780B" w:rsidP="00DC0ED9">
      <w:pPr>
        <w:spacing w:after="0" w:line="360" w:lineRule="auto"/>
        <w:rPr>
          <w:rFonts w:ascii="Times New Roman" w:hAnsi="Times New Roman" w:cs="Times New Roman"/>
          <w:b/>
          <w:bCs/>
        </w:rPr>
      </w:pPr>
    </w:p>
    <w:p w14:paraId="75F10D5A" w14:textId="6797A7B0" w:rsidR="00D54F4D" w:rsidRPr="00DC0ED9" w:rsidRDefault="00D54F4D" w:rsidP="00DC0ED9">
      <w:pPr>
        <w:spacing w:after="0" w:line="360" w:lineRule="auto"/>
        <w:jc w:val="center"/>
        <w:rPr>
          <w:rFonts w:ascii="Times New Roman" w:hAnsi="Times New Roman" w:cs="Times New Roman"/>
          <w:b/>
          <w:sz w:val="28"/>
          <w:szCs w:val="28"/>
          <w:lang w:val="es-ES"/>
        </w:rPr>
      </w:pPr>
      <w:r w:rsidRPr="00DC0ED9">
        <w:rPr>
          <w:rFonts w:ascii="Times New Roman" w:hAnsi="Times New Roman" w:cs="Times New Roman"/>
          <w:b/>
          <w:sz w:val="28"/>
          <w:szCs w:val="28"/>
          <w:lang w:val="es-ES"/>
        </w:rPr>
        <w:t>References</w:t>
      </w:r>
    </w:p>
    <w:p w14:paraId="1383979F" w14:textId="7B68F61D" w:rsidR="005C4031" w:rsidRPr="007061DD" w:rsidRDefault="00D54F4D"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b/>
          <w:bCs/>
        </w:rPr>
        <w:fldChar w:fldCharType="begin" w:fldLock="1"/>
      </w:r>
      <w:r w:rsidRPr="007061DD">
        <w:rPr>
          <w:rFonts w:ascii="Times New Roman" w:hAnsi="Times New Roman" w:cs="Times New Roman"/>
          <w:b/>
          <w:lang w:val="es-ES"/>
        </w:rPr>
        <w:instrText xml:space="preserve">ADDIN Mendeley Bibliography CSL_BIBLIOGRAPHY </w:instrText>
      </w:r>
      <w:r w:rsidRPr="007061DD">
        <w:rPr>
          <w:rFonts w:ascii="Times New Roman" w:hAnsi="Times New Roman" w:cs="Times New Roman"/>
          <w:b/>
          <w:bCs/>
        </w:rPr>
        <w:fldChar w:fldCharType="separate"/>
      </w:r>
      <w:r w:rsidR="005C4031" w:rsidRPr="007061DD">
        <w:rPr>
          <w:rFonts w:ascii="Times New Roman" w:hAnsi="Times New Roman" w:cs="Times New Roman"/>
          <w:lang w:val="es-ES"/>
        </w:rPr>
        <w:t>1.</w:t>
      </w:r>
      <w:r w:rsidR="005C4031" w:rsidRPr="007061DD">
        <w:rPr>
          <w:rFonts w:ascii="Times New Roman" w:hAnsi="Times New Roman" w:cs="Times New Roman"/>
          <w:lang w:val="es-ES"/>
        </w:rPr>
        <w:tab/>
        <w:t xml:space="preserve">Elam, J. S. </w:t>
      </w:r>
      <w:r w:rsidR="005C4031" w:rsidRPr="007061DD">
        <w:rPr>
          <w:rFonts w:ascii="Times New Roman" w:hAnsi="Times New Roman" w:cs="Times New Roman"/>
          <w:i/>
          <w:lang w:val="es-ES"/>
        </w:rPr>
        <w:t>et al.</w:t>
      </w:r>
      <w:r w:rsidR="005C4031" w:rsidRPr="007061DD">
        <w:rPr>
          <w:rFonts w:ascii="Times New Roman" w:hAnsi="Times New Roman" w:cs="Times New Roman"/>
          <w:lang w:val="es-ES"/>
        </w:rPr>
        <w:t xml:space="preserve"> </w:t>
      </w:r>
      <w:r w:rsidR="005C4031" w:rsidRPr="007061DD">
        <w:rPr>
          <w:rFonts w:ascii="Times New Roman" w:hAnsi="Times New Roman" w:cs="Times New Roman"/>
          <w:noProof/>
        </w:rPr>
        <w:t xml:space="preserve">The Human Connectome Project: A retrospective. </w:t>
      </w:r>
      <w:r w:rsidR="005C4031" w:rsidRPr="007061DD">
        <w:rPr>
          <w:rFonts w:ascii="Times New Roman" w:hAnsi="Times New Roman" w:cs="Times New Roman"/>
          <w:i/>
          <w:iCs/>
          <w:noProof/>
        </w:rPr>
        <w:t>Neuroimage</w:t>
      </w:r>
      <w:r w:rsidR="005C4031" w:rsidRPr="007061DD">
        <w:rPr>
          <w:rFonts w:ascii="Times New Roman" w:hAnsi="Times New Roman" w:cs="Times New Roman"/>
          <w:noProof/>
        </w:rPr>
        <w:t xml:space="preserve"> </w:t>
      </w:r>
      <w:r w:rsidR="005C4031" w:rsidRPr="007061DD">
        <w:rPr>
          <w:rFonts w:ascii="Times New Roman" w:hAnsi="Times New Roman" w:cs="Times New Roman"/>
          <w:b/>
          <w:bCs/>
          <w:noProof/>
        </w:rPr>
        <w:t>244</w:t>
      </w:r>
      <w:r w:rsidR="005C4031" w:rsidRPr="007061DD">
        <w:rPr>
          <w:rFonts w:ascii="Times New Roman" w:hAnsi="Times New Roman" w:cs="Times New Roman"/>
          <w:noProof/>
        </w:rPr>
        <w:t>, 118543 (2021).</w:t>
      </w:r>
    </w:p>
    <w:p w14:paraId="3A5C580C"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2.</w:t>
      </w:r>
      <w:r w:rsidRPr="007061DD">
        <w:rPr>
          <w:rFonts w:ascii="Times New Roman" w:hAnsi="Times New Roman" w:cs="Times New Roman"/>
          <w:noProof/>
        </w:rPr>
        <w:tab/>
        <w:t xml:space="preserve">Yan, X. </w:t>
      </w:r>
      <w:r w:rsidRPr="007061DD">
        <w:rPr>
          <w:rFonts w:ascii="Times New Roman" w:hAnsi="Times New Roman" w:cs="Times New Roman"/>
          <w:i/>
          <w:iCs/>
          <w:noProof/>
        </w:rPr>
        <w:t>et al.</w:t>
      </w:r>
      <w:r w:rsidRPr="007061DD">
        <w:rPr>
          <w:rFonts w:ascii="Times New Roman" w:hAnsi="Times New Roman" w:cs="Times New Roman"/>
          <w:noProof/>
        </w:rPr>
        <w:t xml:space="preserve"> Homotopic local-global parcellation of the human cerebral cortex from resting-state functional connectivity.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273</w:t>
      </w:r>
      <w:r w:rsidRPr="007061DD">
        <w:rPr>
          <w:rFonts w:ascii="Times New Roman" w:hAnsi="Times New Roman" w:cs="Times New Roman"/>
          <w:noProof/>
        </w:rPr>
        <w:t>, 120010 (2023).</w:t>
      </w:r>
    </w:p>
    <w:p w14:paraId="03AAA16D"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3.</w:t>
      </w:r>
      <w:r w:rsidRPr="007061DD">
        <w:rPr>
          <w:rFonts w:ascii="Times New Roman" w:hAnsi="Times New Roman" w:cs="Times New Roman"/>
          <w:noProof/>
        </w:rPr>
        <w:tab/>
        <w:t xml:space="preserve">Schaefer, A. </w:t>
      </w:r>
      <w:r w:rsidRPr="007061DD">
        <w:rPr>
          <w:rFonts w:ascii="Times New Roman" w:hAnsi="Times New Roman" w:cs="Times New Roman"/>
          <w:i/>
          <w:iCs/>
          <w:noProof/>
        </w:rPr>
        <w:t>et al.</w:t>
      </w:r>
      <w:r w:rsidRPr="007061DD">
        <w:rPr>
          <w:rFonts w:ascii="Times New Roman" w:hAnsi="Times New Roman" w:cs="Times New Roman"/>
          <w:noProof/>
        </w:rPr>
        <w:t xml:space="preserve"> Local-Global Parcellation of the Human Cerebral Cortex from Intrinsic Functional Connectivity MRI. </w:t>
      </w:r>
      <w:r w:rsidRPr="007061DD">
        <w:rPr>
          <w:rFonts w:ascii="Times New Roman" w:hAnsi="Times New Roman" w:cs="Times New Roman"/>
          <w:i/>
          <w:iCs/>
          <w:noProof/>
        </w:rPr>
        <w:t>Cereb. Cortex</w:t>
      </w:r>
      <w:r w:rsidRPr="007061DD">
        <w:rPr>
          <w:rFonts w:ascii="Times New Roman" w:hAnsi="Times New Roman" w:cs="Times New Roman"/>
          <w:noProof/>
        </w:rPr>
        <w:t xml:space="preserve"> </w:t>
      </w:r>
      <w:r w:rsidRPr="007061DD">
        <w:rPr>
          <w:rFonts w:ascii="Times New Roman" w:hAnsi="Times New Roman" w:cs="Times New Roman"/>
          <w:b/>
          <w:bCs/>
          <w:noProof/>
        </w:rPr>
        <w:t>28</w:t>
      </w:r>
      <w:r w:rsidRPr="007061DD">
        <w:rPr>
          <w:rFonts w:ascii="Times New Roman" w:hAnsi="Times New Roman" w:cs="Times New Roman"/>
          <w:noProof/>
        </w:rPr>
        <w:t>, 3095–3114 (2018).</w:t>
      </w:r>
    </w:p>
    <w:p w14:paraId="43FF76A3"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4.</w:t>
      </w:r>
      <w:r w:rsidRPr="007061DD">
        <w:rPr>
          <w:rFonts w:ascii="Times New Roman" w:hAnsi="Times New Roman" w:cs="Times New Roman"/>
          <w:noProof/>
        </w:rPr>
        <w:tab/>
        <w:t xml:space="preserve">Shivamurthy, V. K. N., Tahari, A. K., Marcus, C. &amp; Subramaniam, R. M. Brain FDG PET and the diagnosis of dementia. </w:t>
      </w:r>
      <w:r w:rsidRPr="007061DD">
        <w:rPr>
          <w:rFonts w:ascii="Times New Roman" w:hAnsi="Times New Roman" w:cs="Times New Roman"/>
          <w:i/>
          <w:iCs/>
          <w:noProof/>
        </w:rPr>
        <w:t>AJR. Am. J. Roentgenol.</w:t>
      </w:r>
      <w:r w:rsidRPr="007061DD">
        <w:rPr>
          <w:rFonts w:ascii="Times New Roman" w:hAnsi="Times New Roman" w:cs="Times New Roman"/>
          <w:noProof/>
        </w:rPr>
        <w:t xml:space="preserve"> </w:t>
      </w:r>
      <w:r w:rsidRPr="007061DD">
        <w:rPr>
          <w:rFonts w:ascii="Times New Roman" w:hAnsi="Times New Roman" w:cs="Times New Roman"/>
          <w:b/>
          <w:bCs/>
          <w:noProof/>
        </w:rPr>
        <w:t>204</w:t>
      </w:r>
      <w:r w:rsidRPr="007061DD">
        <w:rPr>
          <w:rFonts w:ascii="Times New Roman" w:hAnsi="Times New Roman" w:cs="Times New Roman"/>
          <w:noProof/>
        </w:rPr>
        <w:t>, W76–W85 (2015).</w:t>
      </w:r>
    </w:p>
    <w:p w14:paraId="3A773337"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5.</w:t>
      </w:r>
      <w:r w:rsidRPr="007061DD">
        <w:rPr>
          <w:rFonts w:ascii="Times New Roman" w:hAnsi="Times New Roman" w:cs="Times New Roman"/>
          <w:noProof/>
        </w:rPr>
        <w:tab/>
        <w:t xml:space="preserve">Prando, G. </w:t>
      </w:r>
      <w:r w:rsidRPr="007061DD">
        <w:rPr>
          <w:rFonts w:ascii="Times New Roman" w:hAnsi="Times New Roman" w:cs="Times New Roman"/>
          <w:i/>
          <w:iCs/>
          <w:noProof/>
        </w:rPr>
        <w:t>et al.</w:t>
      </w:r>
      <w:r w:rsidRPr="007061DD">
        <w:rPr>
          <w:rFonts w:ascii="Times New Roman" w:hAnsi="Times New Roman" w:cs="Times New Roman"/>
          <w:noProof/>
        </w:rPr>
        <w:t xml:space="preserve"> Sparse DCM for whole-brain effective connectivity from resting-state fMRI data.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208</w:t>
      </w:r>
      <w:r w:rsidRPr="007061DD">
        <w:rPr>
          <w:rFonts w:ascii="Times New Roman" w:hAnsi="Times New Roman" w:cs="Times New Roman"/>
          <w:noProof/>
        </w:rPr>
        <w:t>, 116367 (2020).</w:t>
      </w:r>
    </w:p>
    <w:p w14:paraId="09F4A352"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6.</w:t>
      </w:r>
      <w:r w:rsidRPr="007061DD">
        <w:rPr>
          <w:rFonts w:ascii="Times New Roman" w:hAnsi="Times New Roman" w:cs="Times New Roman"/>
          <w:noProof/>
        </w:rPr>
        <w:tab/>
        <w:t xml:space="preserve">D. Benozzo, G.Baggio, G. B. et al. Analyzing asymmetry in brain hierarchies with a linear state-space model of resting-state fMRI data. </w:t>
      </w:r>
      <w:r w:rsidRPr="007061DD">
        <w:rPr>
          <w:rFonts w:ascii="Times New Roman" w:hAnsi="Times New Roman" w:cs="Times New Roman"/>
          <w:i/>
          <w:iCs/>
          <w:noProof/>
        </w:rPr>
        <w:t>bioRxiv</w:t>
      </w:r>
      <w:r w:rsidRPr="007061DD">
        <w:rPr>
          <w:rFonts w:ascii="Times New Roman" w:hAnsi="Times New Roman" w:cs="Times New Roman"/>
          <w:noProof/>
        </w:rPr>
        <w:t xml:space="preserve"> (2023) doi:https://doi.org/10.1101/2023.11.04.565625.</w:t>
      </w:r>
    </w:p>
    <w:p w14:paraId="092A2834"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7.</w:t>
      </w:r>
      <w:r w:rsidRPr="007061DD">
        <w:rPr>
          <w:rFonts w:ascii="Times New Roman" w:hAnsi="Times New Roman" w:cs="Times New Roman"/>
          <w:noProof/>
        </w:rPr>
        <w:tab/>
        <w:t xml:space="preserve">Ryali, S., Chen, T., Padmanabhan, A., Cai, W. &amp; Menon, V. Development and validation of consensus clustering-based framework for brain segmentation using resting fMRI. </w:t>
      </w:r>
      <w:r w:rsidRPr="007061DD">
        <w:rPr>
          <w:rFonts w:ascii="Times New Roman" w:hAnsi="Times New Roman" w:cs="Times New Roman"/>
          <w:i/>
          <w:iCs/>
          <w:noProof/>
        </w:rPr>
        <w:t>J. Neurosci. Methods</w:t>
      </w:r>
      <w:r w:rsidRPr="007061DD">
        <w:rPr>
          <w:rFonts w:ascii="Times New Roman" w:hAnsi="Times New Roman" w:cs="Times New Roman"/>
          <w:noProof/>
        </w:rPr>
        <w:t xml:space="preserve"> </w:t>
      </w:r>
      <w:r w:rsidRPr="007061DD">
        <w:rPr>
          <w:rFonts w:ascii="Times New Roman" w:hAnsi="Times New Roman" w:cs="Times New Roman"/>
          <w:b/>
          <w:bCs/>
          <w:noProof/>
        </w:rPr>
        <w:t>240</w:t>
      </w:r>
      <w:r w:rsidRPr="007061DD">
        <w:rPr>
          <w:rFonts w:ascii="Times New Roman" w:hAnsi="Times New Roman" w:cs="Times New Roman"/>
          <w:noProof/>
        </w:rPr>
        <w:t>, 128–140 (2015).</w:t>
      </w:r>
    </w:p>
    <w:p w14:paraId="31551B33"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8.</w:t>
      </w:r>
      <w:r w:rsidRPr="007061DD">
        <w:rPr>
          <w:rFonts w:ascii="Times New Roman" w:hAnsi="Times New Roman" w:cs="Times New Roman"/>
          <w:noProof/>
        </w:rPr>
        <w:tab/>
        <w:t xml:space="preserve">Taylor, A. J., Kim, J. H. &amp; Ress, D. Characterization of the hemodynamic response function across the majority of human cerebral cortex.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173</w:t>
      </w:r>
      <w:r w:rsidRPr="007061DD">
        <w:rPr>
          <w:rFonts w:ascii="Times New Roman" w:hAnsi="Times New Roman" w:cs="Times New Roman"/>
          <w:noProof/>
        </w:rPr>
        <w:t>, 322–331 (2018).</w:t>
      </w:r>
    </w:p>
    <w:p w14:paraId="290131DF"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9.</w:t>
      </w:r>
      <w:r w:rsidRPr="007061DD">
        <w:rPr>
          <w:rFonts w:ascii="Times New Roman" w:hAnsi="Times New Roman" w:cs="Times New Roman"/>
          <w:noProof/>
        </w:rPr>
        <w:tab/>
        <w:t xml:space="preserve">Chen, X. </w:t>
      </w:r>
      <w:r w:rsidRPr="007061DD">
        <w:rPr>
          <w:rFonts w:ascii="Times New Roman" w:hAnsi="Times New Roman" w:cs="Times New Roman"/>
          <w:i/>
          <w:iCs/>
          <w:noProof/>
        </w:rPr>
        <w:t>et al.</w:t>
      </w:r>
      <w:r w:rsidRPr="007061DD">
        <w:rPr>
          <w:rFonts w:ascii="Times New Roman" w:hAnsi="Times New Roman" w:cs="Times New Roman"/>
          <w:noProof/>
        </w:rPr>
        <w:t xml:space="preserve"> Leading basic modes of spontaneous activity drive individual functional connectivity organization in the resting human brain. </w:t>
      </w:r>
      <w:r w:rsidRPr="007061DD">
        <w:rPr>
          <w:rFonts w:ascii="Times New Roman" w:hAnsi="Times New Roman" w:cs="Times New Roman"/>
          <w:i/>
          <w:iCs/>
          <w:noProof/>
        </w:rPr>
        <w:t>Commun. Biol.</w:t>
      </w:r>
      <w:r w:rsidRPr="007061DD">
        <w:rPr>
          <w:rFonts w:ascii="Times New Roman" w:hAnsi="Times New Roman" w:cs="Times New Roman"/>
          <w:noProof/>
        </w:rPr>
        <w:t xml:space="preserve"> </w:t>
      </w:r>
      <w:r w:rsidRPr="007061DD">
        <w:rPr>
          <w:rFonts w:ascii="Times New Roman" w:hAnsi="Times New Roman" w:cs="Times New Roman"/>
          <w:b/>
          <w:bCs/>
          <w:noProof/>
        </w:rPr>
        <w:t>6</w:t>
      </w:r>
      <w:r w:rsidRPr="007061DD">
        <w:rPr>
          <w:rFonts w:ascii="Times New Roman" w:hAnsi="Times New Roman" w:cs="Times New Roman"/>
          <w:noProof/>
        </w:rPr>
        <w:t>, 1–13 (2023).</w:t>
      </w:r>
    </w:p>
    <w:p w14:paraId="2DE2F049"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10.</w:t>
      </w:r>
      <w:r w:rsidRPr="007061DD">
        <w:rPr>
          <w:rFonts w:ascii="Times New Roman" w:hAnsi="Times New Roman" w:cs="Times New Roman"/>
          <w:noProof/>
        </w:rPr>
        <w:tab/>
        <w:t xml:space="preserve">Rousset, O., Rahmim, A., Alavi, A. &amp; Zaidi, H. Partial Volume Correction Strategies in PET. </w:t>
      </w:r>
      <w:r w:rsidRPr="007061DD">
        <w:rPr>
          <w:rFonts w:ascii="Times New Roman" w:hAnsi="Times New Roman" w:cs="Times New Roman"/>
          <w:i/>
          <w:iCs/>
          <w:noProof/>
        </w:rPr>
        <w:t>PET Clin.</w:t>
      </w:r>
      <w:r w:rsidRPr="007061DD">
        <w:rPr>
          <w:rFonts w:ascii="Times New Roman" w:hAnsi="Times New Roman" w:cs="Times New Roman"/>
          <w:noProof/>
        </w:rPr>
        <w:t xml:space="preserve"> </w:t>
      </w:r>
      <w:r w:rsidRPr="007061DD">
        <w:rPr>
          <w:rFonts w:ascii="Times New Roman" w:hAnsi="Times New Roman" w:cs="Times New Roman"/>
          <w:b/>
          <w:bCs/>
          <w:noProof/>
        </w:rPr>
        <w:t>2</w:t>
      </w:r>
      <w:r w:rsidRPr="007061DD">
        <w:rPr>
          <w:rFonts w:ascii="Times New Roman" w:hAnsi="Times New Roman" w:cs="Times New Roman"/>
          <w:noProof/>
        </w:rPr>
        <w:t>, 235–249 (2007).</w:t>
      </w:r>
    </w:p>
    <w:p w14:paraId="7628E3CD"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11.</w:t>
      </w:r>
      <w:r w:rsidRPr="007061DD">
        <w:rPr>
          <w:rFonts w:ascii="Times New Roman" w:hAnsi="Times New Roman" w:cs="Times New Roman"/>
          <w:noProof/>
        </w:rPr>
        <w:tab/>
        <w:t xml:space="preserve">Friston, K. J. </w:t>
      </w:r>
      <w:r w:rsidRPr="007061DD">
        <w:rPr>
          <w:rFonts w:ascii="Times New Roman" w:hAnsi="Times New Roman" w:cs="Times New Roman"/>
          <w:i/>
          <w:iCs/>
          <w:noProof/>
        </w:rPr>
        <w:t>et al.</w:t>
      </w:r>
      <w:r w:rsidRPr="007061DD">
        <w:rPr>
          <w:rFonts w:ascii="Times New Roman" w:hAnsi="Times New Roman" w:cs="Times New Roman"/>
          <w:noProof/>
        </w:rPr>
        <w:t xml:space="preserve"> Parcels and particles: Markov blankets in the brain. </w:t>
      </w:r>
      <w:r w:rsidRPr="007061DD">
        <w:rPr>
          <w:rFonts w:ascii="Times New Roman" w:hAnsi="Times New Roman" w:cs="Times New Roman"/>
          <w:i/>
          <w:iCs/>
          <w:noProof/>
        </w:rPr>
        <w:t>Netw. Neurosci.</w:t>
      </w:r>
      <w:r w:rsidRPr="007061DD">
        <w:rPr>
          <w:rFonts w:ascii="Times New Roman" w:hAnsi="Times New Roman" w:cs="Times New Roman"/>
          <w:noProof/>
        </w:rPr>
        <w:t xml:space="preserve"> </w:t>
      </w:r>
      <w:r w:rsidRPr="007061DD">
        <w:rPr>
          <w:rFonts w:ascii="Times New Roman" w:hAnsi="Times New Roman" w:cs="Times New Roman"/>
          <w:b/>
          <w:bCs/>
          <w:noProof/>
        </w:rPr>
        <w:t>5</w:t>
      </w:r>
      <w:r w:rsidRPr="007061DD">
        <w:rPr>
          <w:rFonts w:ascii="Times New Roman" w:hAnsi="Times New Roman" w:cs="Times New Roman"/>
          <w:noProof/>
        </w:rPr>
        <w:t>, 211–251 (2021).</w:t>
      </w:r>
    </w:p>
    <w:p w14:paraId="19B83406"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12.</w:t>
      </w:r>
      <w:r w:rsidRPr="007061DD">
        <w:rPr>
          <w:rFonts w:ascii="Times New Roman" w:hAnsi="Times New Roman" w:cs="Times New Roman"/>
          <w:noProof/>
        </w:rPr>
        <w:tab/>
        <w:t xml:space="preserve">Benozzo, D. </w:t>
      </w:r>
      <w:r w:rsidRPr="007061DD">
        <w:rPr>
          <w:rFonts w:ascii="Times New Roman" w:hAnsi="Times New Roman" w:cs="Times New Roman"/>
          <w:i/>
          <w:iCs/>
          <w:noProof/>
        </w:rPr>
        <w:t>et al.</w:t>
      </w:r>
      <w:r w:rsidRPr="007061DD">
        <w:rPr>
          <w:rFonts w:ascii="Times New Roman" w:hAnsi="Times New Roman" w:cs="Times New Roman"/>
          <w:noProof/>
        </w:rPr>
        <w:t xml:space="preserve"> Analyzing asymmetry in brain hierarchies with a linear state-space model of resting-state fMRI data. </w:t>
      </w:r>
      <w:r w:rsidRPr="007061DD">
        <w:rPr>
          <w:rFonts w:ascii="Times New Roman" w:hAnsi="Times New Roman" w:cs="Times New Roman"/>
          <w:i/>
          <w:iCs/>
          <w:noProof/>
        </w:rPr>
        <w:t>Netw. Neurosci.</w:t>
      </w:r>
      <w:r w:rsidRPr="007061DD">
        <w:rPr>
          <w:rFonts w:ascii="Times New Roman" w:hAnsi="Times New Roman" w:cs="Times New Roman"/>
          <w:noProof/>
        </w:rPr>
        <w:t xml:space="preserve"> 1–42 (2024) doi:10.1162/netn_a_00381.</w:t>
      </w:r>
    </w:p>
    <w:p w14:paraId="4AB08A18"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13.</w:t>
      </w:r>
      <w:r w:rsidRPr="007061DD">
        <w:rPr>
          <w:rFonts w:ascii="Times New Roman" w:hAnsi="Times New Roman" w:cs="Times New Roman"/>
          <w:noProof/>
        </w:rPr>
        <w:tab/>
        <w:t xml:space="preserve">Casti, U. </w:t>
      </w:r>
      <w:r w:rsidRPr="007061DD">
        <w:rPr>
          <w:rFonts w:ascii="Times New Roman" w:hAnsi="Times New Roman" w:cs="Times New Roman"/>
          <w:i/>
          <w:iCs/>
          <w:noProof/>
        </w:rPr>
        <w:t>et al.</w:t>
      </w:r>
      <w:r w:rsidRPr="007061DD">
        <w:rPr>
          <w:rFonts w:ascii="Times New Roman" w:hAnsi="Times New Roman" w:cs="Times New Roman"/>
          <w:noProof/>
        </w:rPr>
        <w:t xml:space="preserve"> Dynamic Brain Networks with Prescribed Functional Connectivity. (2023).</w:t>
      </w:r>
    </w:p>
    <w:p w14:paraId="71AE923B"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lastRenderedPageBreak/>
        <w:t>14.</w:t>
      </w:r>
      <w:r w:rsidRPr="007061DD">
        <w:rPr>
          <w:rFonts w:ascii="Times New Roman" w:hAnsi="Times New Roman" w:cs="Times New Roman"/>
          <w:noProof/>
        </w:rPr>
        <w:tab/>
        <w:t xml:space="preserve">Liégeois, R., Santos, A., Matta, V., Van De Ville, D. &amp; Sayed, A. H. Revisiting correlation-based functional connectivity and its relationship with structural connectivity. </w:t>
      </w:r>
      <w:r w:rsidRPr="007061DD">
        <w:rPr>
          <w:rFonts w:ascii="Times New Roman" w:hAnsi="Times New Roman" w:cs="Times New Roman"/>
          <w:i/>
          <w:iCs/>
          <w:noProof/>
        </w:rPr>
        <w:t>Netw. Neurosci.</w:t>
      </w:r>
      <w:r w:rsidRPr="007061DD">
        <w:rPr>
          <w:rFonts w:ascii="Times New Roman" w:hAnsi="Times New Roman" w:cs="Times New Roman"/>
          <w:noProof/>
        </w:rPr>
        <w:t xml:space="preserve"> </w:t>
      </w:r>
      <w:r w:rsidRPr="007061DD">
        <w:rPr>
          <w:rFonts w:ascii="Times New Roman" w:hAnsi="Times New Roman" w:cs="Times New Roman"/>
          <w:b/>
          <w:bCs/>
          <w:noProof/>
        </w:rPr>
        <w:t>4</w:t>
      </w:r>
      <w:r w:rsidRPr="007061DD">
        <w:rPr>
          <w:rFonts w:ascii="Times New Roman" w:hAnsi="Times New Roman" w:cs="Times New Roman"/>
          <w:noProof/>
        </w:rPr>
        <w:t>, 1235–1251 (2020).</w:t>
      </w:r>
    </w:p>
    <w:p w14:paraId="512CE7A1"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15.</w:t>
      </w:r>
      <w:r w:rsidRPr="007061DD">
        <w:rPr>
          <w:rFonts w:ascii="Times New Roman" w:hAnsi="Times New Roman" w:cs="Times New Roman"/>
          <w:noProof/>
        </w:rPr>
        <w:tab/>
        <w:t xml:space="preserve">Das, A. </w:t>
      </w:r>
      <w:r w:rsidRPr="007061DD">
        <w:rPr>
          <w:rFonts w:ascii="Times New Roman" w:hAnsi="Times New Roman" w:cs="Times New Roman"/>
          <w:i/>
          <w:iCs/>
          <w:noProof/>
        </w:rPr>
        <w:t>et al.</w:t>
      </w:r>
      <w:r w:rsidRPr="007061DD">
        <w:rPr>
          <w:rFonts w:ascii="Times New Roman" w:hAnsi="Times New Roman" w:cs="Times New Roman"/>
          <w:noProof/>
        </w:rPr>
        <w:t xml:space="preserve"> Interpretation of the precision matrix and its application in estimating sparse brain connectivity during sleep spindles from human electrocorticography recordings. </w:t>
      </w:r>
      <w:r w:rsidRPr="007061DD">
        <w:rPr>
          <w:rFonts w:ascii="Times New Roman" w:hAnsi="Times New Roman" w:cs="Times New Roman"/>
          <w:i/>
          <w:iCs/>
          <w:noProof/>
        </w:rPr>
        <w:t>Neural Comput.</w:t>
      </w:r>
      <w:r w:rsidRPr="007061DD">
        <w:rPr>
          <w:rFonts w:ascii="Times New Roman" w:hAnsi="Times New Roman" w:cs="Times New Roman"/>
          <w:noProof/>
        </w:rPr>
        <w:t xml:space="preserve"> </w:t>
      </w:r>
      <w:r w:rsidRPr="007061DD">
        <w:rPr>
          <w:rFonts w:ascii="Times New Roman" w:hAnsi="Times New Roman" w:cs="Times New Roman"/>
          <w:b/>
          <w:bCs/>
          <w:noProof/>
        </w:rPr>
        <w:t>29</w:t>
      </w:r>
      <w:r w:rsidRPr="007061DD">
        <w:rPr>
          <w:rFonts w:ascii="Times New Roman" w:hAnsi="Times New Roman" w:cs="Times New Roman"/>
          <w:noProof/>
        </w:rPr>
        <w:t>, 603–642 (2017).</w:t>
      </w:r>
    </w:p>
    <w:p w14:paraId="42BEF19E"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16.</w:t>
      </w:r>
      <w:r w:rsidRPr="007061DD">
        <w:rPr>
          <w:rFonts w:ascii="Times New Roman" w:hAnsi="Times New Roman" w:cs="Times New Roman"/>
          <w:noProof/>
        </w:rPr>
        <w:tab/>
        <w:t xml:space="preserve">Waldorp, L. &amp; Marsman, M. Relations between Networks, Regression, Partial Correlation, and the Latent Variable Model. </w:t>
      </w:r>
      <w:r w:rsidRPr="007061DD">
        <w:rPr>
          <w:rFonts w:ascii="Times New Roman" w:hAnsi="Times New Roman" w:cs="Times New Roman"/>
          <w:i/>
          <w:iCs/>
          <w:noProof/>
        </w:rPr>
        <w:t>Multivariate Behav. Res.</w:t>
      </w:r>
      <w:r w:rsidRPr="007061DD">
        <w:rPr>
          <w:rFonts w:ascii="Times New Roman" w:hAnsi="Times New Roman" w:cs="Times New Roman"/>
          <w:noProof/>
        </w:rPr>
        <w:t xml:space="preserve"> </w:t>
      </w:r>
      <w:r w:rsidRPr="007061DD">
        <w:rPr>
          <w:rFonts w:ascii="Times New Roman" w:hAnsi="Times New Roman" w:cs="Times New Roman"/>
          <w:b/>
          <w:bCs/>
          <w:noProof/>
        </w:rPr>
        <w:t>57</w:t>
      </w:r>
      <w:r w:rsidRPr="007061DD">
        <w:rPr>
          <w:rFonts w:ascii="Times New Roman" w:hAnsi="Times New Roman" w:cs="Times New Roman"/>
          <w:noProof/>
        </w:rPr>
        <w:t>, 994–1006 (2022).</w:t>
      </w:r>
    </w:p>
    <w:p w14:paraId="324803FB"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17.</w:t>
      </w:r>
      <w:r w:rsidRPr="007061DD">
        <w:rPr>
          <w:rFonts w:ascii="Times New Roman" w:hAnsi="Times New Roman" w:cs="Times New Roman"/>
          <w:noProof/>
        </w:rPr>
        <w:tab/>
        <w:t xml:space="preserve">Lin, T. W., Das, A., Krishnan, G. P., Bazhenov, M. &amp; Sejnowski, T. J. Differential Covariance: A New Class of Methods to Estimate Sparse Connectivity from Neural Recordings. </w:t>
      </w:r>
      <w:r w:rsidRPr="007061DD">
        <w:rPr>
          <w:rFonts w:ascii="Times New Roman" w:hAnsi="Times New Roman" w:cs="Times New Roman"/>
          <w:b/>
          <w:bCs/>
          <w:noProof/>
        </w:rPr>
        <w:t>2733</w:t>
      </w:r>
      <w:r w:rsidRPr="007061DD">
        <w:rPr>
          <w:rFonts w:ascii="Times New Roman" w:hAnsi="Times New Roman" w:cs="Times New Roman"/>
          <w:noProof/>
        </w:rPr>
        <w:t>, 2709–2733 (2018).</w:t>
      </w:r>
    </w:p>
    <w:p w14:paraId="0FCD75E6"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18.</w:t>
      </w:r>
      <w:r w:rsidRPr="007061DD">
        <w:rPr>
          <w:rFonts w:ascii="Times New Roman" w:hAnsi="Times New Roman" w:cs="Times New Roman"/>
          <w:noProof/>
        </w:rPr>
        <w:tab/>
        <w:t xml:space="preserve">Volpi, T. </w:t>
      </w:r>
      <w:r w:rsidRPr="007061DD">
        <w:rPr>
          <w:rFonts w:ascii="Times New Roman" w:hAnsi="Times New Roman" w:cs="Times New Roman"/>
          <w:i/>
          <w:iCs/>
          <w:noProof/>
        </w:rPr>
        <w:t>et al.</w:t>
      </w:r>
      <w:r w:rsidRPr="007061DD">
        <w:rPr>
          <w:rFonts w:ascii="Times New Roman" w:hAnsi="Times New Roman" w:cs="Times New Roman"/>
          <w:noProof/>
        </w:rPr>
        <w:t xml:space="preserve"> A new framework for metabolic connectivity mapping using bolus [ 18 F]FDG PET and kinetic modelling. </w:t>
      </w:r>
      <w:r w:rsidRPr="007061DD">
        <w:rPr>
          <w:rFonts w:ascii="Times New Roman" w:hAnsi="Times New Roman" w:cs="Times New Roman"/>
          <w:i/>
          <w:iCs/>
          <w:noProof/>
        </w:rPr>
        <w:t>J. Cereb. Blood Flow Metab.</w:t>
      </w:r>
      <w:r w:rsidRPr="007061DD">
        <w:rPr>
          <w:rFonts w:ascii="Times New Roman" w:hAnsi="Times New Roman" w:cs="Times New Roman"/>
          <w:noProof/>
        </w:rPr>
        <w:t xml:space="preserve"> 1–21 (2022) doi:10.1177/0271678X231184365.</w:t>
      </w:r>
    </w:p>
    <w:p w14:paraId="5830B77E"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19.</w:t>
      </w:r>
      <w:r w:rsidRPr="007061DD">
        <w:rPr>
          <w:rFonts w:ascii="Times New Roman" w:hAnsi="Times New Roman" w:cs="Times New Roman"/>
          <w:noProof/>
        </w:rPr>
        <w:tab/>
        <w:t xml:space="preserve">Griffa, A., Amico, E., Liégeois, R., Van De Ville, D. &amp; Preti, M. G. Brain structure-function coupling provides signatures for task decoding and individual fingerprinting.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250</w:t>
      </w:r>
      <w:r w:rsidRPr="007061DD">
        <w:rPr>
          <w:rFonts w:ascii="Times New Roman" w:hAnsi="Times New Roman" w:cs="Times New Roman"/>
          <w:noProof/>
        </w:rPr>
        <w:t>, (2022).</w:t>
      </w:r>
    </w:p>
    <w:p w14:paraId="5FFC4CCA"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20.</w:t>
      </w:r>
      <w:r w:rsidRPr="007061DD">
        <w:rPr>
          <w:rFonts w:ascii="Times New Roman" w:hAnsi="Times New Roman" w:cs="Times New Roman"/>
          <w:noProof/>
        </w:rPr>
        <w:tab/>
        <w:t xml:space="preserve">Krishnan, A., Williams, L. J., McIntosh, A. R. &amp; Abdi, H. Partial Least Squares (PLS) methods for neuroimaging: A tutorial and review.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56</w:t>
      </w:r>
      <w:r w:rsidRPr="007061DD">
        <w:rPr>
          <w:rFonts w:ascii="Times New Roman" w:hAnsi="Times New Roman" w:cs="Times New Roman"/>
          <w:noProof/>
        </w:rPr>
        <w:t>, 455–475 (2011).</w:t>
      </w:r>
    </w:p>
    <w:p w14:paraId="6D1AD06D"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21.</w:t>
      </w:r>
      <w:r w:rsidRPr="007061DD">
        <w:rPr>
          <w:rFonts w:ascii="Times New Roman" w:hAnsi="Times New Roman" w:cs="Times New Roman"/>
          <w:noProof/>
        </w:rPr>
        <w:tab/>
        <w:t xml:space="preserve">Welvaert, M. &amp; Rosseel, Y. On the definition of signal-to-noise ratio and contrast-to-noise ratio for fMRI data. </w:t>
      </w:r>
      <w:r w:rsidRPr="007061DD">
        <w:rPr>
          <w:rFonts w:ascii="Times New Roman" w:hAnsi="Times New Roman" w:cs="Times New Roman"/>
          <w:i/>
          <w:iCs/>
          <w:noProof/>
        </w:rPr>
        <w:t>PLoS One</w:t>
      </w:r>
      <w:r w:rsidRPr="007061DD">
        <w:rPr>
          <w:rFonts w:ascii="Times New Roman" w:hAnsi="Times New Roman" w:cs="Times New Roman"/>
          <w:noProof/>
        </w:rPr>
        <w:t xml:space="preserve"> </w:t>
      </w:r>
      <w:r w:rsidRPr="007061DD">
        <w:rPr>
          <w:rFonts w:ascii="Times New Roman" w:hAnsi="Times New Roman" w:cs="Times New Roman"/>
          <w:b/>
          <w:bCs/>
          <w:noProof/>
        </w:rPr>
        <w:t>8</w:t>
      </w:r>
      <w:r w:rsidRPr="007061DD">
        <w:rPr>
          <w:rFonts w:ascii="Times New Roman" w:hAnsi="Times New Roman" w:cs="Times New Roman"/>
          <w:noProof/>
        </w:rPr>
        <w:t>, (2013).</w:t>
      </w:r>
    </w:p>
    <w:p w14:paraId="38BAC6C8"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22.</w:t>
      </w:r>
      <w:r w:rsidRPr="007061DD">
        <w:rPr>
          <w:rFonts w:ascii="Times New Roman" w:hAnsi="Times New Roman" w:cs="Times New Roman"/>
          <w:noProof/>
        </w:rPr>
        <w:tab/>
        <w:t xml:space="preserve">Thiebaut De Schotten, M. </w:t>
      </w:r>
      <w:r w:rsidRPr="007061DD">
        <w:rPr>
          <w:rFonts w:ascii="Times New Roman" w:hAnsi="Times New Roman" w:cs="Times New Roman"/>
          <w:i/>
          <w:iCs/>
          <w:noProof/>
        </w:rPr>
        <w:t>et al.</w:t>
      </w:r>
      <w:r w:rsidRPr="007061DD">
        <w:rPr>
          <w:rFonts w:ascii="Times New Roman" w:hAnsi="Times New Roman" w:cs="Times New Roman"/>
          <w:noProof/>
        </w:rPr>
        <w:t xml:space="preserve"> Damage to white matter pathways in subacute and chronic spatial neglect: A group study and 2 single-case studies with complete virtual ‘in vivo’ tractography dissection. </w:t>
      </w:r>
      <w:r w:rsidRPr="007061DD">
        <w:rPr>
          <w:rFonts w:ascii="Times New Roman" w:hAnsi="Times New Roman" w:cs="Times New Roman"/>
          <w:i/>
          <w:iCs/>
          <w:noProof/>
        </w:rPr>
        <w:t>Cereb. Cortex</w:t>
      </w:r>
      <w:r w:rsidRPr="007061DD">
        <w:rPr>
          <w:rFonts w:ascii="Times New Roman" w:hAnsi="Times New Roman" w:cs="Times New Roman"/>
          <w:noProof/>
        </w:rPr>
        <w:t xml:space="preserve"> </w:t>
      </w:r>
      <w:r w:rsidRPr="007061DD">
        <w:rPr>
          <w:rFonts w:ascii="Times New Roman" w:hAnsi="Times New Roman" w:cs="Times New Roman"/>
          <w:b/>
          <w:bCs/>
          <w:noProof/>
        </w:rPr>
        <w:t>24</w:t>
      </w:r>
      <w:r w:rsidRPr="007061DD">
        <w:rPr>
          <w:rFonts w:ascii="Times New Roman" w:hAnsi="Times New Roman" w:cs="Times New Roman"/>
          <w:noProof/>
        </w:rPr>
        <w:t>, 691–706 (2014).</w:t>
      </w:r>
    </w:p>
    <w:p w14:paraId="7068B0C2" w14:textId="77777777" w:rsidR="005C4031" w:rsidRPr="007061DD" w:rsidRDefault="005C4031" w:rsidP="00DC0ED9">
      <w:pPr>
        <w:widowControl w:val="0"/>
        <w:autoSpaceDE w:val="0"/>
        <w:autoSpaceDN w:val="0"/>
        <w:adjustRightInd w:val="0"/>
        <w:spacing w:after="0" w:line="360" w:lineRule="auto"/>
        <w:ind w:left="640" w:hanging="640"/>
        <w:jc w:val="both"/>
        <w:rPr>
          <w:rFonts w:ascii="Times New Roman" w:hAnsi="Times New Roman" w:cs="Times New Roman"/>
          <w:noProof/>
        </w:rPr>
      </w:pPr>
      <w:r w:rsidRPr="007061DD">
        <w:rPr>
          <w:rFonts w:ascii="Times New Roman" w:hAnsi="Times New Roman" w:cs="Times New Roman"/>
          <w:noProof/>
        </w:rPr>
        <w:t>23.</w:t>
      </w:r>
      <w:r w:rsidRPr="007061DD">
        <w:rPr>
          <w:rFonts w:ascii="Times New Roman" w:hAnsi="Times New Roman" w:cs="Times New Roman"/>
          <w:noProof/>
        </w:rPr>
        <w:tab/>
        <w:t xml:space="preserve">Aiello, M. </w:t>
      </w:r>
      <w:r w:rsidRPr="007061DD">
        <w:rPr>
          <w:rFonts w:ascii="Times New Roman" w:hAnsi="Times New Roman" w:cs="Times New Roman"/>
          <w:i/>
          <w:iCs/>
          <w:noProof/>
        </w:rPr>
        <w:t>et al.</w:t>
      </w:r>
      <w:r w:rsidRPr="007061DD">
        <w:rPr>
          <w:rFonts w:ascii="Times New Roman" w:hAnsi="Times New Roman" w:cs="Times New Roman"/>
          <w:noProof/>
        </w:rPr>
        <w:t xml:space="preserve"> Relationship between simultaneously acquired resting-state regional cerebral glucose metabolism and functional MRI: A PET/MR hybrid scanner study. </w:t>
      </w:r>
      <w:r w:rsidRPr="007061DD">
        <w:rPr>
          <w:rFonts w:ascii="Times New Roman" w:hAnsi="Times New Roman" w:cs="Times New Roman"/>
          <w:i/>
          <w:iCs/>
          <w:noProof/>
        </w:rPr>
        <w:t>Neuroimage</w:t>
      </w:r>
      <w:r w:rsidRPr="007061DD">
        <w:rPr>
          <w:rFonts w:ascii="Times New Roman" w:hAnsi="Times New Roman" w:cs="Times New Roman"/>
          <w:noProof/>
        </w:rPr>
        <w:t xml:space="preserve"> </w:t>
      </w:r>
      <w:r w:rsidRPr="007061DD">
        <w:rPr>
          <w:rFonts w:ascii="Times New Roman" w:hAnsi="Times New Roman" w:cs="Times New Roman"/>
          <w:b/>
          <w:bCs/>
          <w:noProof/>
        </w:rPr>
        <w:t>113</w:t>
      </w:r>
      <w:r w:rsidRPr="007061DD">
        <w:rPr>
          <w:rFonts w:ascii="Times New Roman" w:hAnsi="Times New Roman" w:cs="Times New Roman"/>
          <w:noProof/>
        </w:rPr>
        <w:t>, 111–121 (2015).</w:t>
      </w:r>
    </w:p>
    <w:p w14:paraId="0CC34E9D" w14:textId="7B51F4F7" w:rsidR="00D54F4D" w:rsidRPr="007061DD" w:rsidRDefault="00D54F4D" w:rsidP="00DC0ED9">
      <w:pPr>
        <w:widowControl w:val="0"/>
        <w:autoSpaceDE w:val="0"/>
        <w:autoSpaceDN w:val="0"/>
        <w:adjustRightInd w:val="0"/>
        <w:spacing w:after="0" w:line="360" w:lineRule="auto"/>
        <w:ind w:left="640" w:hanging="640"/>
        <w:jc w:val="both"/>
        <w:rPr>
          <w:rFonts w:ascii="Times New Roman" w:hAnsi="Times New Roman" w:cs="Times New Roman"/>
          <w:b/>
          <w:bCs/>
        </w:rPr>
      </w:pPr>
      <w:r w:rsidRPr="007061DD">
        <w:rPr>
          <w:rFonts w:ascii="Times New Roman" w:hAnsi="Times New Roman" w:cs="Times New Roman"/>
          <w:b/>
          <w:bCs/>
        </w:rPr>
        <w:fldChar w:fldCharType="end"/>
      </w:r>
    </w:p>
    <w:sectPr w:rsidR="00D54F4D" w:rsidRPr="007061D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81B09E5"/>
    <w:multiLevelType w:val="hybridMultilevel"/>
    <w:tmpl w:val="8AB00DA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5296130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proofState w:spelling="clean" w:grammar="clean"/>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DE30431"/>
    <w:rsid w:val="0000030D"/>
    <w:rsid w:val="00000E44"/>
    <w:rsid w:val="00001C7D"/>
    <w:rsid w:val="00005AC2"/>
    <w:rsid w:val="00006DB6"/>
    <w:rsid w:val="00021038"/>
    <w:rsid w:val="00023218"/>
    <w:rsid w:val="00024680"/>
    <w:rsid w:val="00024948"/>
    <w:rsid w:val="00024A2B"/>
    <w:rsid w:val="00030553"/>
    <w:rsid w:val="0003347F"/>
    <w:rsid w:val="00043B80"/>
    <w:rsid w:val="00043D30"/>
    <w:rsid w:val="0004563E"/>
    <w:rsid w:val="00047720"/>
    <w:rsid w:val="00053595"/>
    <w:rsid w:val="00057DA1"/>
    <w:rsid w:val="000622F6"/>
    <w:rsid w:val="000635A5"/>
    <w:rsid w:val="0007142E"/>
    <w:rsid w:val="0007222E"/>
    <w:rsid w:val="00075E5E"/>
    <w:rsid w:val="00080BEB"/>
    <w:rsid w:val="0009398C"/>
    <w:rsid w:val="00096733"/>
    <w:rsid w:val="000A4B48"/>
    <w:rsid w:val="000A6030"/>
    <w:rsid w:val="000B126F"/>
    <w:rsid w:val="000B20E4"/>
    <w:rsid w:val="000B2A01"/>
    <w:rsid w:val="000D4D43"/>
    <w:rsid w:val="000E4974"/>
    <w:rsid w:val="000F2C12"/>
    <w:rsid w:val="00100634"/>
    <w:rsid w:val="00101FA4"/>
    <w:rsid w:val="00104C61"/>
    <w:rsid w:val="00105765"/>
    <w:rsid w:val="001069A8"/>
    <w:rsid w:val="0011156D"/>
    <w:rsid w:val="00111ADC"/>
    <w:rsid w:val="00112574"/>
    <w:rsid w:val="00112760"/>
    <w:rsid w:val="0011303E"/>
    <w:rsid w:val="00125714"/>
    <w:rsid w:val="00130FD7"/>
    <w:rsid w:val="00134522"/>
    <w:rsid w:val="0013691B"/>
    <w:rsid w:val="00136DDF"/>
    <w:rsid w:val="00145949"/>
    <w:rsid w:val="001557D2"/>
    <w:rsid w:val="00156694"/>
    <w:rsid w:val="00157ED3"/>
    <w:rsid w:val="00157F2F"/>
    <w:rsid w:val="001607D3"/>
    <w:rsid w:val="001660D3"/>
    <w:rsid w:val="00166BF2"/>
    <w:rsid w:val="00167F1D"/>
    <w:rsid w:val="00170B62"/>
    <w:rsid w:val="0017775C"/>
    <w:rsid w:val="0018014C"/>
    <w:rsid w:val="001801E8"/>
    <w:rsid w:val="00187B7C"/>
    <w:rsid w:val="001905BA"/>
    <w:rsid w:val="001A6030"/>
    <w:rsid w:val="001B7390"/>
    <w:rsid w:val="001D43C8"/>
    <w:rsid w:val="001D7DE4"/>
    <w:rsid w:val="001E4450"/>
    <w:rsid w:val="001E63C5"/>
    <w:rsid w:val="001E74C1"/>
    <w:rsid w:val="001F534D"/>
    <w:rsid w:val="001F55A9"/>
    <w:rsid w:val="00206E6C"/>
    <w:rsid w:val="002173A9"/>
    <w:rsid w:val="0022094D"/>
    <w:rsid w:val="00225EA9"/>
    <w:rsid w:val="00230935"/>
    <w:rsid w:val="0023542C"/>
    <w:rsid w:val="002402D5"/>
    <w:rsid w:val="00244963"/>
    <w:rsid w:val="00245C53"/>
    <w:rsid w:val="0025229F"/>
    <w:rsid w:val="00253DF8"/>
    <w:rsid w:val="002631C0"/>
    <w:rsid w:val="00264037"/>
    <w:rsid w:val="002703F6"/>
    <w:rsid w:val="00280379"/>
    <w:rsid w:val="00283090"/>
    <w:rsid w:val="00283166"/>
    <w:rsid w:val="00283351"/>
    <w:rsid w:val="00283CD9"/>
    <w:rsid w:val="0028413E"/>
    <w:rsid w:val="0029519A"/>
    <w:rsid w:val="002964F4"/>
    <w:rsid w:val="002A0567"/>
    <w:rsid w:val="002A409F"/>
    <w:rsid w:val="002A6418"/>
    <w:rsid w:val="002B464E"/>
    <w:rsid w:val="002B67C5"/>
    <w:rsid w:val="002B7EB4"/>
    <w:rsid w:val="002C244B"/>
    <w:rsid w:val="002C3555"/>
    <w:rsid w:val="002C459F"/>
    <w:rsid w:val="002C6B67"/>
    <w:rsid w:val="002D08B4"/>
    <w:rsid w:val="002D30E8"/>
    <w:rsid w:val="002D42CA"/>
    <w:rsid w:val="002E0990"/>
    <w:rsid w:val="002F3618"/>
    <w:rsid w:val="002F3FEF"/>
    <w:rsid w:val="00300766"/>
    <w:rsid w:val="00301D39"/>
    <w:rsid w:val="0030307D"/>
    <w:rsid w:val="0030662F"/>
    <w:rsid w:val="00306727"/>
    <w:rsid w:val="00313B23"/>
    <w:rsid w:val="0031565B"/>
    <w:rsid w:val="0032331F"/>
    <w:rsid w:val="00334BBE"/>
    <w:rsid w:val="0033536F"/>
    <w:rsid w:val="00336C52"/>
    <w:rsid w:val="0033776C"/>
    <w:rsid w:val="00337FA7"/>
    <w:rsid w:val="00345784"/>
    <w:rsid w:val="00345883"/>
    <w:rsid w:val="00372494"/>
    <w:rsid w:val="003775C4"/>
    <w:rsid w:val="00377876"/>
    <w:rsid w:val="00377ADC"/>
    <w:rsid w:val="003822F9"/>
    <w:rsid w:val="00386061"/>
    <w:rsid w:val="003A1482"/>
    <w:rsid w:val="003A2C80"/>
    <w:rsid w:val="003A4891"/>
    <w:rsid w:val="003B328E"/>
    <w:rsid w:val="003B6CCD"/>
    <w:rsid w:val="003C223E"/>
    <w:rsid w:val="003D45D9"/>
    <w:rsid w:val="003D5605"/>
    <w:rsid w:val="003F0717"/>
    <w:rsid w:val="003F08BF"/>
    <w:rsid w:val="003F0DEA"/>
    <w:rsid w:val="003F2212"/>
    <w:rsid w:val="00403A14"/>
    <w:rsid w:val="0040437C"/>
    <w:rsid w:val="0040537C"/>
    <w:rsid w:val="00411974"/>
    <w:rsid w:val="004122E6"/>
    <w:rsid w:val="004229DA"/>
    <w:rsid w:val="0042446F"/>
    <w:rsid w:val="00434D0F"/>
    <w:rsid w:val="004401D5"/>
    <w:rsid w:val="00443C75"/>
    <w:rsid w:val="00446233"/>
    <w:rsid w:val="00453A29"/>
    <w:rsid w:val="0045792E"/>
    <w:rsid w:val="00460861"/>
    <w:rsid w:val="0046194F"/>
    <w:rsid w:val="0047277F"/>
    <w:rsid w:val="004755A7"/>
    <w:rsid w:val="004755D8"/>
    <w:rsid w:val="00476FCF"/>
    <w:rsid w:val="00484A33"/>
    <w:rsid w:val="00493CE3"/>
    <w:rsid w:val="004969EF"/>
    <w:rsid w:val="00497BF7"/>
    <w:rsid w:val="004A2552"/>
    <w:rsid w:val="004A3529"/>
    <w:rsid w:val="004A4A4A"/>
    <w:rsid w:val="004A5C7E"/>
    <w:rsid w:val="004C0D9B"/>
    <w:rsid w:val="004C220C"/>
    <w:rsid w:val="004D675C"/>
    <w:rsid w:val="004D7EA5"/>
    <w:rsid w:val="004E000F"/>
    <w:rsid w:val="004F166E"/>
    <w:rsid w:val="004F1F31"/>
    <w:rsid w:val="004F38C5"/>
    <w:rsid w:val="00504338"/>
    <w:rsid w:val="00510A8D"/>
    <w:rsid w:val="00514333"/>
    <w:rsid w:val="00520945"/>
    <w:rsid w:val="0052692E"/>
    <w:rsid w:val="00533493"/>
    <w:rsid w:val="00533E7D"/>
    <w:rsid w:val="00535497"/>
    <w:rsid w:val="00535A26"/>
    <w:rsid w:val="00541D51"/>
    <w:rsid w:val="0054560E"/>
    <w:rsid w:val="00546D2E"/>
    <w:rsid w:val="00546D56"/>
    <w:rsid w:val="00547DCC"/>
    <w:rsid w:val="00564E56"/>
    <w:rsid w:val="005654DD"/>
    <w:rsid w:val="00575FF5"/>
    <w:rsid w:val="00586DEC"/>
    <w:rsid w:val="00587204"/>
    <w:rsid w:val="00596396"/>
    <w:rsid w:val="00596A05"/>
    <w:rsid w:val="005A0887"/>
    <w:rsid w:val="005A7041"/>
    <w:rsid w:val="005B13A4"/>
    <w:rsid w:val="005B1EDB"/>
    <w:rsid w:val="005B2E65"/>
    <w:rsid w:val="005B473A"/>
    <w:rsid w:val="005B5282"/>
    <w:rsid w:val="005C17C4"/>
    <w:rsid w:val="005C2943"/>
    <w:rsid w:val="005C4031"/>
    <w:rsid w:val="005D0564"/>
    <w:rsid w:val="005D1B27"/>
    <w:rsid w:val="005D49DD"/>
    <w:rsid w:val="005D58BB"/>
    <w:rsid w:val="005D6E73"/>
    <w:rsid w:val="005E229E"/>
    <w:rsid w:val="005F2137"/>
    <w:rsid w:val="0060468F"/>
    <w:rsid w:val="00605DCE"/>
    <w:rsid w:val="00606A0B"/>
    <w:rsid w:val="00622120"/>
    <w:rsid w:val="00624050"/>
    <w:rsid w:val="006269A5"/>
    <w:rsid w:val="00632558"/>
    <w:rsid w:val="00633D4F"/>
    <w:rsid w:val="00637A6D"/>
    <w:rsid w:val="00646022"/>
    <w:rsid w:val="00650126"/>
    <w:rsid w:val="0065059A"/>
    <w:rsid w:val="00652961"/>
    <w:rsid w:val="00656CBA"/>
    <w:rsid w:val="00661199"/>
    <w:rsid w:val="006643B7"/>
    <w:rsid w:val="00692FE9"/>
    <w:rsid w:val="00695F47"/>
    <w:rsid w:val="006A6C76"/>
    <w:rsid w:val="006B060C"/>
    <w:rsid w:val="006C35F7"/>
    <w:rsid w:val="006C657D"/>
    <w:rsid w:val="006D5DCC"/>
    <w:rsid w:val="006D70AD"/>
    <w:rsid w:val="006E489C"/>
    <w:rsid w:val="006E48EB"/>
    <w:rsid w:val="006E7B0A"/>
    <w:rsid w:val="006F0704"/>
    <w:rsid w:val="006F3F7D"/>
    <w:rsid w:val="00700DA4"/>
    <w:rsid w:val="00702C9A"/>
    <w:rsid w:val="007061DD"/>
    <w:rsid w:val="007079F1"/>
    <w:rsid w:val="00710338"/>
    <w:rsid w:val="007145B4"/>
    <w:rsid w:val="007234A3"/>
    <w:rsid w:val="00723B20"/>
    <w:rsid w:val="00726381"/>
    <w:rsid w:val="00726454"/>
    <w:rsid w:val="007312DA"/>
    <w:rsid w:val="00734131"/>
    <w:rsid w:val="007470C2"/>
    <w:rsid w:val="007554D8"/>
    <w:rsid w:val="00771799"/>
    <w:rsid w:val="00773AE3"/>
    <w:rsid w:val="00776480"/>
    <w:rsid w:val="007817CA"/>
    <w:rsid w:val="00784A17"/>
    <w:rsid w:val="007913E7"/>
    <w:rsid w:val="007925EF"/>
    <w:rsid w:val="007B13A0"/>
    <w:rsid w:val="007B573D"/>
    <w:rsid w:val="007C0D40"/>
    <w:rsid w:val="007C2E36"/>
    <w:rsid w:val="007C2EDB"/>
    <w:rsid w:val="007C5A48"/>
    <w:rsid w:val="007C7AFB"/>
    <w:rsid w:val="007D538E"/>
    <w:rsid w:val="007F292E"/>
    <w:rsid w:val="007F4A50"/>
    <w:rsid w:val="00800509"/>
    <w:rsid w:val="00801540"/>
    <w:rsid w:val="00801803"/>
    <w:rsid w:val="00805591"/>
    <w:rsid w:val="00805D60"/>
    <w:rsid w:val="0081018F"/>
    <w:rsid w:val="008125A8"/>
    <w:rsid w:val="00820067"/>
    <w:rsid w:val="008228D9"/>
    <w:rsid w:val="00824328"/>
    <w:rsid w:val="008259BD"/>
    <w:rsid w:val="0082745C"/>
    <w:rsid w:val="00831E5B"/>
    <w:rsid w:val="00842BA0"/>
    <w:rsid w:val="00846EF0"/>
    <w:rsid w:val="008508EA"/>
    <w:rsid w:val="008645BA"/>
    <w:rsid w:val="00864894"/>
    <w:rsid w:val="00875EB3"/>
    <w:rsid w:val="00876788"/>
    <w:rsid w:val="00885F96"/>
    <w:rsid w:val="008A045B"/>
    <w:rsid w:val="008A46FB"/>
    <w:rsid w:val="008A48AF"/>
    <w:rsid w:val="008B7728"/>
    <w:rsid w:val="008B7904"/>
    <w:rsid w:val="008C3AB6"/>
    <w:rsid w:val="008C42AE"/>
    <w:rsid w:val="008C5433"/>
    <w:rsid w:val="008C6B56"/>
    <w:rsid w:val="008C7B28"/>
    <w:rsid w:val="008D73C3"/>
    <w:rsid w:val="008E440A"/>
    <w:rsid w:val="008E4EC6"/>
    <w:rsid w:val="008E6048"/>
    <w:rsid w:val="008F4D40"/>
    <w:rsid w:val="008F53F8"/>
    <w:rsid w:val="008F6D6D"/>
    <w:rsid w:val="008F7BD4"/>
    <w:rsid w:val="00905F23"/>
    <w:rsid w:val="00906A43"/>
    <w:rsid w:val="00906B39"/>
    <w:rsid w:val="009143D6"/>
    <w:rsid w:val="00920A43"/>
    <w:rsid w:val="00946165"/>
    <w:rsid w:val="00966392"/>
    <w:rsid w:val="009757D5"/>
    <w:rsid w:val="00980ED4"/>
    <w:rsid w:val="00981305"/>
    <w:rsid w:val="00981EF6"/>
    <w:rsid w:val="00986E3E"/>
    <w:rsid w:val="00994451"/>
    <w:rsid w:val="009949F8"/>
    <w:rsid w:val="009A3EF5"/>
    <w:rsid w:val="009B3884"/>
    <w:rsid w:val="009C0CF4"/>
    <w:rsid w:val="009D780B"/>
    <w:rsid w:val="009E178A"/>
    <w:rsid w:val="009E25FF"/>
    <w:rsid w:val="009E5B0C"/>
    <w:rsid w:val="009F2CF2"/>
    <w:rsid w:val="009F6A42"/>
    <w:rsid w:val="009F7445"/>
    <w:rsid w:val="00A070AE"/>
    <w:rsid w:val="00A1027C"/>
    <w:rsid w:val="00A102A2"/>
    <w:rsid w:val="00A14595"/>
    <w:rsid w:val="00A14CF2"/>
    <w:rsid w:val="00A25D6E"/>
    <w:rsid w:val="00A31456"/>
    <w:rsid w:val="00A3373F"/>
    <w:rsid w:val="00A36389"/>
    <w:rsid w:val="00A37B1C"/>
    <w:rsid w:val="00A413CE"/>
    <w:rsid w:val="00A41F87"/>
    <w:rsid w:val="00A45AD2"/>
    <w:rsid w:val="00A466BF"/>
    <w:rsid w:val="00A50BEB"/>
    <w:rsid w:val="00A65C01"/>
    <w:rsid w:val="00A71C10"/>
    <w:rsid w:val="00A7482C"/>
    <w:rsid w:val="00A7562E"/>
    <w:rsid w:val="00A77839"/>
    <w:rsid w:val="00A81E1F"/>
    <w:rsid w:val="00A92B1D"/>
    <w:rsid w:val="00A94249"/>
    <w:rsid w:val="00AB2D00"/>
    <w:rsid w:val="00AB76B3"/>
    <w:rsid w:val="00AC458F"/>
    <w:rsid w:val="00AC491B"/>
    <w:rsid w:val="00AC5A3E"/>
    <w:rsid w:val="00AC7865"/>
    <w:rsid w:val="00AE029D"/>
    <w:rsid w:val="00AE2110"/>
    <w:rsid w:val="00AE57E0"/>
    <w:rsid w:val="00AE6279"/>
    <w:rsid w:val="00AE6477"/>
    <w:rsid w:val="00AE6919"/>
    <w:rsid w:val="00AF1793"/>
    <w:rsid w:val="00AF243D"/>
    <w:rsid w:val="00AF2F04"/>
    <w:rsid w:val="00AF5E3A"/>
    <w:rsid w:val="00AF6507"/>
    <w:rsid w:val="00AF6F2D"/>
    <w:rsid w:val="00B03D06"/>
    <w:rsid w:val="00B0421E"/>
    <w:rsid w:val="00B05823"/>
    <w:rsid w:val="00B10651"/>
    <w:rsid w:val="00B1147C"/>
    <w:rsid w:val="00B133F7"/>
    <w:rsid w:val="00B166E1"/>
    <w:rsid w:val="00B201F3"/>
    <w:rsid w:val="00B20C43"/>
    <w:rsid w:val="00B23EE8"/>
    <w:rsid w:val="00B3029F"/>
    <w:rsid w:val="00B31B8C"/>
    <w:rsid w:val="00B37FEE"/>
    <w:rsid w:val="00B455B6"/>
    <w:rsid w:val="00B52181"/>
    <w:rsid w:val="00B523F7"/>
    <w:rsid w:val="00B527ED"/>
    <w:rsid w:val="00B53F70"/>
    <w:rsid w:val="00B54D88"/>
    <w:rsid w:val="00B619C1"/>
    <w:rsid w:val="00B623E1"/>
    <w:rsid w:val="00B645B3"/>
    <w:rsid w:val="00B66EE6"/>
    <w:rsid w:val="00B70E0A"/>
    <w:rsid w:val="00B7466A"/>
    <w:rsid w:val="00B74C60"/>
    <w:rsid w:val="00B75D40"/>
    <w:rsid w:val="00B75E1D"/>
    <w:rsid w:val="00B837BD"/>
    <w:rsid w:val="00B854EA"/>
    <w:rsid w:val="00B858FB"/>
    <w:rsid w:val="00B85EA3"/>
    <w:rsid w:val="00B87720"/>
    <w:rsid w:val="00B87C57"/>
    <w:rsid w:val="00B908AE"/>
    <w:rsid w:val="00B91D72"/>
    <w:rsid w:val="00B961A1"/>
    <w:rsid w:val="00BA5E44"/>
    <w:rsid w:val="00BB47E5"/>
    <w:rsid w:val="00BB7918"/>
    <w:rsid w:val="00BC0BD6"/>
    <w:rsid w:val="00BC6794"/>
    <w:rsid w:val="00BD4938"/>
    <w:rsid w:val="00BD6474"/>
    <w:rsid w:val="00BD7C5D"/>
    <w:rsid w:val="00BD7D0D"/>
    <w:rsid w:val="00BE33E4"/>
    <w:rsid w:val="00BE4B0B"/>
    <w:rsid w:val="00BF76FC"/>
    <w:rsid w:val="00BF7D86"/>
    <w:rsid w:val="00C03836"/>
    <w:rsid w:val="00C042D6"/>
    <w:rsid w:val="00C0487C"/>
    <w:rsid w:val="00C066FA"/>
    <w:rsid w:val="00C1173D"/>
    <w:rsid w:val="00C12846"/>
    <w:rsid w:val="00C13EB9"/>
    <w:rsid w:val="00C32ABE"/>
    <w:rsid w:val="00C41C03"/>
    <w:rsid w:val="00C44E7E"/>
    <w:rsid w:val="00C45190"/>
    <w:rsid w:val="00C51A0C"/>
    <w:rsid w:val="00C74E98"/>
    <w:rsid w:val="00C75395"/>
    <w:rsid w:val="00C8338C"/>
    <w:rsid w:val="00C840E4"/>
    <w:rsid w:val="00C86834"/>
    <w:rsid w:val="00C86FA0"/>
    <w:rsid w:val="00C90889"/>
    <w:rsid w:val="00C93BC0"/>
    <w:rsid w:val="00CA4B56"/>
    <w:rsid w:val="00CA5256"/>
    <w:rsid w:val="00CA6C08"/>
    <w:rsid w:val="00CB56EC"/>
    <w:rsid w:val="00CC2B72"/>
    <w:rsid w:val="00CC681C"/>
    <w:rsid w:val="00CD3345"/>
    <w:rsid w:val="00CF175B"/>
    <w:rsid w:val="00CF192F"/>
    <w:rsid w:val="00CF4F39"/>
    <w:rsid w:val="00CF77C6"/>
    <w:rsid w:val="00D02721"/>
    <w:rsid w:val="00D02E40"/>
    <w:rsid w:val="00D033F1"/>
    <w:rsid w:val="00D0753E"/>
    <w:rsid w:val="00D13E37"/>
    <w:rsid w:val="00D14D09"/>
    <w:rsid w:val="00D20717"/>
    <w:rsid w:val="00D213A5"/>
    <w:rsid w:val="00D23C92"/>
    <w:rsid w:val="00D31027"/>
    <w:rsid w:val="00D314C7"/>
    <w:rsid w:val="00D43158"/>
    <w:rsid w:val="00D54CB1"/>
    <w:rsid w:val="00D54F4D"/>
    <w:rsid w:val="00D56347"/>
    <w:rsid w:val="00D57F37"/>
    <w:rsid w:val="00D75F30"/>
    <w:rsid w:val="00D76497"/>
    <w:rsid w:val="00D8160A"/>
    <w:rsid w:val="00D908AF"/>
    <w:rsid w:val="00D9366F"/>
    <w:rsid w:val="00D9400C"/>
    <w:rsid w:val="00DA2A55"/>
    <w:rsid w:val="00DB449A"/>
    <w:rsid w:val="00DB53AC"/>
    <w:rsid w:val="00DB5786"/>
    <w:rsid w:val="00DB7CD8"/>
    <w:rsid w:val="00DC0BD5"/>
    <w:rsid w:val="00DC0ED9"/>
    <w:rsid w:val="00DC78E2"/>
    <w:rsid w:val="00DD6CEC"/>
    <w:rsid w:val="00DE0841"/>
    <w:rsid w:val="00DE2BC9"/>
    <w:rsid w:val="00DE444E"/>
    <w:rsid w:val="00DE4FFD"/>
    <w:rsid w:val="00DE7280"/>
    <w:rsid w:val="00DF3F76"/>
    <w:rsid w:val="00E0186C"/>
    <w:rsid w:val="00E02EA5"/>
    <w:rsid w:val="00E03926"/>
    <w:rsid w:val="00E11BFB"/>
    <w:rsid w:val="00E13241"/>
    <w:rsid w:val="00E13BBB"/>
    <w:rsid w:val="00E151A0"/>
    <w:rsid w:val="00E20F5C"/>
    <w:rsid w:val="00E25BB1"/>
    <w:rsid w:val="00E27789"/>
    <w:rsid w:val="00E278AB"/>
    <w:rsid w:val="00E40D39"/>
    <w:rsid w:val="00E42555"/>
    <w:rsid w:val="00E47EA5"/>
    <w:rsid w:val="00E502FE"/>
    <w:rsid w:val="00E515F9"/>
    <w:rsid w:val="00E568B1"/>
    <w:rsid w:val="00E56BC1"/>
    <w:rsid w:val="00E6138D"/>
    <w:rsid w:val="00E6164C"/>
    <w:rsid w:val="00E61C6D"/>
    <w:rsid w:val="00E67C17"/>
    <w:rsid w:val="00E73DE0"/>
    <w:rsid w:val="00E751B5"/>
    <w:rsid w:val="00E75906"/>
    <w:rsid w:val="00E77D8D"/>
    <w:rsid w:val="00E956B8"/>
    <w:rsid w:val="00E979EE"/>
    <w:rsid w:val="00EA35BA"/>
    <w:rsid w:val="00EA638F"/>
    <w:rsid w:val="00EA6D2A"/>
    <w:rsid w:val="00EB1C19"/>
    <w:rsid w:val="00EB404B"/>
    <w:rsid w:val="00EC0482"/>
    <w:rsid w:val="00EC1CD0"/>
    <w:rsid w:val="00EC2E89"/>
    <w:rsid w:val="00EC556C"/>
    <w:rsid w:val="00ED221C"/>
    <w:rsid w:val="00ED3D15"/>
    <w:rsid w:val="00ED75B2"/>
    <w:rsid w:val="00EE6952"/>
    <w:rsid w:val="00EF366B"/>
    <w:rsid w:val="00EF5D91"/>
    <w:rsid w:val="00EF68E1"/>
    <w:rsid w:val="00F02A1F"/>
    <w:rsid w:val="00F05D11"/>
    <w:rsid w:val="00F05DC6"/>
    <w:rsid w:val="00F11031"/>
    <w:rsid w:val="00F11092"/>
    <w:rsid w:val="00F13041"/>
    <w:rsid w:val="00F21A79"/>
    <w:rsid w:val="00F2767B"/>
    <w:rsid w:val="00F307CD"/>
    <w:rsid w:val="00F34493"/>
    <w:rsid w:val="00F37F21"/>
    <w:rsid w:val="00F47926"/>
    <w:rsid w:val="00F505AC"/>
    <w:rsid w:val="00F51371"/>
    <w:rsid w:val="00F528A5"/>
    <w:rsid w:val="00F65F40"/>
    <w:rsid w:val="00F73F25"/>
    <w:rsid w:val="00F8326C"/>
    <w:rsid w:val="00F84194"/>
    <w:rsid w:val="00F86D6C"/>
    <w:rsid w:val="00F95436"/>
    <w:rsid w:val="00F95C1C"/>
    <w:rsid w:val="00F97232"/>
    <w:rsid w:val="00F9740D"/>
    <w:rsid w:val="00FA1396"/>
    <w:rsid w:val="00FB0FE9"/>
    <w:rsid w:val="00FB3BCC"/>
    <w:rsid w:val="00FB4EA9"/>
    <w:rsid w:val="00FC26C1"/>
    <w:rsid w:val="00FC5D7D"/>
    <w:rsid w:val="00FC71BD"/>
    <w:rsid w:val="00FD0471"/>
    <w:rsid w:val="00FD0AB3"/>
    <w:rsid w:val="00FD109A"/>
    <w:rsid w:val="00FD44D8"/>
    <w:rsid w:val="00FD5F09"/>
    <w:rsid w:val="00FE40E9"/>
    <w:rsid w:val="00FF1F92"/>
    <w:rsid w:val="00FF42B1"/>
    <w:rsid w:val="0236CFF3"/>
    <w:rsid w:val="05CE65AA"/>
    <w:rsid w:val="081BD8FC"/>
    <w:rsid w:val="089258C2"/>
    <w:rsid w:val="0D624692"/>
    <w:rsid w:val="1021AED3"/>
    <w:rsid w:val="1D6368D0"/>
    <w:rsid w:val="201C5BED"/>
    <w:rsid w:val="20242B8A"/>
    <w:rsid w:val="254BE452"/>
    <w:rsid w:val="2882E0DA"/>
    <w:rsid w:val="305CE83D"/>
    <w:rsid w:val="3E02A28B"/>
    <w:rsid w:val="3EC8E0C1"/>
    <w:rsid w:val="3FF38981"/>
    <w:rsid w:val="402BF8D2"/>
    <w:rsid w:val="42AEA016"/>
    <w:rsid w:val="4C2594F7"/>
    <w:rsid w:val="4CBD3309"/>
    <w:rsid w:val="521C999E"/>
    <w:rsid w:val="539A190A"/>
    <w:rsid w:val="566F224D"/>
    <w:rsid w:val="573A8D08"/>
    <w:rsid w:val="5DE30431"/>
    <w:rsid w:val="62572ACB"/>
    <w:rsid w:val="64F5531F"/>
    <w:rsid w:val="68DB81BA"/>
    <w:rsid w:val="6F865703"/>
    <w:rsid w:val="715D52CE"/>
    <w:rsid w:val="721851BE"/>
    <w:rsid w:val="755A0E16"/>
    <w:rsid w:val="761820E1"/>
    <w:rsid w:val="76E46FAF"/>
    <w:rsid w:val="7976377D"/>
    <w:rsid w:val="7A82906D"/>
    <w:rsid w:val="7B1788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E30431"/>
  <w15:chartTrackingRefBased/>
  <w15:docId w15:val="{086B7B29-4EE7-4B34-9CDF-E83F2DB13D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character" w:styleId="CommentReference">
    <w:name w:val="annotation reference"/>
    <w:basedOn w:val="DefaultParagraphFont"/>
    <w:uiPriority w:val="99"/>
    <w:semiHidden/>
    <w:unhideWhenUsed/>
    <w:rsid w:val="00BF7D86"/>
    <w:rPr>
      <w:sz w:val="16"/>
      <w:szCs w:val="16"/>
    </w:rPr>
  </w:style>
  <w:style w:type="paragraph" w:styleId="CommentText">
    <w:name w:val="annotation text"/>
    <w:basedOn w:val="Normal"/>
    <w:link w:val="CommentTextChar"/>
    <w:uiPriority w:val="99"/>
    <w:unhideWhenUsed/>
    <w:rsid w:val="00BF7D86"/>
    <w:pPr>
      <w:spacing w:line="240" w:lineRule="auto"/>
    </w:pPr>
    <w:rPr>
      <w:sz w:val="20"/>
      <w:szCs w:val="20"/>
    </w:rPr>
  </w:style>
  <w:style w:type="character" w:customStyle="1" w:styleId="CommentTextChar">
    <w:name w:val="Comment Text Char"/>
    <w:basedOn w:val="DefaultParagraphFont"/>
    <w:link w:val="CommentText"/>
    <w:uiPriority w:val="99"/>
    <w:rsid w:val="00BF7D86"/>
    <w:rPr>
      <w:sz w:val="20"/>
      <w:szCs w:val="20"/>
    </w:rPr>
  </w:style>
  <w:style w:type="paragraph" w:styleId="CommentSubject">
    <w:name w:val="annotation subject"/>
    <w:basedOn w:val="CommentText"/>
    <w:next w:val="CommentText"/>
    <w:link w:val="CommentSubjectChar"/>
    <w:uiPriority w:val="99"/>
    <w:semiHidden/>
    <w:unhideWhenUsed/>
    <w:rsid w:val="00BF7D86"/>
    <w:rPr>
      <w:b/>
      <w:bCs/>
    </w:rPr>
  </w:style>
  <w:style w:type="character" w:customStyle="1" w:styleId="CommentSubjectChar">
    <w:name w:val="Comment Subject Char"/>
    <w:basedOn w:val="CommentTextChar"/>
    <w:link w:val="CommentSubject"/>
    <w:uiPriority w:val="99"/>
    <w:semiHidden/>
    <w:rsid w:val="00BF7D86"/>
    <w:rPr>
      <w:b/>
      <w:bCs/>
      <w:sz w:val="20"/>
      <w:szCs w:val="20"/>
    </w:rPr>
  </w:style>
  <w:style w:type="character" w:styleId="Hyperlink">
    <w:name w:val="Hyperlink"/>
    <w:basedOn w:val="DefaultParagraphFont"/>
    <w:uiPriority w:val="99"/>
    <w:unhideWhenUsed/>
    <w:rsid w:val="0023542C"/>
    <w:rPr>
      <w:color w:val="467886" w:themeColor="hyperlink"/>
      <w:u w:val="single"/>
    </w:rPr>
  </w:style>
  <w:style w:type="character" w:styleId="UnresolvedMention">
    <w:name w:val="Unresolved Mention"/>
    <w:basedOn w:val="DefaultParagraphFont"/>
    <w:uiPriority w:val="99"/>
    <w:semiHidden/>
    <w:unhideWhenUsed/>
    <w:rsid w:val="0023542C"/>
    <w:rPr>
      <w:color w:val="605E5C"/>
      <w:shd w:val="clear" w:color="auto" w:fill="E1DFDD"/>
    </w:rPr>
  </w:style>
  <w:style w:type="table" w:styleId="TableGrid">
    <w:name w:val="Table Grid"/>
    <w:basedOn w:val="TableNormal"/>
    <w:uiPriority w:val="39"/>
    <w:rsid w:val="005F2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73AE3"/>
    <w:rPr>
      <w:color w:val="666666"/>
    </w:rPr>
  </w:style>
  <w:style w:type="paragraph" w:styleId="Revision">
    <w:name w:val="Revision"/>
    <w:hidden/>
    <w:uiPriority w:val="99"/>
    <w:semiHidden/>
    <w:rsid w:val="00145949"/>
    <w:pPr>
      <w:spacing w:after="0" w:line="240" w:lineRule="auto"/>
    </w:pPr>
  </w:style>
  <w:style w:type="paragraph" w:styleId="Caption">
    <w:name w:val="caption"/>
    <w:basedOn w:val="Normal"/>
    <w:next w:val="Normal"/>
    <w:uiPriority w:val="35"/>
    <w:unhideWhenUsed/>
    <w:qFormat/>
    <w:rsid w:val="0033776C"/>
    <w:pPr>
      <w:spacing w:after="200" w:line="240" w:lineRule="auto"/>
    </w:pPr>
    <w:rPr>
      <w:i/>
      <w:iCs/>
      <w:color w:val="0E2841" w:themeColor="text2"/>
      <w:sz w:val="18"/>
      <w:szCs w:val="18"/>
    </w:rPr>
  </w:style>
  <w:style w:type="paragraph" w:styleId="ListParagraph">
    <w:name w:val="List Paragraph"/>
    <w:basedOn w:val="Normal"/>
    <w:uiPriority w:val="34"/>
    <w:qFormat/>
    <w:rsid w:val="00A65C01"/>
    <w:pPr>
      <w:ind w:left="720"/>
      <w:contextualSpacing/>
    </w:pPr>
  </w:style>
  <w:style w:type="paragraph" w:styleId="NormalWeb">
    <w:name w:val="Normal (Web)"/>
    <w:basedOn w:val="Normal"/>
    <w:uiPriority w:val="99"/>
    <w:unhideWhenUsed/>
    <w:rsid w:val="000A6030"/>
    <w:pPr>
      <w:spacing w:before="100" w:beforeAutospacing="1" w:after="100" w:afterAutospacing="1" w:line="240" w:lineRule="auto"/>
    </w:pPr>
    <w:rPr>
      <w:rFonts w:ascii="Times New Roman" w:eastAsia="Times New Roman" w:hAnsi="Times New Roman" w:cs="Times New Roman"/>
      <w:lang w:val="it-IT" w:eastAsia="it-IT"/>
    </w:rPr>
  </w:style>
  <w:style w:type="character" w:styleId="FollowedHyperlink">
    <w:name w:val="FollowedHyperlink"/>
    <w:basedOn w:val="DefaultParagraphFont"/>
    <w:uiPriority w:val="99"/>
    <w:semiHidden/>
    <w:unhideWhenUsed/>
    <w:rsid w:val="00ED3D1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41537">
      <w:bodyDiv w:val="1"/>
      <w:marLeft w:val="0"/>
      <w:marRight w:val="0"/>
      <w:marTop w:val="0"/>
      <w:marBottom w:val="0"/>
      <w:divBdr>
        <w:top w:val="none" w:sz="0" w:space="0" w:color="auto"/>
        <w:left w:val="none" w:sz="0" w:space="0" w:color="auto"/>
        <w:bottom w:val="none" w:sz="0" w:space="0" w:color="auto"/>
        <w:right w:val="none" w:sz="0" w:space="0" w:color="auto"/>
      </w:divBdr>
    </w:div>
    <w:div w:id="99882886">
      <w:bodyDiv w:val="1"/>
      <w:marLeft w:val="0"/>
      <w:marRight w:val="0"/>
      <w:marTop w:val="0"/>
      <w:marBottom w:val="0"/>
      <w:divBdr>
        <w:top w:val="none" w:sz="0" w:space="0" w:color="auto"/>
        <w:left w:val="none" w:sz="0" w:space="0" w:color="auto"/>
        <w:bottom w:val="none" w:sz="0" w:space="0" w:color="auto"/>
        <w:right w:val="none" w:sz="0" w:space="0" w:color="auto"/>
      </w:divBdr>
    </w:div>
    <w:div w:id="135144443">
      <w:bodyDiv w:val="1"/>
      <w:marLeft w:val="0"/>
      <w:marRight w:val="0"/>
      <w:marTop w:val="0"/>
      <w:marBottom w:val="0"/>
      <w:divBdr>
        <w:top w:val="none" w:sz="0" w:space="0" w:color="auto"/>
        <w:left w:val="none" w:sz="0" w:space="0" w:color="auto"/>
        <w:bottom w:val="none" w:sz="0" w:space="0" w:color="auto"/>
        <w:right w:val="none" w:sz="0" w:space="0" w:color="auto"/>
      </w:divBdr>
    </w:div>
    <w:div w:id="230046521">
      <w:bodyDiv w:val="1"/>
      <w:marLeft w:val="0"/>
      <w:marRight w:val="0"/>
      <w:marTop w:val="0"/>
      <w:marBottom w:val="0"/>
      <w:divBdr>
        <w:top w:val="none" w:sz="0" w:space="0" w:color="auto"/>
        <w:left w:val="none" w:sz="0" w:space="0" w:color="auto"/>
        <w:bottom w:val="none" w:sz="0" w:space="0" w:color="auto"/>
        <w:right w:val="none" w:sz="0" w:space="0" w:color="auto"/>
      </w:divBdr>
    </w:div>
    <w:div w:id="252864438">
      <w:bodyDiv w:val="1"/>
      <w:marLeft w:val="0"/>
      <w:marRight w:val="0"/>
      <w:marTop w:val="0"/>
      <w:marBottom w:val="0"/>
      <w:divBdr>
        <w:top w:val="none" w:sz="0" w:space="0" w:color="auto"/>
        <w:left w:val="none" w:sz="0" w:space="0" w:color="auto"/>
        <w:bottom w:val="none" w:sz="0" w:space="0" w:color="auto"/>
        <w:right w:val="none" w:sz="0" w:space="0" w:color="auto"/>
      </w:divBdr>
    </w:div>
    <w:div w:id="282347991">
      <w:bodyDiv w:val="1"/>
      <w:marLeft w:val="0"/>
      <w:marRight w:val="0"/>
      <w:marTop w:val="0"/>
      <w:marBottom w:val="0"/>
      <w:divBdr>
        <w:top w:val="none" w:sz="0" w:space="0" w:color="auto"/>
        <w:left w:val="none" w:sz="0" w:space="0" w:color="auto"/>
        <w:bottom w:val="none" w:sz="0" w:space="0" w:color="auto"/>
        <w:right w:val="none" w:sz="0" w:space="0" w:color="auto"/>
      </w:divBdr>
    </w:div>
    <w:div w:id="348652115">
      <w:bodyDiv w:val="1"/>
      <w:marLeft w:val="0"/>
      <w:marRight w:val="0"/>
      <w:marTop w:val="0"/>
      <w:marBottom w:val="0"/>
      <w:divBdr>
        <w:top w:val="none" w:sz="0" w:space="0" w:color="auto"/>
        <w:left w:val="none" w:sz="0" w:space="0" w:color="auto"/>
        <w:bottom w:val="none" w:sz="0" w:space="0" w:color="auto"/>
        <w:right w:val="none" w:sz="0" w:space="0" w:color="auto"/>
      </w:divBdr>
    </w:div>
    <w:div w:id="805665123">
      <w:bodyDiv w:val="1"/>
      <w:marLeft w:val="0"/>
      <w:marRight w:val="0"/>
      <w:marTop w:val="0"/>
      <w:marBottom w:val="0"/>
      <w:divBdr>
        <w:top w:val="none" w:sz="0" w:space="0" w:color="auto"/>
        <w:left w:val="none" w:sz="0" w:space="0" w:color="auto"/>
        <w:bottom w:val="none" w:sz="0" w:space="0" w:color="auto"/>
        <w:right w:val="none" w:sz="0" w:space="0" w:color="auto"/>
      </w:divBdr>
    </w:div>
    <w:div w:id="824591066">
      <w:bodyDiv w:val="1"/>
      <w:marLeft w:val="0"/>
      <w:marRight w:val="0"/>
      <w:marTop w:val="0"/>
      <w:marBottom w:val="0"/>
      <w:divBdr>
        <w:top w:val="none" w:sz="0" w:space="0" w:color="auto"/>
        <w:left w:val="none" w:sz="0" w:space="0" w:color="auto"/>
        <w:bottom w:val="none" w:sz="0" w:space="0" w:color="auto"/>
        <w:right w:val="none" w:sz="0" w:space="0" w:color="auto"/>
      </w:divBdr>
    </w:div>
    <w:div w:id="1050110163">
      <w:bodyDiv w:val="1"/>
      <w:marLeft w:val="0"/>
      <w:marRight w:val="0"/>
      <w:marTop w:val="0"/>
      <w:marBottom w:val="0"/>
      <w:divBdr>
        <w:top w:val="none" w:sz="0" w:space="0" w:color="auto"/>
        <w:left w:val="none" w:sz="0" w:space="0" w:color="auto"/>
        <w:bottom w:val="none" w:sz="0" w:space="0" w:color="auto"/>
        <w:right w:val="none" w:sz="0" w:space="0" w:color="auto"/>
      </w:divBdr>
    </w:div>
    <w:div w:id="1267812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github.com/danizoeller/myPLS" TargetMode="External"/><Relationship Id="rId18" Type="http://schemas.openxmlformats.org/officeDocument/2006/relationships/image" Target="media/image5.tiff"/><Relationship Id="rId3" Type="http://schemas.openxmlformats.org/officeDocument/2006/relationships/customXml" Target="../customXml/item3.xml"/><Relationship Id="rId21" Type="http://schemas.openxmlformats.org/officeDocument/2006/relationships/image" Target="media/image8.tiff"/><Relationship Id="rId7" Type="http://schemas.openxmlformats.org/officeDocument/2006/relationships/settings" Target="settings.xml"/><Relationship Id="rId12" Type="http://schemas.openxmlformats.org/officeDocument/2006/relationships/hyperlink" Target="https://www.fil.ion.ucl.ac.uk/spm/" TargetMode="External"/><Relationship Id="rId17" Type="http://schemas.openxmlformats.org/officeDocument/2006/relationships/image" Target="media/image4.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tiff"/><Relationship Id="rId20"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github.com/FairUnipd/ConsensusClustering-YanAtlas"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tiff"/><Relationship Id="rId23" Type="http://schemas.openxmlformats.org/officeDocument/2006/relationships/image" Target="media/image10.tiff"/><Relationship Id="rId10" Type="http://schemas.openxmlformats.org/officeDocument/2006/relationships/hyperlink" Target="https://orcid.org/0000-0002-6262-6354" TargetMode="External"/><Relationship Id="rId19" Type="http://schemas.openxmlformats.org/officeDocument/2006/relationships/image" Target="media/image6.tiff"/><Relationship Id="rId4" Type="http://schemas.openxmlformats.org/officeDocument/2006/relationships/customXml" Target="../customXml/item4.xml"/><Relationship Id="rId9" Type="http://schemas.openxmlformats.org/officeDocument/2006/relationships/hyperlink" Target="mailto:alessandra.bertoldo@unipd.it" TargetMode="External"/><Relationship Id="rId14" Type="http://schemas.openxmlformats.org/officeDocument/2006/relationships/image" Target="media/image1.tiff"/><Relationship Id="rId22"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28BC8B4451664644AB4B68A7F1907633" ma:contentTypeVersion="4" ma:contentTypeDescription="Creare un nuovo documento." ma:contentTypeScope="" ma:versionID="89549a1a108ddab7385edbb862acfb08">
  <xsd:schema xmlns:xsd="http://www.w3.org/2001/XMLSchema" xmlns:xs="http://www.w3.org/2001/XMLSchema" xmlns:p="http://schemas.microsoft.com/office/2006/metadata/properties" xmlns:ns2="d4adba94-7410-49f9-ba16-65548a421475" targetNamespace="http://schemas.microsoft.com/office/2006/metadata/properties" ma:root="true" ma:fieldsID="b43ba31b8116f526df219fd667977311" ns2:_="">
    <xsd:import namespace="d4adba94-7410-49f9-ba16-65548a4214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adba94-7410-49f9-ba16-65548a4214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25C5FBF-600A-4BFC-9DBB-BB555277BC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adba94-7410-49f9-ba16-65548a4214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6BF6D91-A76C-1848-8112-F8522D06756B}">
  <ds:schemaRefs>
    <ds:schemaRef ds:uri="http://schemas.openxmlformats.org/officeDocument/2006/bibliography"/>
  </ds:schemaRefs>
</ds:datastoreItem>
</file>

<file path=customXml/itemProps3.xml><?xml version="1.0" encoding="utf-8"?>
<ds:datastoreItem xmlns:ds="http://schemas.openxmlformats.org/officeDocument/2006/customXml" ds:itemID="{5493EB2A-F972-4F44-B7ED-5D26D36DF0F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4D391E7-D028-4816-91BE-7DC7B32CECF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23</Pages>
  <Words>17067</Words>
  <Characters>97282</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114121</CharactersWithSpaces>
  <SharedDoc>false</SharedDoc>
  <HLinks>
    <vt:vector size="30" baseType="variant">
      <vt:variant>
        <vt:i4>1638428</vt:i4>
      </vt:variant>
      <vt:variant>
        <vt:i4>81</vt:i4>
      </vt:variant>
      <vt:variant>
        <vt:i4>0</vt:i4>
      </vt:variant>
      <vt:variant>
        <vt:i4>5</vt:i4>
      </vt:variant>
      <vt:variant>
        <vt:lpwstr>https://github.com/danizoeller/myPLS</vt:lpwstr>
      </vt:variant>
      <vt:variant>
        <vt:lpwstr/>
      </vt:variant>
      <vt:variant>
        <vt:i4>6619246</vt:i4>
      </vt:variant>
      <vt:variant>
        <vt:i4>33</vt:i4>
      </vt:variant>
      <vt:variant>
        <vt:i4>0</vt:i4>
      </vt:variant>
      <vt:variant>
        <vt:i4>5</vt:i4>
      </vt:variant>
      <vt:variant>
        <vt:lpwstr>https://www.fil.ion.ucl.ac.uk/spm/</vt:lpwstr>
      </vt:variant>
      <vt:variant>
        <vt:lpwstr/>
      </vt:variant>
      <vt:variant>
        <vt:i4>1507380</vt:i4>
      </vt:variant>
      <vt:variant>
        <vt:i4>30</vt:i4>
      </vt:variant>
      <vt:variant>
        <vt:i4>0</vt:i4>
      </vt:variant>
      <vt:variant>
        <vt:i4>5</vt:i4>
      </vt:variant>
      <vt:variant>
        <vt:lpwstr>https://github.com/giorgia-baron/PhDthesis_codes.git</vt:lpwstr>
      </vt:variant>
      <vt:variant>
        <vt:lpwstr/>
      </vt:variant>
      <vt:variant>
        <vt:i4>5701649</vt:i4>
      </vt:variant>
      <vt:variant>
        <vt:i4>3</vt:i4>
      </vt:variant>
      <vt:variant>
        <vt:i4>0</vt:i4>
      </vt:variant>
      <vt:variant>
        <vt:i4>5</vt:i4>
      </vt:variant>
      <vt:variant>
        <vt:lpwstr>https://orcid.org/0000-0002-6262-6354</vt:lpwstr>
      </vt:variant>
      <vt:variant>
        <vt:lpwstr/>
      </vt:variant>
      <vt:variant>
        <vt:i4>2359386</vt:i4>
      </vt:variant>
      <vt:variant>
        <vt:i4>0</vt:i4>
      </vt:variant>
      <vt:variant>
        <vt:i4>0</vt:i4>
      </vt:variant>
      <vt:variant>
        <vt:i4>5</vt:i4>
      </vt:variant>
      <vt:variant>
        <vt:lpwstr>mailto:alessandra.bertoldo@unipd.it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Vallini</dc:creator>
  <cp:keywords/>
  <dc:description/>
  <cp:lastModifiedBy>Giulia Vallini</cp:lastModifiedBy>
  <cp:revision>513</cp:revision>
  <dcterms:created xsi:type="dcterms:W3CDTF">2024-05-24T21:40:00Z</dcterms:created>
  <dcterms:modified xsi:type="dcterms:W3CDTF">2024-10-18T14:27:00Z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0x01010028BC8B4451664644AB4B68A7F1907633</vt:lpwstr>
  </property>
  <property fmtid="{D5CDD505-2E9C-101B-9397-08002B2CF9AE}" pid="3" name="Mendeley Document_1">
    <vt:lpwstr>True</vt:lpwstr>
  </property>
  <property fmtid="{D5CDD505-2E9C-101B-9397-08002B2CF9AE}" pid="4" name="Mendeley Citation Style_1">
    <vt:lpwstr>http://www.zotero.org/styles/nature</vt:lpwstr>
  </property>
  <property fmtid="{D5CDD505-2E9C-101B-9397-08002B2CF9AE}" pid="5" name="Mendeley Unique User Id_1">
    <vt:lpwstr>1ed35339-f93b-3092-98ce-a02332ae7a79</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http://csl.mendeley.com/styles/650872551/american-medical-association-TRUE</vt:lpwstr>
  </property>
  <property fmtid="{D5CDD505-2E9C-101B-9397-08002B2CF9AE}" pid="9" name="Mendeley Recent Style Name 1_1">
    <vt:lpwstr>American Medical Association 11th edition - Giulia Vallini</vt:lpwstr>
  </property>
  <property fmtid="{D5CDD505-2E9C-101B-9397-08002B2CF9AE}" pid="10" name="Mendeley Recent Style Id 2_1">
    <vt:lpwstr>http://csl.mendeley.com/styles/650872551/american-medical-association</vt:lpwstr>
  </property>
  <property fmtid="{D5CDD505-2E9C-101B-9397-08002B2CF9AE}" pid="11" name="Mendeley Recent Style Name 2_1">
    <vt:lpwstr>American Medical Association 11th edition - Giulia Vallini</vt:lpwstr>
  </property>
  <property fmtid="{D5CDD505-2E9C-101B-9397-08002B2CF9AE}" pid="12" name="Mendeley Recent Style Id 3_1">
    <vt:lpwstr>http://csl.mendeley.com/styles/650872551/american-medical-association-3</vt:lpwstr>
  </property>
  <property fmtid="{D5CDD505-2E9C-101B-9397-08002B2CF9AE}" pid="13" name="Mendeley Recent Style Name 3_1">
    <vt:lpwstr>American Medical Association 11th edition - Giulia Vallini</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http://www.zotero.org/styles/nature</vt:lpwstr>
  </property>
  <property fmtid="{D5CDD505-2E9C-101B-9397-08002B2CF9AE}" pid="17" name="Mendeley Recent Style Name 5_1">
    <vt:lpwstr>Nature</vt:lpwstr>
  </property>
  <property fmtid="{D5CDD505-2E9C-101B-9397-08002B2CF9AE}" pid="18" name="Mendeley Recent Style Id 6_1">
    <vt:lpwstr>http://www.zotero.org/styles/vancouver</vt:lpwstr>
  </property>
  <property fmtid="{D5CDD505-2E9C-101B-9397-08002B2CF9AE}" pid="19" name="Mendeley Recent Style Name 6_1">
    <vt:lpwstr>Vancouver</vt:lpwstr>
  </property>
  <property fmtid="{D5CDD505-2E9C-101B-9397-08002B2CF9AE}" pid="20" name="Mendeley Recent Style Id 7_1">
    <vt:lpwstr>http://csl.mendeley.com/styles/650872551/vancouver-2</vt:lpwstr>
  </property>
  <property fmtid="{D5CDD505-2E9C-101B-9397-08002B2CF9AE}" pid="21" name="Mendeley Recent Style Name 7_1">
    <vt:lpwstr>Vancouver - Giulia Vallini</vt:lpwstr>
  </property>
  <property fmtid="{D5CDD505-2E9C-101B-9397-08002B2CF9AE}" pid="22" name="Mendeley Recent Style Id 8_1">
    <vt:lpwstr>http://csl.mendeley.com/styles/650872551/vancouver-3</vt:lpwstr>
  </property>
  <property fmtid="{D5CDD505-2E9C-101B-9397-08002B2CF9AE}" pid="23" name="Mendeley Recent Style Name 8_1">
    <vt:lpwstr>Vancouver - Giulia Vallini</vt:lpwstr>
  </property>
  <property fmtid="{D5CDD505-2E9C-101B-9397-08002B2CF9AE}" pid="24" name="Mendeley Recent Style Id 9_1">
    <vt:lpwstr>https://csl.mendeley.com/styles/650872551/vancouver-2</vt:lpwstr>
  </property>
  <property fmtid="{D5CDD505-2E9C-101B-9397-08002B2CF9AE}" pid="25" name="Mendeley Recent Style Name 9_1">
    <vt:lpwstr>Vancouver - Giulia Vallini</vt:lpwstr>
  </property>
  <property fmtid="{D5CDD505-2E9C-101B-9397-08002B2CF9AE}" pid="26" name="GrammarlyDocumentId">
    <vt:lpwstr>e282d23ea1c1c4d39d6cb7f766f4dec7dc2f243ef9088012c58407dcb511c59a</vt:lpwstr>
  </property>
</Properties>
</file>