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2752863D" w:rsidP="62522028" w:rsidRDefault="2752863D" w14:paraId="525629F9" w14:textId="38B9692F">
      <w:pPr>
        <w:pStyle w:val="Heading1"/>
        <w:rPr>
          <w:i w:val="1"/>
          <w:iCs w:val="1"/>
          <w:sz w:val="28"/>
          <w:szCs w:val="28"/>
          <w:lang w:val="en-US"/>
        </w:rPr>
      </w:pPr>
      <w:r w:rsidRPr="62522028" w:rsidR="2752863D">
        <w:rPr>
          <w:lang w:val="en-US"/>
        </w:rPr>
        <w:t>Supplementary material</w:t>
      </w:r>
    </w:p>
    <w:p w:rsidR="2752863D" w:rsidP="62522028" w:rsidRDefault="2752863D" w14:paraId="10E54C7D" w14:textId="605AF43A">
      <w:pPr>
        <w:pStyle w:val="Title"/>
        <w:widowControl w:val="1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u w:val="none"/>
          <w:lang w:val="en-US"/>
        </w:rPr>
      </w:pP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u w:val="none"/>
          <w:lang w:val="en-US"/>
        </w:rPr>
        <w:t xml:space="preserve">Synthesis of Iron </w:t>
      </w: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32"/>
          <w:szCs w:val="32"/>
          <w:u w:val="none"/>
          <w:lang w:val="en-US"/>
        </w:rPr>
        <w:t>O</w:t>
      </w: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u w:val="none"/>
          <w:lang w:val="en-US"/>
        </w:rPr>
        <w:t>xide</w:t>
      </w: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u w:val="none"/>
          <w:lang w:val="en-US"/>
        </w:rPr>
        <w:t>/</w:t>
      </w: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32"/>
          <w:szCs w:val="32"/>
          <w:u w:val="none"/>
          <w:lang w:val="en-US"/>
        </w:rPr>
        <w:t>A</w:t>
      </w: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u w:val="none"/>
          <w:lang w:val="en-US"/>
        </w:rPr>
        <w:t xml:space="preserve">ctivated </w:t>
      </w: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32"/>
          <w:szCs w:val="32"/>
          <w:u w:val="none"/>
          <w:lang w:val="en-US"/>
        </w:rPr>
        <w:t>Hydrochar</w:t>
      </w: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32"/>
          <w:szCs w:val="32"/>
          <w:u w:val="none"/>
          <w:lang w:val="en-US"/>
        </w:rPr>
        <w:t xml:space="preserve"> </w:t>
      </w:r>
      <w:r w:rsidRPr="62522028" w:rsidR="275286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u w:val="none"/>
          <w:lang w:val="en-US"/>
        </w:rPr>
        <w:t>Composite from Residual Brewery Biomass for Remediation of Water Contaminated with Chlorophenol</w:t>
      </w:r>
    </w:p>
    <w:p w:rsidR="62522028" w:rsidP="62522028" w:rsidRDefault="62522028" w14:paraId="1B92D978" w14:textId="7F5D317E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</w:p>
    <w:p w:rsidR="2752863D" w:rsidP="62522028" w:rsidRDefault="2752863D" w14:paraId="3DFCA29B" w14:textId="340A4BB3">
      <w:pPr>
        <w:pStyle w:val="Authors"/>
        <w:widowControl w:val="1"/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9"/>
          <w:szCs w:val="19"/>
          <w:u w:val="none"/>
          <w:lang w:val="en-US"/>
        </w:rPr>
      </w:pP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s-CL"/>
        </w:rPr>
        <w:t xml:space="preserve">Matías Kopp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vertAlign w:val="superscript"/>
          <w:lang w:val="es-CL"/>
        </w:rPr>
        <w:t>a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s-CL"/>
        </w:rPr>
        <w:t xml:space="preserve">, Pedro Anabalón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vertAlign w:val="superscript"/>
          <w:lang w:val="es-CL"/>
        </w:rPr>
        <w:t>a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s-CL"/>
        </w:rPr>
        <w:t xml:space="preserve">, Sebastián Rocha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vertAlign w:val="superscript"/>
          <w:lang w:val="es-CL"/>
        </w:rPr>
        <w:t>c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s-CL"/>
        </w:rPr>
        <w:t xml:space="preserve">, María Eugenia González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vertAlign w:val="superscript"/>
          <w:lang w:val="es-CL"/>
        </w:rPr>
        <w:t>b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s-CL"/>
        </w:rPr>
        <w:t xml:space="preserve">, Juan Miguel Romero-García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vertAlign w:val="superscript"/>
          <w:lang w:val="es-CL"/>
        </w:rPr>
        <w:t>d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s-CL"/>
        </w:rPr>
        <w:t xml:space="preserve">, Eulogio Castro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vertAlign w:val="superscript"/>
          <w:lang w:val="es-CL"/>
        </w:rPr>
        <w:t>d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lang w:val="es-CL"/>
        </w:rPr>
        <w:t xml:space="preserve">, and Mara Cea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u w:val="none"/>
          <w:vertAlign w:val="superscript"/>
          <w:lang w:val="es-CL"/>
        </w:rPr>
        <w:t>b, *</w:t>
      </w:r>
    </w:p>
    <w:p w:rsidR="2752863D" w:rsidP="62522028" w:rsidRDefault="2752863D" w14:paraId="0944F15B" w14:textId="27C2F30B">
      <w:pPr>
        <w:widowControl w:val="0"/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</w:pP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vertAlign w:val="superscript"/>
          <w:lang w:val="en-US"/>
        </w:rPr>
        <w:t>a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>Doctorate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 xml:space="preserve"> in Engineering Sciences with Specialization in Bioprocess, Chemical Engineering Department, Universidad de La Frontera, Francisco Salazar 01145, Temuco, Chile.</w:t>
      </w:r>
    </w:p>
    <w:p w:rsidR="2752863D" w:rsidP="62522028" w:rsidRDefault="2752863D" w14:paraId="384705C0" w14:textId="082194A7">
      <w:pPr>
        <w:widowControl w:val="0"/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</w:pP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vertAlign w:val="superscript"/>
          <w:lang w:val="en-US"/>
        </w:rPr>
        <w:t>b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>Chemical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 xml:space="preserve"> Engineering Department, Universidad de La Frontera, Francisco Salazar 01145, Temuco 4780000, Chile.</w:t>
      </w:r>
    </w:p>
    <w:p w:rsidR="2752863D" w:rsidP="62522028" w:rsidRDefault="2752863D" w14:paraId="09E5D67B" w14:textId="6E4698E3">
      <w:pPr>
        <w:widowControl w:val="0"/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</w:pP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vertAlign w:val="superscript"/>
          <w:lang w:val="en-US"/>
        </w:rPr>
        <w:t>c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>School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 xml:space="preserve"> of Engineering, Faculty of Sciences, Engineering and Technology, Universidad Mayor, Chile</w:t>
      </w:r>
    </w:p>
    <w:p w:rsidR="2752863D" w:rsidP="62522028" w:rsidRDefault="2752863D" w14:paraId="1996F39E" w14:textId="23AA5955">
      <w:pPr>
        <w:widowControl w:val="0"/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</w:pP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vertAlign w:val="superscript"/>
          <w:lang w:val="en-US"/>
        </w:rPr>
        <w:t>d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>Department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 xml:space="preserve"> of Chemical, Environmental and Materials Engineering;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16"/>
          <w:szCs w:val="16"/>
          <w:u w:val="none"/>
          <w:lang w:val="en-US"/>
        </w:rPr>
        <w:t xml:space="preserve">Biorefinery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16"/>
          <w:szCs w:val="16"/>
          <w:u w:val="none"/>
          <w:lang w:val="en-US"/>
        </w:rPr>
        <w:t>Research Institute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>(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16"/>
          <w:szCs w:val="16"/>
          <w:u w:val="none"/>
          <w:lang w:val="en-US"/>
        </w:rPr>
        <w:t>I3B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 xml:space="preserve">), University of Jaén, Campus Las 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>Lagunillas</w:t>
      </w: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u w:val="none"/>
          <w:lang w:val="en-US"/>
        </w:rPr>
        <w:t xml:space="preserve"> s/n, 23071, Jaén, Spain</w:t>
      </w:r>
    </w:p>
    <w:p w:rsidR="2752863D" w:rsidP="62522028" w:rsidRDefault="2752863D" w14:paraId="0AB74EC1" w14:textId="13E28FF9">
      <w:pPr>
        <w:widowControl w:val="0"/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* Corresponding author, E-mail: </w:t>
      </w:r>
      <w:hyperlink r:id="Rbdb2b92dcd654f5b">
        <w:r w:rsidRPr="62522028" w:rsidR="2752863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mara.cea@ufrontera.cl</w:t>
        </w:r>
      </w:hyperlink>
      <w:r w:rsidRPr="62522028" w:rsidR="275286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.</w:t>
      </w:r>
    </w:p>
    <w:p w:rsidR="62522028" w:rsidP="62522028" w:rsidRDefault="62522028" w14:paraId="6572408C" w14:textId="6EDA23A6">
      <w:pPr>
        <w:pStyle w:val="Normal"/>
        <w:rPr>
          <w:lang w:val="en-US"/>
        </w:rPr>
      </w:pPr>
    </w:p>
    <w:p w:rsidR="40D07815" w:rsidP="4C42530C" w:rsidRDefault="40D07815" w14:paraId="21067C5B" w14:textId="6641FB2D">
      <w:pPr>
        <w:pStyle w:val="Heading3"/>
        <w:numPr>
          <w:ilvl w:val="0"/>
          <w:numId w:val="0"/>
        </w:numPr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</w:pPr>
      <w:r w:rsidRPr="4C42530C" w:rsidR="18FCF593">
        <w:rPr>
          <w:lang w:val="en-US"/>
        </w:rPr>
        <w:t xml:space="preserve">S.1 </w:t>
      </w:r>
      <w:r w:rsidRPr="4C42530C" w:rsidR="40D07815">
        <w:rPr>
          <w:lang w:val="en-US"/>
        </w:rPr>
        <w:t>Materials and methods</w:t>
      </w:r>
    </w:p>
    <w:p w:rsidR="5FED770F" w:rsidP="62522028" w:rsidRDefault="5FED770F" w14:paraId="1DFE5628" w14:textId="43DAC003">
      <w:pPr>
        <w:pStyle w:val="Heading2"/>
        <w:rPr>
          <w:rFonts w:ascii="Times New Roman" w:hAnsi="Times New Roman" w:eastAsia="Times New Roman" w:cs="Times New Roman"/>
          <w:sz w:val="22"/>
          <w:szCs w:val="22"/>
          <w:lang w:val="en-US"/>
        </w:rPr>
      </w:pPr>
      <w:r w:rsidRPr="4C42530C" w:rsidR="5FED770F">
        <w:rPr>
          <w:lang w:val="en-US"/>
        </w:rPr>
        <w:t>Instrumental characterization of carbonous material</w:t>
      </w:r>
    </w:p>
    <w:p w:rsidR="2752863D" w:rsidP="62522028" w:rsidRDefault="2752863D" w14:paraId="037328A7" w14:textId="191C2763">
      <w:pPr>
        <w:pStyle w:val="Normal"/>
        <w:rPr>
          <w:rFonts w:ascii="Times New Roman" w:hAnsi="Times New Roman" w:eastAsia="Times New Roman" w:cs="Times New Roman"/>
          <w:sz w:val="21"/>
          <w:szCs w:val="21"/>
          <w:lang w:val="en-US"/>
        </w:rPr>
      </w:pPr>
      <w:r w:rsidRPr="62522028" w:rsidR="2752863D">
        <w:rPr>
          <w:lang w:val="en-US"/>
        </w:rPr>
        <w:t xml:space="preserve">Various characterization techniques were employed to examine the properties of the materials. Fourier Transform Infrared Spectroscopy (FTIR) was conducted using a Cary 630 FTIR (Agilent Technologies, USA) to </w:t>
      </w:r>
      <w:r w:rsidRPr="62522028" w:rsidR="2752863D">
        <w:rPr>
          <w:lang w:val="en-US"/>
        </w:rPr>
        <w:t>identify</w:t>
      </w:r>
      <w:r w:rsidRPr="62522028" w:rsidR="2752863D">
        <w:rPr>
          <w:lang w:val="en-US"/>
        </w:rPr>
        <w:t xml:space="preserve"> the chemical functional groups present on the surface of the materials. The scanning range for the samples was 4000-600 cm-1. The superficial area and pore structure were analyzed by performing N2 adsorption-desorption isotherms at 77 K using a Nova 1000e analyzer (Quantachrome Instruments, USA). Prior to the adsorption measurements, the samples were subjected to degassing at 180 °C for 16 hours. The morphological characteristics of the materials were examined using scanning electron microscopy (SEM) SU-3500 (Hitachi, Japan) at an acceleration voltage of 10 kV, and their elemental composition was </w:t>
      </w:r>
      <w:r w:rsidRPr="62522028" w:rsidR="2752863D">
        <w:rPr>
          <w:lang w:val="en-US"/>
        </w:rPr>
        <w:t>determined</w:t>
      </w:r>
      <w:r w:rsidRPr="62522028" w:rsidR="2752863D">
        <w:rPr>
          <w:lang w:val="en-US"/>
        </w:rPr>
        <w:t xml:space="preserve"> using energy dispersive X-ray spectroscopy (EDS). The crystal structure of the synthesized iron oxide/activated </w:t>
      </w:r>
      <w:r w:rsidRPr="62522028" w:rsidR="2752863D">
        <w:rPr>
          <w:lang w:val="en-US"/>
        </w:rPr>
        <w:t>hydrochar</w:t>
      </w:r>
      <w:r w:rsidRPr="62522028" w:rsidR="2752863D">
        <w:rPr>
          <w:lang w:val="en-US"/>
        </w:rPr>
        <w:t xml:space="preserve"> composites was investigated through X-ray diffraction (XRD) analysis. XRD measurements were performed using a </w:t>
      </w:r>
      <w:r w:rsidRPr="62522028" w:rsidR="2752863D">
        <w:rPr>
          <w:lang w:val="en-US"/>
        </w:rPr>
        <w:t>SmartLab</w:t>
      </w:r>
      <w:r w:rsidRPr="62522028" w:rsidR="2752863D">
        <w:rPr>
          <w:lang w:val="en-US"/>
        </w:rPr>
        <w:t xml:space="preserve"> X-ray Diffractometer (Rigaku, Japan) with a Cu tube (λ = 1.54184 Å) and a sampling increment of 0.01° within the range of 5 to 55°. The chemical composition of the materials (CHNS) was </w:t>
      </w:r>
      <w:r w:rsidRPr="62522028" w:rsidR="2752863D">
        <w:rPr>
          <w:lang w:val="en-US"/>
        </w:rPr>
        <w:t>determined</w:t>
      </w:r>
      <w:r w:rsidRPr="62522028" w:rsidR="2752863D">
        <w:rPr>
          <w:lang w:val="en-US"/>
        </w:rPr>
        <w:t xml:space="preserve"> using an elemental analyzer EA3000 (</w:t>
      </w:r>
      <w:r w:rsidRPr="62522028" w:rsidR="2752863D">
        <w:rPr>
          <w:lang w:val="en-US"/>
        </w:rPr>
        <w:t>Eurovector</w:t>
      </w:r>
      <w:r w:rsidRPr="62522028" w:rsidR="2752863D">
        <w:rPr>
          <w:lang w:val="en-US"/>
        </w:rPr>
        <w:t xml:space="preserve">, Italy), while the inorganic composition of the materials was analyzed by total reflection X-ray fluorescence (TXRF) in a Bruker S4 T-Star (Bruker, Germany) spectrometer. Analysis was carried out on 30 mm quartz discs with Mo-K excitation of 17.5 keV. To </w:t>
      </w:r>
      <w:r w:rsidRPr="62522028" w:rsidR="2752863D">
        <w:rPr>
          <w:lang w:val="en-US"/>
        </w:rPr>
        <w:t>determine</w:t>
      </w:r>
      <w:r w:rsidRPr="62522028" w:rsidR="2752863D">
        <w:rPr>
          <w:lang w:val="en-US"/>
        </w:rPr>
        <w:t xml:space="preserve"> the ash content Thermogravimetric analysis (TGA) of materials was performed in a PerkinElmer STAR 6000 thermogravimetric balance under N2 atmosphere (50 mL</w:t>
      </w:r>
      <w:r w:rsidRPr="62522028" w:rsidR="6ABCD3B4">
        <w:rPr>
          <w:lang w:val="en-US"/>
        </w:rPr>
        <w:t>/</w:t>
      </w:r>
      <w:r w:rsidRPr="62522028" w:rsidR="2752863D">
        <w:rPr>
          <w:lang w:val="en-US"/>
        </w:rPr>
        <w:t>min) from 30 to 900 °C and a heating rate of 10 °C</w:t>
      </w:r>
      <w:r w:rsidRPr="62522028" w:rsidR="4DE5E97A">
        <w:rPr>
          <w:lang w:val="en-US"/>
        </w:rPr>
        <w:t>/</w:t>
      </w:r>
      <w:r w:rsidRPr="62522028" w:rsidR="2752863D">
        <w:rPr>
          <w:lang w:val="en-US"/>
        </w:rPr>
        <w:t>min. Finally, the isoelectric point</w:t>
      </w:r>
      <w:r w:rsidRPr="62522028" w:rsidR="2752863D">
        <w:rPr>
          <w:lang w:val="en-US"/>
        </w:rPr>
        <w:t xml:space="preserve"> (</w:t>
      </w:r>
      <w:r w:rsidRPr="62522028" w:rsidR="2752863D">
        <w:rPr>
          <w:lang w:val="en-US"/>
        </w:rPr>
        <w:t>p</w:t>
      </w:r>
      <w:r w:rsidRPr="62522028" w:rsidR="2752863D">
        <w:rPr>
          <w:vertAlign w:val="subscript"/>
          <w:lang w:val="en-US"/>
        </w:rPr>
        <w:t>HI</w:t>
      </w:r>
      <w:r w:rsidRPr="62522028" w:rsidR="2752863D">
        <w:rPr>
          <w:vertAlign w:val="subscript"/>
          <w:lang w:val="en-US"/>
        </w:rPr>
        <w:t>EP</w:t>
      </w:r>
      <w:r w:rsidRPr="62522028" w:rsidR="2752863D">
        <w:rPr>
          <w:lang w:val="en-US"/>
        </w:rPr>
        <w:t>) of the samples wa</w:t>
      </w:r>
      <w:r w:rsidRPr="62522028" w:rsidR="2752863D">
        <w:rPr>
          <w:lang w:val="en-US"/>
        </w:rPr>
        <w:t xml:space="preserve">s </w:t>
      </w:r>
      <w:r w:rsidRPr="62522028" w:rsidR="2752863D">
        <w:rPr>
          <w:lang w:val="en-US"/>
        </w:rPr>
        <w:t>determin</w:t>
      </w:r>
      <w:r w:rsidRPr="62522028" w:rsidR="2752863D">
        <w:rPr>
          <w:lang w:val="en-US"/>
        </w:rPr>
        <w:t>ed</w:t>
      </w:r>
      <w:r w:rsidRPr="62522028" w:rsidR="2752863D">
        <w:rPr>
          <w:lang w:val="en-US"/>
        </w:rPr>
        <w:t xml:space="preserve"> using </w:t>
      </w:r>
      <w:r w:rsidRPr="62522028" w:rsidR="2752863D">
        <w:rPr>
          <w:lang w:val="en-US"/>
        </w:rPr>
        <w:t xml:space="preserve">a </w:t>
      </w:r>
      <w:r w:rsidRPr="62522028" w:rsidR="2752863D">
        <w:rPr>
          <w:lang w:val="en-US"/>
        </w:rPr>
        <w:t>Zetasiz</w:t>
      </w:r>
      <w:r w:rsidRPr="62522028" w:rsidR="2752863D">
        <w:rPr>
          <w:lang w:val="en-US"/>
        </w:rPr>
        <w:t>er</w:t>
      </w:r>
      <w:r w:rsidRPr="62522028" w:rsidR="2752863D">
        <w:rPr>
          <w:lang w:val="en-US"/>
        </w:rPr>
        <w:t xml:space="preserve"> Nano ZS equipment (Malvern Instruments, Ltd.). For this measurement, suspension</w:t>
      </w:r>
      <w:r w:rsidRPr="62522028" w:rsidR="2752863D">
        <w:rPr>
          <w:lang w:val="en-US"/>
        </w:rPr>
        <w:t xml:space="preserve">s </w:t>
      </w:r>
      <w:r w:rsidRPr="62522028" w:rsidR="2752863D">
        <w:rPr>
          <w:lang w:val="en-US"/>
        </w:rPr>
        <w:t>containi</w:t>
      </w:r>
      <w:r w:rsidRPr="62522028" w:rsidR="2752863D">
        <w:rPr>
          <w:lang w:val="en-US"/>
        </w:rPr>
        <w:t>ng</w:t>
      </w:r>
      <w:r w:rsidRPr="62522028" w:rsidR="2752863D">
        <w:rPr>
          <w:lang w:val="en-US"/>
        </w:rPr>
        <w:t xml:space="preserve"> 0.025 g (Ø = 10-20 µm) of solid in 20 mL of deionized water were used.</w:t>
      </w:r>
    </w:p>
    <w:p w:rsidR="6D94218B" w:rsidP="62522028" w:rsidRDefault="6D94218B" w14:paraId="17631086" w14:textId="101FD617">
      <w:pPr>
        <w:pStyle w:val="Heading2"/>
        <w:rPr>
          <w:rFonts w:ascii="Times New Roman" w:hAnsi="Times New Roman" w:eastAsia="Times New Roman" w:cs="Times New Roman"/>
          <w:b w:val="1"/>
          <w:bCs w:val="1"/>
          <w:lang w:val="en-US"/>
        </w:rPr>
      </w:pPr>
      <w:r w:rsidRPr="62522028" w:rsidR="6D94218B">
        <w:rPr>
          <w:lang w:val="en-US"/>
        </w:rPr>
        <w:t>2-chlorophenol (2-CP) quantification</w:t>
      </w:r>
    </w:p>
    <w:p xmlns:wp14="http://schemas.microsoft.com/office/word/2010/wordml" w:rsidP="62522028" wp14:paraId="5C1A07E2" wp14:textId="5BE2367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Times New Roman" w:hAnsi="Times New Roman" w:eastAsia="Times New Roman" w:cs="Times New Roman"/>
          <w:lang w:val="en-US"/>
        </w:rPr>
      </w:pP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The aqueous concentrations of 2-CP underwent analysis using high-performance liquid chromatography (HPLC) instrument (Jasco, Japan) equipped with an analytical C18 reversed-phase </w:t>
      </w:r>
      <w:r w:rsidRPr="62522028" w:rsidR="6E1F6166">
        <w:rPr>
          <w:rFonts w:ascii="Times New Roman" w:hAnsi="Times New Roman" w:eastAsia="Times New Roman" w:cs="Times New Roman"/>
          <w:lang w:val="en-US"/>
        </w:rPr>
        <w:t xml:space="preserve">(RP) </w:t>
      </w: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column, </w:t>
      </w:r>
      <w:r w:rsidRPr="62522028" w:rsidR="13FB7EBA">
        <w:rPr>
          <w:rFonts w:ascii="Times New Roman" w:hAnsi="Times New Roman" w:eastAsia="Times New Roman" w:cs="Times New Roman"/>
          <w:lang w:val="en-US"/>
        </w:rPr>
        <w:t>Inertsil</w:t>
      </w: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 ODS-4, 5 µm, 250 x 4.6 mm (</w:t>
      </w:r>
      <w:r w:rsidRPr="62522028" w:rsidR="13FB7EBA">
        <w:rPr>
          <w:rFonts w:ascii="Times New Roman" w:hAnsi="Times New Roman" w:eastAsia="Times New Roman" w:cs="Times New Roman"/>
          <w:lang w:val="en-US"/>
        </w:rPr>
        <w:t>Gl</w:t>
      </w: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 Science, Japan). The mobile phase consisted </w:t>
      </w:r>
      <w:r w:rsidRPr="62522028" w:rsidR="5766AFB9">
        <w:rPr>
          <w:rFonts w:ascii="Times New Roman" w:hAnsi="Times New Roman" w:eastAsia="Times New Roman" w:cs="Times New Roman"/>
          <w:lang w:val="en-US"/>
        </w:rPr>
        <w:t xml:space="preserve">in an isocratic elution using </w:t>
      </w:r>
      <w:r w:rsidRPr="62522028" w:rsidR="13FB7EBA">
        <w:rPr>
          <w:rFonts w:ascii="Times New Roman" w:hAnsi="Times New Roman" w:eastAsia="Times New Roman" w:cs="Times New Roman"/>
          <w:lang w:val="en-US"/>
        </w:rPr>
        <w:t>a mixture of acetonitrile and 1% phosphoric acid in a ratio of 1:1 (v/v), flowing at a rate of 1 mL</w:t>
      </w:r>
      <w:r w:rsidRPr="62522028" w:rsidR="6F9F61CB">
        <w:rPr>
          <w:rFonts w:ascii="Times New Roman" w:hAnsi="Times New Roman" w:eastAsia="Times New Roman" w:cs="Times New Roman"/>
          <w:lang w:val="en-US"/>
        </w:rPr>
        <w:t>/</w:t>
      </w:r>
      <w:r w:rsidRPr="62522028" w:rsidR="13FB7EBA">
        <w:rPr>
          <w:rFonts w:ascii="Times New Roman" w:hAnsi="Times New Roman" w:eastAsia="Times New Roman" w:cs="Times New Roman"/>
          <w:lang w:val="en-US"/>
        </w:rPr>
        <w:t>min, and</w:t>
      </w:r>
      <w:r w:rsidRPr="62522028" w:rsidR="772C46D7">
        <w:rPr>
          <w:rFonts w:ascii="Times New Roman" w:hAnsi="Times New Roman" w:eastAsia="Times New Roman" w:cs="Times New Roman"/>
          <w:lang w:val="en-US"/>
        </w:rPr>
        <w:t xml:space="preserve"> an automatic </w:t>
      </w: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injection </w:t>
      </w:r>
      <w:r w:rsidRPr="62522028" w:rsidR="75651819">
        <w:rPr>
          <w:rFonts w:ascii="Times New Roman" w:hAnsi="Times New Roman" w:eastAsia="Times New Roman" w:cs="Times New Roman"/>
          <w:lang w:val="en-US"/>
        </w:rPr>
        <w:t>of</w:t>
      </w: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 20 µL</w:t>
      </w:r>
      <w:r w:rsidRPr="62522028" w:rsidR="258164FD">
        <w:rPr>
          <w:rFonts w:ascii="Times New Roman" w:hAnsi="Times New Roman" w:eastAsia="Times New Roman" w:cs="Times New Roman"/>
          <w:lang w:val="en-US"/>
        </w:rPr>
        <w:t>, while the loop volume was 100 µL</w:t>
      </w: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. During the analysis, the column temperature was </w:t>
      </w:r>
      <w:r w:rsidRPr="62522028" w:rsidR="13FB7EBA">
        <w:rPr>
          <w:rFonts w:ascii="Times New Roman" w:hAnsi="Times New Roman" w:eastAsia="Times New Roman" w:cs="Times New Roman"/>
          <w:lang w:val="en-US"/>
        </w:rPr>
        <w:t>maintained</w:t>
      </w: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 at 35 °C, while the analytical wavelength was set at 274 nm. For quantification, a</w:t>
      </w:r>
      <w:r w:rsidRPr="62522028" w:rsidR="1571DE7C">
        <w:rPr>
          <w:rFonts w:ascii="Times New Roman" w:hAnsi="Times New Roman" w:eastAsia="Times New Roman" w:cs="Times New Roman"/>
          <w:lang w:val="en-US"/>
        </w:rPr>
        <w:t xml:space="preserve">n external </w:t>
      </w:r>
      <w:r w:rsidRPr="62522028" w:rsidR="1571DE7C">
        <w:rPr>
          <w:rFonts w:ascii="Times New Roman" w:hAnsi="Times New Roman" w:eastAsia="Times New Roman" w:cs="Times New Roman"/>
          <w:lang w:val="en-US"/>
        </w:rPr>
        <w:t>standard</w:t>
      </w:r>
      <w:r w:rsidRPr="62522028" w:rsidR="13FB7EBA">
        <w:rPr>
          <w:rFonts w:ascii="Times New Roman" w:hAnsi="Times New Roman" w:eastAsia="Times New Roman" w:cs="Times New Roman"/>
          <w:lang w:val="en-US"/>
        </w:rPr>
        <w:t xml:space="preserve"> calibration plot was constructed within the range of experimental concentrations employed</w:t>
      </w:r>
      <w:r w:rsidRPr="62522028" w:rsidR="13FB7EBA">
        <w:rPr>
          <w:rFonts w:ascii="Times New Roman" w:hAnsi="Times New Roman" w:eastAsia="Times New Roman" w:cs="Times New Roman"/>
          <w:lang w:val="en-US"/>
        </w:rPr>
        <w:t>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b53dd7b93e734ee4"/>
      <w:footerReference w:type="default" r:id="Rbdf0742f68934be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522028" w:rsidTr="62522028" w14:paraId="504CE1D3">
      <w:trPr>
        <w:trHeight w:val="300"/>
      </w:trPr>
      <w:tc>
        <w:tcPr>
          <w:tcW w:w="3005" w:type="dxa"/>
          <w:tcMar/>
        </w:tcPr>
        <w:p w:rsidR="62522028" w:rsidP="62522028" w:rsidRDefault="62522028" w14:paraId="5C8362A6" w14:textId="2F314C4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2522028" w:rsidP="62522028" w:rsidRDefault="62522028" w14:paraId="209BC420" w14:textId="2BE0801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2522028" w:rsidP="62522028" w:rsidRDefault="62522028" w14:paraId="6C48C317" w14:textId="574CA4FD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62522028" w:rsidP="62522028" w:rsidRDefault="62522028" w14:paraId="344A20E3" w14:textId="2C49BE4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522028" w:rsidTr="62522028" w14:paraId="5F8FD7A1">
      <w:trPr>
        <w:trHeight w:val="300"/>
      </w:trPr>
      <w:tc>
        <w:tcPr>
          <w:tcW w:w="3005" w:type="dxa"/>
          <w:tcMar/>
        </w:tcPr>
        <w:p w:rsidR="62522028" w:rsidP="62522028" w:rsidRDefault="62522028" w14:paraId="018A1BFD" w14:textId="782FEB4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2522028" w:rsidP="62522028" w:rsidRDefault="62522028" w14:paraId="1B51BAA9" w14:textId="78F129A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2522028" w:rsidP="62522028" w:rsidRDefault="62522028" w14:paraId="794CBE9B" w14:textId="7A86479F">
          <w:pPr>
            <w:pStyle w:val="Header"/>
            <w:bidi w:val="0"/>
            <w:ind w:right="-115"/>
            <w:jc w:val="right"/>
          </w:pPr>
        </w:p>
      </w:tc>
    </w:tr>
  </w:tbl>
  <w:p w:rsidR="62522028" w:rsidP="62522028" w:rsidRDefault="62522028" w14:paraId="015A7FD6" w14:textId="668DDDED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81b223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210008"/>
    <w:rsid w:val="017E9BE9"/>
    <w:rsid w:val="13FB7EBA"/>
    <w:rsid w:val="1571DE7C"/>
    <w:rsid w:val="18FCF593"/>
    <w:rsid w:val="1F21345E"/>
    <w:rsid w:val="258164FD"/>
    <w:rsid w:val="2752863D"/>
    <w:rsid w:val="2CA9C384"/>
    <w:rsid w:val="2DB51E52"/>
    <w:rsid w:val="302CF972"/>
    <w:rsid w:val="30E5B7B8"/>
    <w:rsid w:val="318290AE"/>
    <w:rsid w:val="336EA8F8"/>
    <w:rsid w:val="3B3FCC48"/>
    <w:rsid w:val="4043E3AE"/>
    <w:rsid w:val="40D07815"/>
    <w:rsid w:val="47622258"/>
    <w:rsid w:val="489B9B36"/>
    <w:rsid w:val="4C42530C"/>
    <w:rsid w:val="4DD80FCD"/>
    <w:rsid w:val="4DE5E97A"/>
    <w:rsid w:val="5766AFB9"/>
    <w:rsid w:val="57A7E447"/>
    <w:rsid w:val="57EA091B"/>
    <w:rsid w:val="5E65CD2C"/>
    <w:rsid w:val="5FED770F"/>
    <w:rsid w:val="6064071D"/>
    <w:rsid w:val="60909C0D"/>
    <w:rsid w:val="62522028"/>
    <w:rsid w:val="692D5295"/>
    <w:rsid w:val="6ABCD3B4"/>
    <w:rsid w:val="6D94218B"/>
    <w:rsid w:val="6E1F6166"/>
    <w:rsid w:val="6F9F61CB"/>
    <w:rsid w:val="73210008"/>
    <w:rsid w:val="74E59E1B"/>
    <w:rsid w:val="75651819"/>
    <w:rsid w:val="772C46D7"/>
    <w:rsid w:val="7DE9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10008"/>
  <w15:chartTrackingRefBased/>
  <w15:docId w15:val="{C69F7756-0BFE-485B-B11A-65016F0EF8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62522028"/>
    <w:rPr>
      <w:rFonts w:ascii="Times New Roman" w:hAnsi="Times New Roman" w:eastAsia="Times New Roman" w:cs="Times New Roman"/>
      <w:sz w:val="21"/>
      <w:szCs w:val="21"/>
      <w:lang w:val="en-US"/>
    </w:rPr>
    <w:pPr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62522028"/>
    <w:rPr>
      <w:i w:val="1"/>
      <w:iCs w:val="1"/>
      <w:sz w:val="28"/>
      <w:szCs w:val="28"/>
    </w:r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62522028"/>
    <w:rPr>
      <w:b w:val="1"/>
      <w:bCs w:val="1"/>
      <w:sz w:val="22"/>
      <w:szCs w:val="22"/>
    </w:rPr>
  </w:style>
  <w:style w:type="paragraph" w:styleId="Heading3">
    <w:uiPriority w:val="9"/>
    <w:name w:val="heading 3"/>
    <w:basedOn w:val="ListParagraph"/>
    <w:next w:val="Normal"/>
    <w:unhideWhenUsed/>
    <w:link w:val="Heading3Char"/>
    <w:qFormat/>
    <w:rsid w:val="62522028"/>
    <w:rPr>
      <w:rFonts w:ascii="Times New Roman" w:hAnsi="Times New Roman" w:eastAsia="Times New Roman" w:cs="Times New Roman"/>
      <w:b w:val="1"/>
      <w:bCs w:val="1"/>
      <w:sz w:val="22"/>
      <w:szCs w:val="22"/>
      <w:lang w:val="en-US" w:eastAsia="en-US" w:bidi="ar-SA"/>
    </w:rPr>
    <w:pPr>
      <w:numPr>
        <w:ilvl w:val="0"/>
        <w:numId w:val="1"/>
      </w:numPr>
      <w:spacing w:after="160" w:line="279" w:lineRule="auto"/>
      <w:ind w:left="360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62522028"/>
    <w:rPr>
      <w:rFonts w:ascii="Aptos Display" w:hAnsi="Aptos Display" w:eastAsia="" w:cs="" w:asciiTheme="majorAscii" w:hAnsiTheme="majorAscii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6252202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62522028"/>
    <w:rPr>
      <w:rFonts w:ascii="Aptos Display" w:hAnsi="Aptos Display" w:eastAsia="" w:cs="" w:asciiTheme="majorAscii" w:hAnsiTheme="majorAscii" w:eastAsiaTheme="majorEastAsia" w:cstheme="majorBidi"/>
      <w:color w:val="0A2F40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62522028"/>
    <w:rPr>
      <w:rFonts w:ascii="Aptos Display" w:hAnsi="Aptos Display" w:eastAsia="" w:cs="" w:asciiTheme="majorAscii" w:hAnsiTheme="majorAscii" w:eastAsiaTheme="majorEastAsia" w:cstheme="majorBidi"/>
      <w:i w:val="1"/>
      <w:iCs w:val="1"/>
      <w:color w:val="0A2F40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62522028"/>
    <w:rPr>
      <w:rFonts w:ascii="Aptos Display" w:hAnsi="Aptos Display" w:eastAsia="" w:cs="" w:asciiTheme="majorAscii" w:hAnsiTheme="majorAscii" w:eastAsiaTheme="majorEastAsia" w:cstheme="majorBidi"/>
      <w:color w:val="272727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62522028"/>
    <w:rPr>
      <w:rFonts w:ascii="Aptos Display" w:hAnsi="Aptos Display" w:eastAsia="" w:cs="" w:asciiTheme="majorAscii" w:hAnsiTheme="majorAscii" w:eastAsiaTheme="majorEastAsia" w:cstheme="majorBidi"/>
      <w:i w:val="1"/>
      <w:iCs w:val="1"/>
      <w:color w:val="272727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62522028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62522028"/>
    <w:rPr>
      <w:rFonts w:eastAsia="" w:eastAsiaTheme="minorEastAsia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62522028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62522028"/>
    <w:rPr>
      <w:i w:val="1"/>
      <w:iCs w:val="1"/>
      <w:color w:val="156082" w:themeColor="accent1" w:themeTint="FF" w:themeShade="FF"/>
    </w:rPr>
    <w:pPr>
      <w:pBdr>
        <w:top w:val="single" w:color="156082" w:themeColor="accent1" w:sz="4" w:space="10"/>
        <w:bottom w:val="single" w:color="156082" w:themeColor="accent1" w:sz="4" w:space="10"/>
      </w:pBd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62522028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Normal"/>
    <w:link w:val="Heading1"/>
    <w:rsid w:val="62522028"/>
    <w:rPr>
      <w:i w:val="1"/>
      <w:iCs w:val="1"/>
      <w:sz w:val="28"/>
      <w:szCs w:val="28"/>
    </w:rPr>
  </w:style>
  <w:style w:type="character" w:styleId="Heading2Char" w:customStyle="true">
    <w:uiPriority w:val="9"/>
    <w:name w:val="Heading 2 Char"/>
    <w:basedOn w:val="Normal"/>
    <w:link w:val="Heading2"/>
    <w:rsid w:val="62522028"/>
    <w:rPr>
      <w:b w:val="1"/>
      <w:bCs w:val="1"/>
      <w:sz w:val="22"/>
      <w:szCs w:val="22"/>
    </w:rPr>
  </w:style>
  <w:style w:type="character" w:styleId="Heading3Char" w:customStyle="true">
    <w:uiPriority w:val="9"/>
    <w:name w:val="Heading 3 Char"/>
    <w:basedOn w:val="ListParagraph"/>
    <w:link w:val="Heading3"/>
    <w:rsid w:val="62522028"/>
    <w:rPr>
      <w:rFonts w:ascii="Times New Roman" w:hAnsi="Times New Roman" w:eastAsia="Times New Roman" w:cs="Times New Roman"/>
      <w:b w:val="1"/>
      <w:bCs w:val="1"/>
      <w:sz w:val="22"/>
      <w:szCs w:val="22"/>
      <w:lang w:val="en-US" w:eastAsia="en-US" w:bidi="ar-SA"/>
    </w:rPr>
  </w:style>
  <w:style w:type="paragraph" w:styleId="TOC1">
    <w:uiPriority w:val="39"/>
    <w:name w:val="toc 1"/>
    <w:basedOn w:val="Normal"/>
    <w:next w:val="Normal"/>
    <w:unhideWhenUsed/>
    <w:rsid w:val="62522028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62522028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62522028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62522028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62522028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62522028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62522028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62522028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62522028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62522028"/>
    <w:rPr>
      <w:sz w:val="20"/>
      <w:szCs w:val="20"/>
    </w:rPr>
    <w:pPr>
      <w:spacing w:after="0"/>
    </w:pPr>
  </w:style>
  <w:style w:type="paragraph" w:styleId="Footer">
    <w:uiPriority w:val="99"/>
    <w:name w:val="footer"/>
    <w:basedOn w:val="Normal"/>
    <w:unhideWhenUsed/>
    <w:link w:val="FooterChar"/>
    <w:rsid w:val="62522028"/>
    <w:pPr>
      <w:tabs>
        <w:tab w:val="center" w:leader="none" w:pos="4680"/>
        <w:tab w:val="right" w:leader="none" w:pos="9360"/>
      </w:tabs>
      <w:spacing w:after="0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62522028"/>
    <w:rPr>
      <w:sz w:val="20"/>
      <w:szCs w:val="20"/>
    </w:rPr>
    <w:pPr>
      <w:spacing w:after="0"/>
    </w:pPr>
  </w:style>
  <w:style w:type="paragraph" w:styleId="Header">
    <w:uiPriority w:val="99"/>
    <w:name w:val="header"/>
    <w:basedOn w:val="Normal"/>
    <w:unhideWhenUsed/>
    <w:link w:val="HeaderChar"/>
    <w:rsid w:val="62522028"/>
    <w:pPr>
      <w:tabs>
        <w:tab w:val="center" w:leader="none" w:pos="4680"/>
        <w:tab w:val="right" w:leader="none" w:pos="9360"/>
      </w:tabs>
      <w:spacing w:after="0"/>
    </w:pPr>
  </w:style>
  <w:style w:type="paragraph" w:styleId="Authors" w:customStyle="true">
    <w:uiPriority w:val="1"/>
    <w:name w:val="Authors"/>
    <w:basedOn w:val="Normal"/>
    <w:next w:val="Normal"/>
    <w:rsid w:val="62522028"/>
    <w:rPr>
      <w:rFonts w:eastAsia="SimSun" w:asciiTheme="minorAscii" w:hAnsiTheme="minorAscii" w:eastAsiaTheme="minorEastAsia" w:cstheme="minorBidi"/>
      <w:sz w:val="22"/>
      <w:szCs w:val="22"/>
    </w:rPr>
    <w:pPr>
      <w:widowControl w:val="1"/>
      <w:spacing w:after="320"/>
      <w:jc w:val="center"/>
    </w:p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ara.cea@ufrontera.cl" TargetMode="External" Id="Rbdb2b92dcd654f5b" /><Relationship Type="http://schemas.openxmlformats.org/officeDocument/2006/relationships/header" Target="header.xml" Id="Rb53dd7b93e734ee4" /><Relationship Type="http://schemas.openxmlformats.org/officeDocument/2006/relationships/footer" Target="footer.xml" Id="Rbdf0742f68934be5" /><Relationship Type="http://schemas.openxmlformats.org/officeDocument/2006/relationships/numbering" Target="numbering.xml" Id="R50a2ce53d3624c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2024-08-28T14:34:50.2064223Z</dcterms:created>
  <dcterms:modified xsi:type="dcterms:W3CDTF">2024-09-03T14:32:39.4066886Z</dcterms:modified>
  <dc:creator>Sebastian Andres Rocha Mella | U.Mayor</dc:creator>
  <lastModifiedBy>m.kopp01@ufromail.cl</lastModifiedBy>
</coreProperties>
</file>