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</w:rPr>
        <w:t xml:space="preserve">Table </w:t>
      </w:r>
      <w:r>
        <w:rPr>
          <w:rFonts w:hint="eastAsia" w:ascii="Times New Roman" w:hAnsi="Times New Roman" w:eastAsia="宋体" w:cs="Times New Roman"/>
          <w:lang w:val="en-US" w:eastAsia="zh-CN"/>
        </w:rPr>
        <w:t>S1</w:t>
      </w:r>
      <w:r>
        <w:rPr>
          <w:rFonts w:hint="eastAsia" w:ascii="Times New Roman" w:hAnsi="Times New Roman" w:eastAsia="宋体" w:cs="Times New Roman"/>
        </w:rPr>
        <w:t xml:space="preserve">. Sequencing and Assembly Statistics for the fifteen Transcriptome Data </w:t>
      </w:r>
      <w:bookmarkStart w:id="0" w:name="_GoBack"/>
      <w:r>
        <w:rPr>
          <w:rFonts w:hint="eastAsia" w:ascii="Times New Roman" w:hAnsi="Times New Roman" w:eastAsia="宋体" w:cs="Times New Roman"/>
        </w:rPr>
        <w:t xml:space="preserve">of </w:t>
      </w:r>
      <w:r>
        <w:rPr>
          <w:rFonts w:hint="eastAsia" w:ascii="Times New Roman" w:hAnsi="Times New Roman" w:eastAsia="宋体" w:cs="Times New Roman"/>
          <w:i/>
          <w:iCs/>
        </w:rPr>
        <w:t xml:space="preserve">L. gibbosa </w:t>
      </w:r>
      <w:r>
        <w:rPr>
          <w:rFonts w:hint="eastAsia" w:ascii="Times New Roman" w:hAnsi="Times New Roman" w:eastAsia="宋体" w:cs="Times New Roman"/>
        </w:rPr>
        <w:t xml:space="preserve">at Five </w:t>
      </w:r>
      <w:r>
        <w:rPr>
          <w:rFonts w:ascii="Times New Roman" w:hAnsi="Times New Roman" w:eastAsia="宋体" w:cs="Times New Roman"/>
        </w:rPr>
        <w:t>Times</w:t>
      </w:r>
      <w:r>
        <w:rPr>
          <w:rFonts w:hint="eastAsia" w:ascii="Times New Roman" w:hAnsi="Times New Roman" w:eastAsia="宋体" w:cs="Times New Roman"/>
        </w:rPr>
        <w:t xml:space="preserve"> of AR Treatment</w:t>
      </w:r>
      <w:bookmarkEnd w:id="0"/>
      <w:r>
        <w:rPr>
          <w:rFonts w:hint="eastAsia" w:ascii="Times New Roman" w:hAnsi="Times New Roman" w:eastAsia="宋体" w:cs="Times New Roman"/>
          <w:lang w:val="en-US" w:eastAsia="zh-CN"/>
        </w:rPr>
        <w:t>.</w:t>
      </w:r>
    </w:p>
    <w:tbl>
      <w:tblPr>
        <w:tblStyle w:val="3"/>
        <w:tblW w:w="73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741"/>
        <w:gridCol w:w="1009"/>
        <w:gridCol w:w="1050"/>
        <w:gridCol w:w="941"/>
        <w:gridCol w:w="712"/>
        <w:gridCol w:w="1083"/>
        <w:gridCol w:w="1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Time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Group</w:t>
            </w:r>
          </w:p>
        </w:tc>
        <w:tc>
          <w:tcPr>
            <w:tcW w:w="741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sample ID</w:t>
            </w:r>
          </w:p>
        </w:tc>
        <w:tc>
          <w:tcPr>
            <w:tcW w:w="1009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N</w:t>
            </w:r>
            <w:r>
              <w:rPr>
                <w:rFonts w:hint="eastAsia" w:ascii="Times New Roman" w:hAnsi="Times New Roman" w:cs="Times New Roman"/>
                <w:sz w:val="15"/>
                <w:szCs w:val="15"/>
              </w:rPr>
              <w:t>o. of clean reads (</w:t>
            </w:r>
            <w:r>
              <w:rPr>
                <w:rFonts w:hint="default" w:ascii="Arial" w:hAnsi="Arial" w:cs="Arial"/>
                <w:sz w:val="15"/>
                <w:szCs w:val="15"/>
              </w:rPr>
              <w:t>×</w:t>
            </w:r>
            <w:r>
              <w:rPr>
                <w:rFonts w:hint="eastAsia" w:ascii="Times New Roman" w:hAnsi="Times New Roman" w:cs="Times New Roman"/>
                <w:sz w:val="15"/>
                <w:szCs w:val="15"/>
              </w:rPr>
              <w:t>10</w:t>
            </w:r>
            <w:r>
              <w:rPr>
                <w:rFonts w:hint="eastAsia" w:ascii="Times New Roman" w:hAnsi="Times New Roman" w:cs="Times New Roman"/>
                <w:sz w:val="15"/>
                <w:szCs w:val="15"/>
                <w:vertAlign w:val="superscript"/>
              </w:rPr>
              <w:t>6</w:t>
            </w:r>
            <w:r>
              <w:rPr>
                <w:rFonts w:hint="eastAsia" w:ascii="Times New Roman" w:hAnsi="Times New Roman" w:cs="Times New Roman"/>
                <w:sz w:val="15"/>
                <w:szCs w:val="15"/>
              </w:rPr>
              <w:t>)</w:t>
            </w:r>
            <w:r>
              <w:rPr>
                <w:rFonts w:hint="eastAsia" w:ascii="Times New Roman" w:hAnsi="Times New Roman" w:cs="Times New Roman"/>
                <w:sz w:val="15"/>
                <w:szCs w:val="15"/>
                <w:vertAlign w:val="superscript"/>
              </w:rPr>
              <w:t>a</w:t>
            </w:r>
          </w:p>
        </w:tc>
        <w:tc>
          <w:tcPr>
            <w:tcW w:w="105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N</w:t>
            </w:r>
            <w:r>
              <w:rPr>
                <w:rFonts w:hint="eastAsia" w:ascii="Times New Roman" w:hAnsi="Times New Roman" w:cs="Times New Roman"/>
                <w:sz w:val="15"/>
                <w:szCs w:val="15"/>
              </w:rPr>
              <w:t>o. of clean bases (</w:t>
            </w:r>
            <w:r>
              <w:rPr>
                <w:rFonts w:hint="default" w:ascii="Arial" w:hAnsi="Arial" w:cs="Arial"/>
                <w:sz w:val="15"/>
                <w:szCs w:val="15"/>
              </w:rPr>
              <w:t>×</w:t>
            </w:r>
            <w:r>
              <w:rPr>
                <w:rFonts w:hint="eastAsia" w:ascii="Times New Roman" w:hAnsi="Times New Roman" w:cs="Times New Roman"/>
                <w:sz w:val="15"/>
                <w:szCs w:val="15"/>
              </w:rPr>
              <w:t>10</w:t>
            </w:r>
            <w:r>
              <w:rPr>
                <w:rFonts w:hint="eastAsia" w:ascii="Times New Roman" w:hAnsi="Times New Roman" w:cs="Times New Roman"/>
                <w:sz w:val="15"/>
                <w:szCs w:val="15"/>
                <w:vertAlign w:val="superscript"/>
              </w:rPr>
              <w:t xml:space="preserve"> 9</w:t>
            </w:r>
            <w:r>
              <w:rPr>
                <w:rFonts w:hint="eastAsia" w:ascii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941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GC Content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(%)</w:t>
            </w:r>
          </w:p>
        </w:tc>
        <w:tc>
          <w:tcPr>
            <w:tcW w:w="712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Q30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(%)</w:t>
            </w:r>
          </w:p>
        </w:tc>
        <w:tc>
          <w:tcPr>
            <w:tcW w:w="1083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N</w:t>
            </w:r>
            <w:r>
              <w:rPr>
                <w:rFonts w:hint="eastAsia" w:ascii="Times New Roman" w:hAnsi="Times New Roman" w:cs="Times New Roman"/>
                <w:sz w:val="15"/>
                <w:szCs w:val="15"/>
              </w:rPr>
              <w:t>o. of mapped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r</w:t>
            </w:r>
            <w:r>
              <w:rPr>
                <w:rFonts w:hint="eastAsia" w:ascii="Times New Roman" w:hAnsi="Times New Roman" w:cs="Times New Roman"/>
                <w:sz w:val="15"/>
                <w:szCs w:val="15"/>
              </w:rPr>
              <w:t>eads (</w:t>
            </w:r>
            <w:r>
              <w:rPr>
                <w:rFonts w:hint="default" w:ascii="Arial" w:hAnsi="Arial" w:cs="Arial"/>
                <w:sz w:val="15"/>
                <w:szCs w:val="15"/>
              </w:rPr>
              <w:t>×</w:t>
            </w:r>
            <w:r>
              <w:rPr>
                <w:rFonts w:hint="eastAsia" w:ascii="Times New Roman" w:hAnsi="Times New Roman" w:cs="Times New Roman"/>
                <w:sz w:val="15"/>
                <w:szCs w:val="15"/>
              </w:rPr>
              <w:t>10</w:t>
            </w:r>
            <w:r>
              <w:rPr>
                <w:rFonts w:hint="eastAsia" w:ascii="Times New Roman" w:hAnsi="Times New Roman" w:cs="Times New Roman"/>
                <w:sz w:val="15"/>
                <w:szCs w:val="15"/>
                <w:vertAlign w:val="superscript"/>
              </w:rPr>
              <w:t>6</w:t>
            </w:r>
            <w:r>
              <w:rPr>
                <w:rFonts w:hint="eastAsia" w:ascii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1184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M</w:t>
            </w:r>
            <w:r>
              <w:rPr>
                <w:rFonts w:hint="eastAsia" w:ascii="Times New Roman" w:hAnsi="Times New Roman" w:cs="Times New Roman"/>
                <w:sz w:val="15"/>
                <w:szCs w:val="15"/>
              </w:rPr>
              <w:t>apped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p</w:t>
            </w:r>
            <w:r>
              <w:rPr>
                <w:rFonts w:hint="eastAsia" w:ascii="Times New Roman" w:hAnsi="Times New Roman" w:cs="Times New Roman"/>
                <w:sz w:val="15"/>
                <w:szCs w:val="15"/>
              </w:rPr>
              <w:t>ercentage 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dxa"/>
            <w:vMerge w:val="restart"/>
            <w:tcBorders>
              <w:top w:val="single" w:color="auto" w:sz="4" w:space="0"/>
              <w:left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0 h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CK-1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22.37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6.69</w:t>
            </w: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59.98%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92.74%</w:t>
            </w: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39.67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88.65%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dxa"/>
            <w:vMerge w:val="continue"/>
            <w:tcBorders>
              <w:left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CK-2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20.65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6.16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60.22%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93.16%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36.90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89.33%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dxa"/>
            <w:vMerge w:val="continue"/>
            <w:tcBorders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CK-3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21.78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6.51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60.29%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93.12%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38.97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89.48%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dxa"/>
            <w:vMerge w:val="restart"/>
            <w:tcBorders>
              <w:top w:val="nil"/>
              <w:left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3 h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QSH1-0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23.03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6.89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60.12%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92.70%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40.55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88.02%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dxa"/>
            <w:vMerge w:val="continue"/>
            <w:tcBorders>
              <w:left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QSH1-1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25.99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7.78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60.34%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91.56%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45.91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88.30%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dxa"/>
            <w:vMerge w:val="continue"/>
            <w:tcBorders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QSH1-2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23.41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7.00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60.18%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92.42%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41.94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89.57%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dxa"/>
            <w:vMerge w:val="restart"/>
            <w:tcBorders>
              <w:top w:val="nil"/>
              <w:left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7 h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QSH2-0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22.49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6.73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60.29%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92.58%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39.24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87.22%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dxa"/>
            <w:vMerge w:val="continue"/>
            <w:tcBorders>
              <w:left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QSH2-1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26.44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7.91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60.27%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91.32%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46.75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88.40%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670" w:type="dxa"/>
            <w:vMerge w:val="continue"/>
            <w:tcBorders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QSH2-2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25.97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7.77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60.30%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91.96%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46.38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89.31%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dxa"/>
            <w:vMerge w:val="restart"/>
            <w:tcBorders>
              <w:top w:val="nil"/>
              <w:left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10 h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QSH3-0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21.38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6.40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60.26%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92.47%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37.34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87.30%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dxa"/>
            <w:vMerge w:val="continue"/>
            <w:tcBorders>
              <w:left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QSH3-1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25.53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7.64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60.38%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92.12%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45.64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89.39%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dxa"/>
            <w:vMerge w:val="continue"/>
            <w:tcBorders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QSH3-2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27.96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8.37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60.34%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92.58%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50.48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90.28%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dxa"/>
            <w:vMerge w:val="restart"/>
            <w:tcBorders>
              <w:top w:val="nil"/>
              <w:left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14 h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QSH4-0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24.40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7.30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60.22%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92.35%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43.77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89.68%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dxa"/>
            <w:vMerge w:val="continue"/>
            <w:tcBorders>
              <w:left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QSH4-1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23.58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7.05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60.35%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92.70%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42.44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90.01%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670" w:type="dxa"/>
            <w:vMerge w:val="continue"/>
            <w:tcBorders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QSH4-2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30.37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9.09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60.13%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93.25%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55.47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91.32%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Total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109.29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90" w:type="dxa"/>
            <w:gridSpan w:val="8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a Here, no. is short for number.</w:t>
            </w:r>
          </w:p>
        </w:tc>
      </w:tr>
    </w:tbl>
    <w:p>
      <w:pPr>
        <w:spacing w:line="480" w:lineRule="auto"/>
        <w:ind w:firstLine="210" w:firstLineChars="100"/>
        <w:jc w:val="center"/>
        <w:rPr>
          <w:rFonts w:ascii="Times New Roman" w:hAnsi="Times New Roman" w:eastAsia="宋体" w:cs="Times New Roman"/>
          <w:szCs w:val="21"/>
          <w:lang w:val="en-US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Table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S2</w:t>
      </w:r>
      <w:r>
        <w:rPr>
          <w:rFonts w:hint="eastAsia" w:ascii="Times New Roman" w:hAnsi="Times New Roman" w:eastAsia="宋体" w:cs="Times New Roman"/>
          <w:szCs w:val="21"/>
        </w:rPr>
        <w:t xml:space="preserve">. The number </w:t>
      </w:r>
      <w:r>
        <w:rPr>
          <w:rFonts w:hint="eastAsia" w:ascii="Times New Roman" w:hAnsi="Times New Roman" w:eastAsia="宋体" w:cs="Times New Roman"/>
          <w:szCs w:val="21"/>
          <w:u w:val="none"/>
        </w:rPr>
        <w:t xml:space="preserve">summarizes </w:t>
      </w:r>
      <w:r>
        <w:rPr>
          <w:rFonts w:hint="eastAsia" w:ascii="Times New Roman" w:hAnsi="Times New Roman" w:eastAsia="宋体" w:cs="Times New Roman"/>
          <w:szCs w:val="21"/>
        </w:rPr>
        <w:t>all annotated expressed genes and new genes.</w:t>
      </w:r>
    </w:p>
    <w:tbl>
      <w:tblPr>
        <w:tblStyle w:val="3"/>
        <w:tblW w:w="90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144"/>
        <w:gridCol w:w="632"/>
        <w:gridCol w:w="772"/>
        <w:gridCol w:w="707"/>
        <w:gridCol w:w="696"/>
        <w:gridCol w:w="708"/>
        <w:gridCol w:w="728"/>
        <w:gridCol w:w="870"/>
        <w:gridCol w:w="803"/>
        <w:gridCol w:w="613"/>
        <w:gridCol w:w="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  <w:jc w:val="center"/>
        </w:trPr>
        <w:tc>
          <w:tcPr>
            <w:tcW w:w="1918" w:type="dxa"/>
            <w:gridSpan w:val="2"/>
            <w:vMerge w:val="restart"/>
            <w:tcBorders>
              <w:top w:val="single" w:color="auto" w:sz="12" w:space="0"/>
              <w:left w:val="nil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  <w:lang w:val="en-US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  <w:lang w:bidi="ar"/>
              </w:rPr>
              <w:t>The annotated genes</w:t>
            </w:r>
          </w:p>
        </w:tc>
        <w:tc>
          <w:tcPr>
            <w:tcW w:w="632" w:type="dxa"/>
            <w:vMerge w:val="restart"/>
            <w:tcBorders>
              <w:top w:val="single" w:color="auto" w:sz="12" w:space="0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  <w:lang w:val="en-US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  <w:lang w:bidi="ar"/>
              </w:rPr>
              <w:t>Total</w:t>
            </w:r>
          </w:p>
        </w:tc>
        <w:tc>
          <w:tcPr>
            <w:tcW w:w="5897" w:type="dxa"/>
            <w:gridSpan w:val="8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  <w:lang w:val="en-US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  <w:lang w:bidi="ar"/>
              </w:rPr>
              <w:t>Database</w:t>
            </w:r>
          </w:p>
        </w:tc>
        <w:tc>
          <w:tcPr>
            <w:tcW w:w="605" w:type="dxa"/>
            <w:vMerge w:val="restart"/>
            <w:tcBorders>
              <w:top w:val="single" w:color="auto" w:sz="12" w:space="0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  <w:lang w:val="en-US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  <w:lang w:bidi="ar"/>
              </w:rPr>
              <w:t>Over all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18" w:type="dxa"/>
            <w:gridSpan w:val="2"/>
            <w:vMerge w:val="continue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  <w:lang w:val="en-US" w:bidi="ar"/>
              </w:rPr>
            </w:pPr>
          </w:p>
        </w:tc>
        <w:tc>
          <w:tcPr>
            <w:tcW w:w="632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  <w:lang w:val="en-US" w:bidi="ar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  <w:lang w:val="en-US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  <w:lang w:bidi="ar"/>
              </w:rPr>
              <w:t>GO</w:t>
            </w: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  <w:lang w:val="en-US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  <w:lang w:bidi="ar"/>
              </w:rPr>
              <w:t>COG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  <w:lang w:val="en-US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  <w:lang w:bidi="ar"/>
              </w:rPr>
              <w:t>KEGG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  <w:lang w:val="en-US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  <w:lang w:bidi="ar"/>
              </w:rPr>
              <w:t>KOG</w:t>
            </w: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  <w:lang w:val="en-US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  <w:lang w:bidi="ar"/>
              </w:rPr>
              <w:t>Pfam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  <w:lang w:val="en-US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  <w:lang w:bidi="ar"/>
              </w:rPr>
              <w:t>Swiss Prot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  <w:lang w:val="en-US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  <w:lang w:bidi="ar"/>
              </w:rPr>
              <w:t>eggNOG</w:t>
            </w:r>
          </w:p>
        </w:tc>
        <w:tc>
          <w:tcPr>
            <w:tcW w:w="61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  <w:lang w:val="en-US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  <w:lang w:bidi="ar"/>
              </w:rPr>
              <w:t>NR</w:t>
            </w:r>
          </w:p>
        </w:tc>
        <w:tc>
          <w:tcPr>
            <w:tcW w:w="605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  <w:lang w:val="en-U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  <w:lang w:val="en-US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  <w:lang w:bidi="ar"/>
              </w:rPr>
              <w:t>All genes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  <w:lang w:val="en-US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  <w:lang w:bidi="ar"/>
              </w:rPr>
              <w:t>Number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  <w:lang w:val="en-US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  <w:lang w:bidi="ar"/>
              </w:rPr>
              <w:t>12921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  <w:lang w:val="en-US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  <w:lang w:bidi="ar"/>
              </w:rPr>
              <w:t>5346</w:t>
            </w: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  <w:lang w:val="en-US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  <w:lang w:bidi="ar"/>
              </w:rPr>
              <w:t>3648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  <w:lang w:val="en-US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  <w:lang w:bidi="ar"/>
              </w:rPr>
              <w:t>3616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  <w:lang w:val="en-US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  <w:lang w:bidi="ar"/>
              </w:rPr>
              <w:t>4947</w:t>
            </w: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  <w:lang w:val="en-US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  <w:lang w:bidi="ar"/>
              </w:rPr>
              <w:t>7074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  <w:lang w:val="en-US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  <w:lang w:bidi="ar"/>
              </w:rPr>
              <w:t>5602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  <w:lang w:val="en-US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  <w:lang w:bidi="ar"/>
              </w:rPr>
              <w:t>8736</w:t>
            </w:r>
          </w:p>
        </w:tc>
        <w:tc>
          <w:tcPr>
            <w:tcW w:w="613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  <w:lang w:val="en-US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  <w:lang w:bidi="ar"/>
              </w:rPr>
              <w:t>10551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  <w:lang w:val="en-US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  <w:lang w:bidi="ar"/>
              </w:rPr>
              <w:t>10560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74" w:type="dxa"/>
            <w:vMerge w:val="continue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  <w:lang w:val="en-US" w:bidi="ar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  <w:lang w:val="en-US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  <w:lang w:bidi="ar"/>
              </w:rPr>
              <w:t>Percentage</w:t>
            </w:r>
            <w:r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  <w:lang w:bidi="ar"/>
              </w:rPr>
              <w:t>(%)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  <w:lang w:val="en-US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  <w:lang w:bidi="ar"/>
              </w:rPr>
              <w:t>100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  <w:lang w:val="en-US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  <w:lang w:bidi="ar"/>
              </w:rPr>
              <w:t>41.37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  <w:lang w:val="en-US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  <w:lang w:bidi="ar"/>
              </w:rPr>
              <w:t>28.23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  <w:lang w:val="en-US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  <w:lang w:bidi="ar"/>
              </w:rPr>
              <w:t>27.99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  <w:lang w:val="en-US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  <w:lang w:bidi="ar"/>
              </w:rPr>
              <w:t>38.27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  <w:lang w:val="en-US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  <w:lang w:bidi="ar"/>
              </w:rPr>
              <w:t>54.75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  <w:lang w:val="en-US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  <w:lang w:bidi="ar"/>
              </w:rPr>
              <w:t>43.36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  <w:lang w:val="en-US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  <w:lang w:bidi="ar"/>
              </w:rPr>
              <w:t>67.61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  <w:lang w:val="en-US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  <w:lang w:bidi="ar"/>
              </w:rPr>
              <w:t>81.66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  <w:lang w:val="en-US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  <w:lang w:bidi="ar"/>
              </w:rPr>
              <w:t>81.72</w:t>
            </w:r>
          </w:p>
        </w:tc>
      </w:tr>
    </w:tbl>
    <w:p>
      <w:pPr>
        <w:tabs>
          <w:tab w:val="left" w:pos="1107"/>
        </w:tabs>
        <w:spacing w:line="480" w:lineRule="auto"/>
        <w:ind w:firstLine="210" w:firstLineChars="100"/>
        <w:jc w:val="center"/>
        <w:rPr>
          <w:rFonts w:ascii="Times New Roman" w:hAnsi="Times New Roman" w:eastAsia="宋体" w:cs="Times New Roman"/>
        </w:rPr>
      </w:pPr>
    </w:p>
    <w:p>
      <w:pPr>
        <w:tabs>
          <w:tab w:val="left" w:pos="1107"/>
        </w:tabs>
        <w:spacing w:line="480" w:lineRule="auto"/>
        <w:ind w:firstLine="210" w:firstLineChars="100"/>
        <w:jc w:val="center"/>
        <w:rPr>
          <w:rFonts w:ascii="Times New Roman" w:hAnsi="Times New Roman" w:eastAsia="宋体" w:cs="Times New Roman"/>
          <w:szCs w:val="21"/>
          <w:lang w:val="en-US"/>
        </w:rPr>
      </w:pPr>
      <w:r>
        <w:rPr>
          <w:rFonts w:ascii="Times New Roman" w:hAnsi="Times New Roman" w:eastAsia="宋体" w:cs="Times New Roman"/>
        </w:rPr>
        <w:t xml:space="preserve">Table </w:t>
      </w:r>
      <w:r>
        <w:rPr>
          <w:rFonts w:hint="eastAsia" w:ascii="Times New Roman" w:hAnsi="Times New Roman" w:eastAsia="宋体" w:cs="Times New Roman"/>
          <w:lang w:val="en-US" w:eastAsia="zh-CN"/>
        </w:rPr>
        <w:t>S3</w:t>
      </w:r>
      <w:r>
        <w:rPr>
          <w:rFonts w:hint="eastAsia" w:ascii="Times New Roman" w:hAnsi="Times New Roman" w:eastAsia="宋体" w:cs="Times New Roman"/>
        </w:rPr>
        <w:t xml:space="preserve">. </w:t>
      </w:r>
      <w:r>
        <w:rPr>
          <w:rFonts w:ascii="Times New Roman" w:hAnsi="Times New Roman" w:eastAsia="宋体" w:cs="Times New Roman"/>
        </w:rPr>
        <w:t xml:space="preserve">The number of </w:t>
      </w:r>
      <w:r>
        <w:rPr>
          <w:rFonts w:hint="eastAsia" w:ascii="Times New Roman" w:hAnsi="Times New Roman" w:eastAsia="宋体" w:cs="Times New Roman"/>
        </w:rPr>
        <w:t>DEGs</w:t>
      </w:r>
      <w:r>
        <w:rPr>
          <w:rFonts w:ascii="Times New Roman" w:hAnsi="Times New Roman" w:eastAsia="宋体" w:cs="Times New Roman"/>
          <w:szCs w:val="21"/>
        </w:rPr>
        <w:t xml:space="preserve"> and the number summary of the annotated </w:t>
      </w:r>
      <w:r>
        <w:rPr>
          <w:rFonts w:hint="eastAsia" w:ascii="Times New Roman" w:hAnsi="Times New Roman" w:eastAsia="宋体" w:cs="Times New Roman"/>
          <w:szCs w:val="21"/>
        </w:rPr>
        <w:t>DEGs</w:t>
      </w:r>
      <w:r>
        <w:rPr>
          <w:rFonts w:ascii="Times New Roman" w:hAnsi="Times New Roman" w:eastAsia="宋体" w:cs="Times New Roman"/>
          <w:szCs w:val="21"/>
        </w:rPr>
        <w:t>.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926"/>
        <w:gridCol w:w="794"/>
        <w:gridCol w:w="1006"/>
        <w:gridCol w:w="1430"/>
        <w:gridCol w:w="1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7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suppressLineNumbers w:val="0"/>
              <w:tabs>
                <w:tab w:val="left" w:pos="1107"/>
              </w:tabs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>Group</w:t>
            </w:r>
          </w:p>
        </w:tc>
        <w:tc>
          <w:tcPr>
            <w:tcW w:w="926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>DEGs total</w:t>
            </w:r>
          </w:p>
        </w:tc>
        <w:tc>
          <w:tcPr>
            <w:tcW w:w="794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>DEGs up</w:t>
            </w:r>
          </w:p>
        </w:tc>
        <w:tc>
          <w:tcPr>
            <w:tcW w:w="1006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>DEGs down</w:t>
            </w:r>
          </w:p>
        </w:tc>
        <w:tc>
          <w:tcPr>
            <w:tcW w:w="143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 xml:space="preserve">Annotation </w:t>
            </w:r>
            <w:r>
              <w:rPr>
                <w:rFonts w:hint="eastAsia" w:ascii="Times New Roman" w:hAnsi="Times New Roman" w:eastAsia="宋体" w:cs="Times New Roman"/>
                <w:sz w:val="15"/>
                <w:szCs w:val="15"/>
              </w:rPr>
              <w:t>number</w:t>
            </w:r>
          </w:p>
        </w:tc>
        <w:tc>
          <w:tcPr>
            <w:tcW w:w="1912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>Annotation percentage</w:t>
            </w:r>
            <w:r>
              <w:rPr>
                <w:rFonts w:hint="eastAsia" w:ascii="Times New Roman" w:hAnsi="Times New Roman" w:eastAsia="宋体" w:cs="Times New Roman"/>
                <w:sz w:val="15"/>
                <w:szCs w:val="15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>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7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 xml:space="preserve">CK vs </w:t>
            </w:r>
            <w:r>
              <w:rPr>
                <w:rFonts w:hint="eastAsia" w:ascii="Times New Roman" w:hAnsi="Times New Roman" w:eastAsia="宋体" w:cs="Times New Roman"/>
                <w:sz w:val="15"/>
                <w:szCs w:val="15"/>
              </w:rPr>
              <w:t>QS</w:t>
            </w: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>H1</w:t>
            </w: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15"/>
                <w:szCs w:val="15"/>
              </w:rPr>
              <w:t>620</w:t>
            </w: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15"/>
                <w:szCs w:val="15"/>
              </w:rPr>
              <w:t>288</w:t>
            </w:r>
          </w:p>
        </w:tc>
        <w:tc>
          <w:tcPr>
            <w:tcW w:w="100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15"/>
                <w:szCs w:val="15"/>
              </w:rPr>
              <w:t>332</w:t>
            </w:r>
          </w:p>
        </w:tc>
        <w:tc>
          <w:tcPr>
            <w:tcW w:w="143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15"/>
                <w:szCs w:val="15"/>
              </w:rPr>
              <w:t>578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15"/>
                <w:szCs w:val="15"/>
              </w:rPr>
              <w:t>93.23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 xml:space="preserve">CK vs </w:t>
            </w:r>
            <w:r>
              <w:rPr>
                <w:rFonts w:hint="eastAsia" w:ascii="Times New Roman" w:hAnsi="Times New Roman" w:eastAsia="宋体" w:cs="Times New Roman"/>
                <w:sz w:val="15"/>
                <w:szCs w:val="15"/>
              </w:rPr>
              <w:t>QS</w:t>
            </w: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>H2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15"/>
                <w:szCs w:val="15"/>
              </w:rPr>
              <w:t>663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15"/>
                <w:szCs w:val="15"/>
              </w:rPr>
              <w:t>232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15"/>
                <w:szCs w:val="15"/>
              </w:rPr>
              <w:t>431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15"/>
                <w:szCs w:val="15"/>
              </w:rPr>
              <w:t>595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15"/>
                <w:szCs w:val="15"/>
              </w:rPr>
              <w:t>89.74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 xml:space="preserve">CK vs </w:t>
            </w:r>
            <w:r>
              <w:rPr>
                <w:rFonts w:hint="eastAsia" w:ascii="Times New Roman" w:hAnsi="Times New Roman" w:eastAsia="宋体" w:cs="Times New Roman"/>
                <w:sz w:val="15"/>
                <w:szCs w:val="15"/>
              </w:rPr>
              <w:t>QS</w:t>
            </w: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>H3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15"/>
                <w:szCs w:val="15"/>
              </w:rPr>
              <w:t>543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15"/>
                <w:szCs w:val="15"/>
              </w:rPr>
              <w:t>182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15"/>
                <w:szCs w:val="15"/>
              </w:rPr>
              <w:t>361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15"/>
                <w:szCs w:val="15"/>
              </w:rPr>
              <w:t>511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15"/>
                <w:szCs w:val="15"/>
              </w:rPr>
              <w:t>94.11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 xml:space="preserve">CK vs </w:t>
            </w:r>
            <w:r>
              <w:rPr>
                <w:rFonts w:hint="eastAsia" w:ascii="Times New Roman" w:hAnsi="Times New Roman" w:eastAsia="宋体" w:cs="Times New Roman"/>
                <w:sz w:val="15"/>
                <w:szCs w:val="15"/>
              </w:rPr>
              <w:t>QS</w:t>
            </w: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>H4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15"/>
                <w:szCs w:val="15"/>
              </w:rPr>
              <w:t>792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15"/>
                <w:szCs w:val="15"/>
              </w:rPr>
              <w:t>313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15"/>
                <w:szCs w:val="15"/>
              </w:rPr>
              <w:t>479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15"/>
                <w:szCs w:val="15"/>
              </w:rPr>
              <w:t>749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15"/>
                <w:szCs w:val="15"/>
              </w:rPr>
              <w:t>94.57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15"/>
                <w:szCs w:val="15"/>
              </w:rPr>
              <w:t>QS</w:t>
            </w: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 xml:space="preserve">H1vs </w:t>
            </w:r>
            <w:r>
              <w:rPr>
                <w:rFonts w:hint="eastAsia" w:ascii="Times New Roman" w:hAnsi="Times New Roman" w:eastAsia="宋体" w:cs="Times New Roman"/>
                <w:sz w:val="15"/>
                <w:szCs w:val="15"/>
              </w:rPr>
              <w:t>QS</w:t>
            </w: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>H2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15"/>
                <w:szCs w:val="15"/>
              </w:rPr>
              <w:t>120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15"/>
                <w:szCs w:val="15"/>
              </w:rPr>
              <w:t>69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15"/>
                <w:szCs w:val="15"/>
              </w:rPr>
              <w:t>51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15"/>
                <w:szCs w:val="15"/>
              </w:rPr>
              <w:t>103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15"/>
                <w:szCs w:val="15"/>
              </w:rPr>
              <w:t>85.83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15"/>
                <w:szCs w:val="15"/>
              </w:rPr>
              <w:t>QS</w:t>
            </w: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 xml:space="preserve">H1vs </w:t>
            </w:r>
            <w:r>
              <w:rPr>
                <w:rFonts w:hint="eastAsia" w:ascii="Times New Roman" w:hAnsi="Times New Roman" w:eastAsia="宋体" w:cs="Times New Roman"/>
                <w:sz w:val="15"/>
                <w:szCs w:val="15"/>
              </w:rPr>
              <w:t>QS</w:t>
            </w: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>H3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15"/>
                <w:szCs w:val="15"/>
              </w:rPr>
              <w:t>107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15"/>
                <w:szCs w:val="15"/>
              </w:rPr>
              <w:t>58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15"/>
                <w:szCs w:val="15"/>
              </w:rPr>
              <w:t>49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15"/>
                <w:szCs w:val="15"/>
              </w:rPr>
              <w:t>94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15"/>
                <w:szCs w:val="15"/>
              </w:rPr>
              <w:t>87.85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15"/>
                <w:szCs w:val="15"/>
              </w:rPr>
              <w:t>QS</w:t>
            </w: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 xml:space="preserve">H1vs </w:t>
            </w:r>
            <w:r>
              <w:rPr>
                <w:rFonts w:hint="eastAsia" w:ascii="Times New Roman" w:hAnsi="Times New Roman" w:eastAsia="宋体" w:cs="Times New Roman"/>
                <w:sz w:val="15"/>
                <w:szCs w:val="15"/>
              </w:rPr>
              <w:t>QS</w:t>
            </w: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>H4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15"/>
                <w:szCs w:val="15"/>
              </w:rPr>
              <w:t>278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15"/>
                <w:szCs w:val="15"/>
              </w:rPr>
              <w:t>127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15"/>
                <w:szCs w:val="15"/>
              </w:rPr>
              <w:t>151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15"/>
                <w:szCs w:val="15"/>
              </w:rPr>
              <w:t>262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15"/>
                <w:szCs w:val="15"/>
              </w:rPr>
              <w:t>94.24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15"/>
                <w:szCs w:val="15"/>
              </w:rPr>
              <w:t>QS</w:t>
            </w: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 xml:space="preserve">H2vs </w:t>
            </w:r>
            <w:r>
              <w:rPr>
                <w:rFonts w:hint="eastAsia" w:ascii="Times New Roman" w:hAnsi="Times New Roman" w:eastAsia="宋体" w:cs="Times New Roman"/>
                <w:sz w:val="15"/>
                <w:szCs w:val="15"/>
              </w:rPr>
              <w:t>QS</w:t>
            </w: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>H3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15"/>
                <w:szCs w:val="15"/>
              </w:rPr>
              <w:t>62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15"/>
                <w:szCs w:val="15"/>
              </w:rPr>
              <w:t>31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15"/>
                <w:szCs w:val="15"/>
              </w:rPr>
              <w:t>31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15"/>
                <w:szCs w:val="15"/>
              </w:rPr>
              <w:t>57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15"/>
                <w:szCs w:val="15"/>
              </w:rPr>
              <w:t>91.94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15"/>
                <w:szCs w:val="15"/>
              </w:rPr>
              <w:t>QS</w:t>
            </w: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 xml:space="preserve">H2vs </w:t>
            </w:r>
            <w:r>
              <w:rPr>
                <w:rFonts w:hint="eastAsia" w:ascii="Times New Roman" w:hAnsi="Times New Roman" w:eastAsia="宋体" w:cs="Times New Roman"/>
                <w:sz w:val="15"/>
                <w:szCs w:val="15"/>
              </w:rPr>
              <w:t>QS</w:t>
            </w: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>H4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15"/>
                <w:szCs w:val="15"/>
              </w:rPr>
              <w:t>109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15"/>
                <w:szCs w:val="15"/>
              </w:rPr>
              <w:t>46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15"/>
                <w:szCs w:val="15"/>
              </w:rPr>
              <w:t>63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15"/>
                <w:szCs w:val="15"/>
              </w:rPr>
              <w:t>97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15"/>
                <w:szCs w:val="15"/>
              </w:rPr>
              <w:t>88.99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15"/>
                <w:szCs w:val="15"/>
              </w:rPr>
              <w:t>QS</w:t>
            </w: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 xml:space="preserve">H3vs </w:t>
            </w:r>
            <w:r>
              <w:rPr>
                <w:rFonts w:hint="eastAsia" w:ascii="Times New Roman" w:hAnsi="Times New Roman" w:eastAsia="宋体" w:cs="Times New Roman"/>
                <w:sz w:val="15"/>
                <w:szCs w:val="15"/>
              </w:rPr>
              <w:t>QS</w:t>
            </w: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>H4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15"/>
                <w:szCs w:val="15"/>
              </w:rPr>
              <w:t>44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15"/>
                <w:szCs w:val="15"/>
              </w:rPr>
              <w:t>27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15"/>
                <w:szCs w:val="15"/>
              </w:rPr>
              <w:t>17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15"/>
                <w:szCs w:val="15"/>
              </w:rPr>
              <w:t>38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15"/>
                <w:szCs w:val="15"/>
              </w:rPr>
              <w:t>86.36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1167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>Total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15"/>
                <w:szCs w:val="15"/>
              </w:rPr>
              <w:t>1480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>--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>--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15"/>
                <w:szCs w:val="15"/>
              </w:rPr>
              <w:t>1370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15"/>
                <w:szCs w:val="15"/>
              </w:rPr>
              <w:t>92.57</w:t>
            </w:r>
          </w:p>
        </w:tc>
      </w:tr>
    </w:tbl>
    <w:p>
      <w:pPr>
        <w:keepNext w:val="0"/>
        <w:keepLines w:val="0"/>
        <w:widowControl/>
        <w:suppressLineNumbers w:val="0"/>
        <w:spacing w:line="480" w:lineRule="auto"/>
        <w:jc w:val="center"/>
        <w:rPr>
          <w:rFonts w:hint="eastAsia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Table S4 GO enrichment DEGs differential grouping</w:t>
      </w:r>
    </w:p>
    <w:tbl>
      <w:tblPr>
        <w:tblStyle w:val="3"/>
        <w:tblW w:w="10104" w:type="dxa"/>
        <w:tblInd w:w="-8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3510"/>
        <w:gridCol w:w="782"/>
        <w:gridCol w:w="4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4" w:type="dxa"/>
            <w:gridSpan w:val="4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CK vs QSH1 Up-expression DEGs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351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GO Term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-log10(KS)</w:t>
            </w:r>
          </w:p>
        </w:tc>
        <w:tc>
          <w:tcPr>
            <w:tcW w:w="451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Gene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Biological Process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GO:0000041 transition metal ion transport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2.66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gene_1787,gene_356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GO:0046274 lignin catabolic process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2.52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gene_3889,gene_3902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GO:0006605 protein targeting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2.43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gene_1001,gene_5208,gene_5690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GO:0006511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ubiquitin-dependent protein catabolic process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2.40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gene_1966,gene_3334,gene_3672,gene_7006,gene_963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GO:0072594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establishment of protein localization to organelle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2.28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gene_1001,gene_5208,gene_5690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GO:0000001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mitochondrion inheritance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2.14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gene_7356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GO:0006696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ergosterol biosynthetic process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2.14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gene_10067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Cellular Component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GO:0005741 mitochondrial outer membrane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2.60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gene_5690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Molecular Function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GO:0020037 heme binding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3.82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gene_11537,gene_11851,gene_4,gene_4488,gene_5216,gene_7628,gene_8611,gene_9113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GO:0004601 peroxidase activity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2.51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gene_11537,gene_11851,gene_4178,gene_8611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GO:0003723 RNA binding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2.42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gene_1305,gene_4029,gene_8065,gene_8816,gene_9056,gene_963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0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GO:0004298 threonine-type endopeptidase activity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2.06</w:t>
            </w:r>
          </w:p>
        </w:tc>
        <w:tc>
          <w:tcPr>
            <w:tcW w:w="451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gene_1966,gene_3334,gene_3672,gene_7006,gene_963,gene_965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4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CK vs QSH1 Down-expression DEGs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Biological Process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GO:0006536 glutamate metabolic process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2.74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gene_1202,gene_7547,gene_7548,gene_796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GO:0035966 response to topologically incorrect protein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2.29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gene_2464,gene_6466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GO:0006605 protein targeting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2.23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gene_5601,gene_688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GO:0072594 establishment of protein localization to organelle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2.09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gene_5601,gene_688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GO:0000001 mitochondrion inheritance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2.05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gene_3864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Cellular Component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GO:0005741 mitochondrial outer membrane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2.06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gene_1180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Molecular Function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GO:0020037 heme binding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3.23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gene_22,gene_4787,gene_713,gene_7522,gene_8119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GO:0004521 endoribonuclease activity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2.78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gene_3969,gene_3993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GO:0050660 flavin adenine dinucleotide binding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2.19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gene_1807,gene_22,gene_2875,gene_3556,gene_9842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0" w:type="dxa"/>
            <w:vMerge w:val="continue"/>
            <w:tcBorders>
              <w:top w:val="nil"/>
              <w:left w:val="nil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GO:0016620 oxidoreductase activity, acting on the aldehyde or oxo group of donors, NAD or NADP as acceptor</w:t>
            </w:r>
          </w:p>
        </w:tc>
        <w:tc>
          <w:tcPr>
            <w:tcW w:w="782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2.17</w:t>
            </w:r>
          </w:p>
        </w:tc>
        <w:tc>
          <w:tcPr>
            <w:tcW w:w="4512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gene_1202,gene_7919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4" w:type="dxa"/>
            <w:gridSpan w:val="4"/>
            <w:tcBorders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QSH1 vs QSH4 Up-expression DEGs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Biological Process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GO:0006605 protein targeting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2.38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gene_5601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GO:0072594 establishment of protein localization to organelle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2.24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gene_5601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Molecular Function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GO:0016620 oxidoreductase activity, acting on the aldehyde or oxo group of donors, NAD or NADP as acceptor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2.49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gene_3674,gene_7919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GO:0020037 heme binding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2.42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gene_5139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GO:0003723 RNA binding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2.2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gene_1305,gene_802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0" w:type="dxa"/>
            <w:vMerge w:val="continue"/>
            <w:tcBorders>
              <w:top w:val="nil"/>
              <w:left w:val="nil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GO:0004540 ribonuclease activity</w:t>
            </w:r>
          </w:p>
        </w:tc>
        <w:tc>
          <w:tcPr>
            <w:tcW w:w="782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2.05</w:t>
            </w:r>
          </w:p>
        </w:tc>
        <w:tc>
          <w:tcPr>
            <w:tcW w:w="4512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gene_802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0104" w:type="dxa"/>
            <w:gridSpan w:val="4"/>
            <w:tcBorders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QSH1 vs QSH4 Down-expression DEGs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Biological Process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GO:0046274 lignin catabolic process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2.64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gene_3889,gene_3902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GO:0072593 reactive oxygen species metabolic process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2.40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gene_7517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GO:0006696 ergosterol biosynthetic process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2.18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gene_10067,gene_10936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GO:0010035 response to inorganic substance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2.12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gene_4178,gene_7517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GO:1901701 cellular response to oxygen-containing compound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2.02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gene_7517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Cellular Component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GO:0005741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ab/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mitochondrial outer membrane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2.70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gene_10936,gene_5809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Molecular Function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GO:0020037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ab/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heme binding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3.37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gene_4,gene_4487,gene_5216,gene_5570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GO:0004601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ab/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peroxidase activity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2.21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gene_274,gene_4178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10104" w:type="dxa"/>
            <w:gridSpan w:val="4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both"/>
              <w:textAlignment w:val="auto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Note: KS: the significant statistics of the enrichment of the GO category, the smaller the KS value is the larger the log10(KS) is, indicating the more significant the enrichment.</w:t>
            </w:r>
          </w:p>
        </w:tc>
      </w:tr>
    </w:tbl>
    <w:p>
      <w:pPr>
        <w:keepNext w:val="0"/>
        <w:keepLines w:val="0"/>
        <w:widowControl/>
        <w:suppressLineNumbers w:val="0"/>
        <w:spacing w:line="480" w:lineRule="auto"/>
        <w:jc w:val="both"/>
        <w:rPr>
          <w:rFonts w:hint="default" w:ascii="Times New Roman" w:hAnsi="Times New Roman" w:eastAsia="宋体" w:cs="Times New Roman"/>
          <w:i w:val="0"/>
          <w:color w:val="000000"/>
          <w:kern w:val="0"/>
          <w:sz w:val="21"/>
          <w:szCs w:val="21"/>
          <w:highlight w:val="yellow"/>
          <w:u w:val="none"/>
          <w:lang w:val="en-US" w:eastAsia="zh-CN" w:bidi="ar"/>
        </w:rPr>
      </w:pPr>
    </w:p>
    <w:p>
      <w:pPr>
        <w:spacing w:line="480" w:lineRule="auto"/>
        <w:ind w:firstLine="210" w:firstLineChars="100"/>
        <w:jc w:val="center"/>
        <w:rPr>
          <w:rFonts w:ascii="Times New Roman" w:hAnsi="Times New Roman" w:cs="Times New Roman"/>
          <w:lang w:val="en-US"/>
        </w:rPr>
      </w:pPr>
      <w:r>
        <w:rPr>
          <w:rFonts w:hint="eastAsia" w:ascii="Times New Roman" w:hAnsi="Times New Roman" w:cs="Times New Roman"/>
        </w:rPr>
        <w:t xml:space="preserve">Table </w:t>
      </w:r>
      <w:r>
        <w:rPr>
          <w:rFonts w:hint="eastAsia" w:ascii="Times New Roman" w:hAnsi="Times New Roman" w:cs="Times New Roman"/>
          <w:lang w:val="en-US" w:eastAsia="zh-CN"/>
        </w:rPr>
        <w:t>S5</w:t>
      </w:r>
      <w:r>
        <w:rPr>
          <w:rFonts w:hint="eastAsia" w:ascii="Times New Roman" w:hAnsi="Times New Roman" w:cs="Times New Roman"/>
        </w:rPr>
        <w:t xml:space="preserve"> DEGs from </w:t>
      </w:r>
      <w:r>
        <w:rPr>
          <w:rFonts w:ascii="Times New Roman" w:hAnsi="Times New Roman" w:cs="Times New Roman"/>
        </w:rPr>
        <w:t>f</w:t>
      </w:r>
      <w:r>
        <w:rPr>
          <w:rFonts w:hint="eastAsia" w:ascii="Times New Roman" w:hAnsi="Times New Roman" w:cs="Times New Roman"/>
        </w:rPr>
        <w:t>our important GO terms.</w:t>
      </w:r>
    </w:p>
    <w:tbl>
      <w:tblPr>
        <w:tblStyle w:val="3"/>
        <w:tblW w:w="10120" w:type="dxa"/>
        <w:tblInd w:w="-8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0"/>
        <w:gridCol w:w="3390"/>
        <w:gridCol w:w="3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GO term</w:t>
            </w:r>
          </w:p>
        </w:tc>
        <w:tc>
          <w:tcPr>
            <w:tcW w:w="339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Gene function</w:t>
            </w:r>
          </w:p>
        </w:tc>
        <w:tc>
          <w:tcPr>
            <w:tcW w:w="314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Gene N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o</w:t>
            </w:r>
            <w:r>
              <w:rPr>
                <w:rFonts w:hint="eastAsia" w:ascii="Times New Roman" w:hAnsi="Times New Roman" w:cs="Times New Roman"/>
                <w:sz w:val="15"/>
                <w:szCs w:val="15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0" w:type="dxa"/>
            <w:vMerge w:val="restart"/>
            <w:tcBorders>
              <w:top w:val="single" w:color="auto" w:sz="4" w:space="0"/>
              <w:left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eastAsia" w:ascii="Times New Roman" w:hAnsi="Times New Roman" w:cs="Times New Roman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Heme binding</w:t>
            </w:r>
            <w:r>
              <w:rPr>
                <w:rFonts w:hint="eastAsia" w:ascii="Times New Roman" w:hAnsi="Times New Roman" w:cs="Times New Roman"/>
                <w:sz w:val="15"/>
                <w:szCs w:val="15"/>
                <w:lang w:val="en-US" w:eastAsia="zh-CN"/>
              </w:rPr>
              <w:t xml:space="preserve"> (</w:t>
            </w:r>
            <w:r>
              <w:rPr>
                <w:rFonts w:hint="eastAsia" w:ascii="Times New Roman" w:hAnsi="Times New Roman" w:cs="Times New Roman"/>
                <w:sz w:val="15"/>
                <w:szCs w:val="15"/>
              </w:rPr>
              <w:t>GO:0020037</w:t>
            </w:r>
            <w:r>
              <w:rPr>
                <w:rFonts w:hint="eastAsia" w:ascii="Times New Roman" w:hAnsi="Times New Roman" w:cs="Times New Roman"/>
                <w:sz w:val="15"/>
                <w:szCs w:val="15"/>
                <w:lang w:val="en-US" w:eastAsia="zh-CN"/>
              </w:rPr>
              <w:t>)</w:t>
            </w:r>
          </w:p>
        </w:tc>
        <w:tc>
          <w:tcPr>
            <w:tcW w:w="339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4-hydroxysphinganine ceramide fatty acyl 2-hydroxylase</w:t>
            </w:r>
          </w:p>
        </w:tc>
        <w:tc>
          <w:tcPr>
            <w:tcW w:w="314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gene_5570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0" w:type="dxa"/>
            <w:vMerge w:val="continue"/>
            <w:tcBorders>
              <w:left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Versatile peroxidase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gene_11851, _11537, _713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0" w:type="dxa"/>
            <w:vMerge w:val="continue"/>
            <w:tcBorders>
              <w:left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MnP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gene_8611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0" w:type="dxa"/>
            <w:vMerge w:val="continue"/>
            <w:tcBorders>
              <w:left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Acyl-CoA dehydrogenase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gene_22, _4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0" w:type="dxa"/>
            <w:vMerge w:val="continue"/>
            <w:tcBorders>
              <w:left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Cytochrome P450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gene_7628,_9113,_4488,_5216,_11472,_4487, gene_5139,_7522,_10935,_6568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0" w:type="dxa"/>
            <w:vMerge w:val="continue"/>
            <w:tcBorders>
              <w:left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Fumarate reductase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gene_8119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0" w:type="dxa"/>
            <w:vMerge w:val="continue"/>
            <w:tcBorders>
              <w:left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L-lactate dehydrogenase (cytochrome)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gene_4787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0" w:type="dxa"/>
            <w:vMerge w:val="continue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nitric oxide dioxygenase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gene_10651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 w:ascii="Times New Roman" w:hAnsi="Times New Roman" w:cs="Times New Roman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Lignin catabolic</w:t>
            </w:r>
            <w:r>
              <w:rPr>
                <w:rFonts w:hint="eastAsia" w:ascii="Times New Roman" w:hAnsi="Times New Roman" w:cs="Times New Roman"/>
                <w:sz w:val="15"/>
                <w:szCs w:val="15"/>
                <w:lang w:val="en-US" w:eastAsia="zh-CN"/>
              </w:rPr>
              <w:t xml:space="preserve"> (GO:0046274)</w:t>
            </w:r>
          </w:p>
        </w:tc>
        <w:tc>
          <w:tcPr>
            <w:tcW w:w="33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L</w:t>
            </w:r>
            <w:r>
              <w:rPr>
                <w:rFonts w:hint="eastAsia" w:ascii="Times New Roman" w:hAnsi="Times New Roman" w:cs="Times New Roman"/>
                <w:sz w:val="15"/>
                <w:szCs w:val="15"/>
              </w:rPr>
              <w:t>accase</w:t>
            </w:r>
          </w:p>
        </w:tc>
        <w:tc>
          <w:tcPr>
            <w:tcW w:w="31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gene_3889,_3902,_1741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0" w:type="dxa"/>
            <w:vMerge w:val="restart"/>
            <w:tcBorders>
              <w:top w:val="single" w:color="auto" w:sz="4" w:space="0"/>
              <w:left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oxidoreductase activity, acting on the aldehyde or oxo group of donors, NAD or NADP as the acceptor</w:t>
            </w:r>
            <w:r>
              <w:rPr>
                <w:rFonts w:hint="eastAsia" w:ascii="Times New Roman" w:hAnsi="Times New Roman" w:cs="Times New Roman"/>
                <w:sz w:val="15"/>
                <w:szCs w:val="15"/>
                <w:lang w:val="en-US" w:eastAsia="zh-CN"/>
              </w:rPr>
              <w:t xml:space="preserve"> (</w:t>
            </w:r>
            <w:r>
              <w:rPr>
                <w:rFonts w:hint="eastAsia" w:ascii="Times New Roman" w:hAnsi="Times New Roman" w:cs="Times New Roman"/>
                <w:sz w:val="15"/>
                <w:szCs w:val="15"/>
              </w:rPr>
              <w:t>GO:0046274</w:t>
            </w:r>
            <w:r>
              <w:rPr>
                <w:rFonts w:hint="eastAsia" w:ascii="Times New Roman" w:hAnsi="Times New Roman" w:cs="Times New Roman"/>
                <w:sz w:val="15"/>
                <w:szCs w:val="15"/>
                <w:lang w:val="en-US" w:eastAsia="zh-CN"/>
              </w:rPr>
              <w:t>)</w:t>
            </w:r>
          </w:p>
        </w:tc>
        <w:tc>
          <w:tcPr>
            <w:tcW w:w="339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1-pyrroline-5-carboxylate dehydrogenase</w:t>
            </w:r>
          </w:p>
        </w:tc>
        <w:tc>
          <w:tcPr>
            <w:tcW w:w="314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gene_1202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0" w:type="dxa"/>
            <w:vMerge w:val="continue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aldehyde dehydrogenase (NAD+)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gene_3674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0" w:type="dxa"/>
            <w:vMerge w:val="restart"/>
            <w:tcBorders>
              <w:top w:val="single" w:color="auto" w:sz="4" w:space="0"/>
              <w:left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eastAsia" w:ascii="Times New Roman" w:hAnsi="Times New Roman" w:cs="Times New Roman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Peroxidase activity</w:t>
            </w:r>
            <w:r>
              <w:rPr>
                <w:rFonts w:hint="eastAsia" w:ascii="Times New Roman" w:hAnsi="Times New Roman" w:cs="Times New Roman"/>
                <w:sz w:val="15"/>
                <w:szCs w:val="15"/>
                <w:lang w:val="en-US" w:eastAsia="zh-CN"/>
              </w:rPr>
              <w:t xml:space="preserve"> (</w:t>
            </w:r>
            <w:r>
              <w:rPr>
                <w:rFonts w:hint="eastAsia" w:ascii="Times New Roman" w:hAnsi="Times New Roman" w:cs="Times New Roman"/>
                <w:sz w:val="15"/>
                <w:szCs w:val="15"/>
              </w:rPr>
              <w:t>GO:0004601</w:t>
            </w:r>
            <w:r>
              <w:rPr>
                <w:rFonts w:hint="eastAsia" w:ascii="Times New Roman" w:hAnsi="Times New Roman" w:cs="Times New Roman"/>
                <w:sz w:val="15"/>
                <w:szCs w:val="15"/>
                <w:lang w:val="en-US" w:eastAsia="zh-CN"/>
              </w:rPr>
              <w:t>)</w:t>
            </w:r>
          </w:p>
        </w:tc>
        <w:tc>
          <w:tcPr>
            <w:tcW w:w="339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Versatile peroxidase</w:t>
            </w:r>
          </w:p>
        </w:tc>
        <w:tc>
          <w:tcPr>
            <w:tcW w:w="314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gene_11851,_11537, _713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0" w:type="dxa"/>
            <w:vMerge w:val="continue"/>
            <w:tcBorders>
              <w:left w:val="nil"/>
              <w:bottom w:val="single" w:color="auto" w:sz="12" w:space="0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MnP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gene_8611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F035F9"/>
    <w:rsid w:val="21F0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2021-04-24T12:30:00Z</dcterms:created>
  <dc:creator>Administrator</dc:creator>
  <cp:lastModifiedBy>Administrator</cp:lastModifiedBy>
  <dcterms:modified xsi:type="dcterms:W3CDTF">2021-04-24T16:01:30Z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