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5ACA" w14:textId="77777777" w:rsidR="00D52402" w:rsidRPr="00D52402" w:rsidRDefault="00D52402" w:rsidP="00D52402">
      <w:pPr>
        <w:rPr>
          <w:rFonts w:ascii="Times New Roman" w:hAnsi="Times New Roman" w:cs="Times New Roman"/>
          <w:sz w:val="24"/>
          <w:szCs w:val="24"/>
        </w:rPr>
      </w:pPr>
      <w:r w:rsidRPr="00D52402">
        <w:rPr>
          <w:rFonts w:ascii="Times New Roman" w:hAnsi="Times New Roman" w:cs="Times New Roman"/>
          <w:b/>
          <w:bCs/>
          <w:sz w:val="24"/>
          <w:szCs w:val="24"/>
        </w:rPr>
        <w:t xml:space="preserve">Additional file 6: </w:t>
      </w:r>
      <w:r w:rsidRPr="00D52402">
        <w:rPr>
          <w:rFonts w:ascii="Times New Roman" w:hAnsi="Times New Roman" w:cs="Times New Roman"/>
          <w:b/>
          <w:bCs/>
          <w:sz w:val="24"/>
          <w:szCs w:val="24"/>
        </w:rPr>
        <w:t>Table S6</w:t>
      </w:r>
      <w:r w:rsidRPr="00D52402">
        <w:rPr>
          <w:rFonts w:ascii="Times New Roman" w:hAnsi="Times New Roman" w:cs="Times New Roman"/>
          <w:sz w:val="24"/>
          <w:szCs w:val="24"/>
        </w:rPr>
        <w:t xml:space="preserve"> Summary of sperm characteristics in Group III.</w:t>
      </w:r>
    </w:p>
    <w:p w14:paraId="71F4B63F" w14:textId="77777777" w:rsidR="00D52402" w:rsidRPr="00D52402" w:rsidRDefault="00D52402" w:rsidP="00D52402">
      <w:pPr>
        <w:rPr>
          <w:rFonts w:ascii="Times New Roman" w:hAnsi="Times New Roman" w:cs="Times New Roman"/>
          <w:b/>
          <w:bCs/>
          <w:sz w:val="24"/>
          <w:szCs w:val="24"/>
        </w:rPr>
      </w:pPr>
    </w:p>
    <w:p w14:paraId="540077EF" w14:textId="77777777" w:rsidR="00D52402" w:rsidRPr="00D52402" w:rsidRDefault="00D52402" w:rsidP="00D52402">
      <w:pPr>
        <w:rPr>
          <w:rFonts w:ascii="Times New Roman" w:hAnsi="Times New Roman" w:cs="Times New Roman"/>
          <w:sz w:val="24"/>
          <w:szCs w:val="24"/>
        </w:rPr>
      </w:pPr>
      <w:r w:rsidRPr="00D52402">
        <w:rPr>
          <w:rFonts w:ascii="Times New Roman" w:hAnsi="Times New Roman" w:cs="Times New Roman"/>
          <w:b/>
          <w:bCs/>
          <w:sz w:val="24"/>
          <w:szCs w:val="24"/>
        </w:rPr>
        <w:t>Table S6</w:t>
      </w:r>
      <w:r w:rsidRPr="00D52402">
        <w:rPr>
          <w:rFonts w:ascii="Times New Roman" w:hAnsi="Times New Roman" w:cs="Times New Roman"/>
          <w:sz w:val="24"/>
          <w:szCs w:val="24"/>
        </w:rPr>
        <w:t xml:space="preserve"> Summary of sperm characteristics in Group III.</w:t>
      </w:r>
    </w:p>
    <w:tbl>
      <w:tblPr>
        <w:tblStyle w:val="TableGrid"/>
        <w:tblpPr w:leftFromText="142" w:rightFromText="142" w:vertAnchor="text" w:horzAnchor="margin" w:tblpY="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141"/>
        <w:gridCol w:w="2438"/>
        <w:gridCol w:w="2310"/>
        <w:gridCol w:w="1320"/>
        <w:gridCol w:w="1162"/>
      </w:tblGrid>
      <w:tr w:rsidR="00D52402" w:rsidRPr="00D52402" w14:paraId="7FD74793" w14:textId="77777777" w:rsidTr="008B6FE2">
        <w:trPr>
          <w:trHeight w:val="360"/>
        </w:trPr>
        <w:tc>
          <w:tcPr>
            <w:tcW w:w="3671" w:type="dxa"/>
            <w:vMerge w:val="restart"/>
            <w:tcBorders>
              <w:top w:val="single" w:sz="4" w:space="0" w:color="auto"/>
            </w:tcBorders>
          </w:tcPr>
          <w:p w14:paraId="3105FF24"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Sperm characteristics</w:t>
            </w:r>
          </w:p>
        </w:tc>
        <w:tc>
          <w:tcPr>
            <w:tcW w:w="2141" w:type="dxa"/>
            <w:vMerge w:val="restart"/>
            <w:tcBorders>
              <w:top w:val="single" w:sz="4" w:space="0" w:color="auto"/>
            </w:tcBorders>
          </w:tcPr>
          <w:p w14:paraId="4E19D075" w14:textId="77777777" w:rsidR="00D52402" w:rsidRPr="00D52402" w:rsidRDefault="00D52402" w:rsidP="00D52402">
            <w:pPr>
              <w:rPr>
                <w:rFonts w:ascii="Times New Roman" w:hAnsi="Times New Roman" w:cs="Times New Roman"/>
                <w:sz w:val="20"/>
                <w:szCs w:val="20"/>
              </w:rPr>
            </w:pPr>
            <w:proofErr w:type="spellStart"/>
            <w:r w:rsidRPr="00D52402">
              <w:rPr>
                <w:rFonts w:ascii="Times New Roman" w:hAnsi="Times New Roman" w:cs="Times New Roman"/>
                <w:i/>
                <w:iCs/>
                <w:sz w:val="20"/>
                <w:szCs w:val="20"/>
              </w:rPr>
              <w:t>Aulorhynchus</w:t>
            </w:r>
            <w:proofErr w:type="spellEnd"/>
            <w:r w:rsidRPr="00D52402">
              <w:rPr>
                <w:rFonts w:ascii="Times New Roman" w:hAnsi="Times New Roman" w:cs="Times New Roman"/>
                <w:i/>
                <w:iCs/>
                <w:sz w:val="20"/>
                <w:szCs w:val="20"/>
              </w:rPr>
              <w:t xml:space="preserve"> </w:t>
            </w:r>
            <w:proofErr w:type="spellStart"/>
            <w:r w:rsidRPr="00D52402">
              <w:rPr>
                <w:rFonts w:ascii="Times New Roman" w:hAnsi="Times New Roman" w:cs="Times New Roman"/>
                <w:i/>
                <w:iCs/>
                <w:sz w:val="20"/>
                <w:szCs w:val="20"/>
              </w:rPr>
              <w:t>flavidus</w:t>
            </w:r>
            <w:proofErr w:type="spellEnd"/>
          </w:p>
        </w:tc>
        <w:tc>
          <w:tcPr>
            <w:tcW w:w="2438" w:type="dxa"/>
            <w:vMerge w:val="restart"/>
            <w:tcBorders>
              <w:top w:val="single" w:sz="4" w:space="0" w:color="auto"/>
            </w:tcBorders>
          </w:tcPr>
          <w:p w14:paraId="4F5F042D" w14:textId="77777777" w:rsidR="00D52402" w:rsidRPr="00D52402" w:rsidRDefault="00D52402" w:rsidP="00D52402">
            <w:pPr>
              <w:rPr>
                <w:rFonts w:ascii="Times New Roman" w:hAnsi="Times New Roman" w:cs="Times New Roman"/>
                <w:sz w:val="20"/>
                <w:szCs w:val="20"/>
              </w:rPr>
            </w:pPr>
            <w:proofErr w:type="spellStart"/>
            <w:r w:rsidRPr="00D52402">
              <w:rPr>
                <w:rFonts w:ascii="Times New Roman" w:hAnsi="Times New Roman" w:cs="Times New Roman"/>
                <w:i/>
                <w:iCs/>
                <w:sz w:val="20"/>
                <w:szCs w:val="20"/>
              </w:rPr>
              <w:t>Hypoptychus</w:t>
            </w:r>
            <w:proofErr w:type="spellEnd"/>
            <w:r w:rsidRPr="00D52402">
              <w:rPr>
                <w:rFonts w:ascii="Times New Roman" w:hAnsi="Times New Roman" w:cs="Times New Roman"/>
                <w:i/>
                <w:iCs/>
                <w:sz w:val="20"/>
                <w:szCs w:val="20"/>
              </w:rPr>
              <w:t xml:space="preserve"> </w:t>
            </w:r>
            <w:proofErr w:type="spellStart"/>
            <w:r w:rsidRPr="00D52402">
              <w:rPr>
                <w:rFonts w:ascii="Times New Roman" w:hAnsi="Times New Roman" w:cs="Times New Roman"/>
                <w:i/>
                <w:iCs/>
                <w:sz w:val="20"/>
                <w:szCs w:val="20"/>
              </w:rPr>
              <w:t>dybowskii</w:t>
            </w:r>
            <w:proofErr w:type="spellEnd"/>
          </w:p>
        </w:tc>
        <w:tc>
          <w:tcPr>
            <w:tcW w:w="2310" w:type="dxa"/>
            <w:vMerge w:val="restart"/>
            <w:tcBorders>
              <w:top w:val="single" w:sz="4" w:space="0" w:color="auto"/>
            </w:tcBorders>
          </w:tcPr>
          <w:p w14:paraId="0B300CDD" w14:textId="77777777" w:rsidR="00D52402" w:rsidRPr="00D52402" w:rsidRDefault="00D52402" w:rsidP="00D52402">
            <w:pPr>
              <w:rPr>
                <w:rFonts w:ascii="Times New Roman" w:hAnsi="Times New Roman" w:cs="Times New Roman"/>
                <w:sz w:val="20"/>
                <w:szCs w:val="20"/>
              </w:rPr>
            </w:pPr>
            <w:proofErr w:type="spellStart"/>
            <w:r w:rsidRPr="00D52402">
              <w:rPr>
                <w:rFonts w:ascii="Times New Roman" w:hAnsi="Times New Roman" w:cs="Times New Roman"/>
                <w:i/>
                <w:iCs/>
                <w:sz w:val="20"/>
                <w:szCs w:val="20"/>
              </w:rPr>
              <w:t>Aulichthys</w:t>
            </w:r>
            <w:proofErr w:type="spellEnd"/>
            <w:r w:rsidRPr="00D52402">
              <w:rPr>
                <w:rFonts w:ascii="Times New Roman" w:hAnsi="Times New Roman" w:cs="Times New Roman"/>
                <w:i/>
                <w:iCs/>
                <w:sz w:val="20"/>
                <w:szCs w:val="20"/>
              </w:rPr>
              <w:t xml:space="preserve"> japonicus</w:t>
            </w:r>
          </w:p>
        </w:tc>
        <w:tc>
          <w:tcPr>
            <w:tcW w:w="2482" w:type="dxa"/>
            <w:gridSpan w:val="2"/>
            <w:tcBorders>
              <w:top w:val="single" w:sz="4" w:space="0" w:color="auto"/>
              <w:bottom w:val="single" w:sz="4" w:space="0" w:color="auto"/>
            </w:tcBorders>
          </w:tcPr>
          <w:p w14:paraId="4D6A3DF2"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Statistics</w:t>
            </w:r>
          </w:p>
        </w:tc>
      </w:tr>
      <w:tr w:rsidR="00D52402" w:rsidRPr="00D52402" w14:paraId="0CE97A87" w14:textId="77777777" w:rsidTr="008B6FE2">
        <w:trPr>
          <w:trHeight w:val="360"/>
        </w:trPr>
        <w:tc>
          <w:tcPr>
            <w:tcW w:w="3671" w:type="dxa"/>
            <w:vMerge/>
            <w:tcBorders>
              <w:bottom w:val="single" w:sz="4" w:space="0" w:color="auto"/>
            </w:tcBorders>
          </w:tcPr>
          <w:p w14:paraId="00E1CA5E" w14:textId="77777777" w:rsidR="00D52402" w:rsidRPr="00D52402" w:rsidRDefault="00D52402" w:rsidP="00D52402">
            <w:pPr>
              <w:rPr>
                <w:rFonts w:ascii="Times New Roman" w:hAnsi="Times New Roman" w:cs="Times New Roman"/>
                <w:sz w:val="20"/>
                <w:szCs w:val="20"/>
              </w:rPr>
            </w:pPr>
          </w:p>
        </w:tc>
        <w:tc>
          <w:tcPr>
            <w:tcW w:w="2141" w:type="dxa"/>
            <w:vMerge/>
            <w:tcBorders>
              <w:bottom w:val="single" w:sz="4" w:space="0" w:color="auto"/>
            </w:tcBorders>
          </w:tcPr>
          <w:p w14:paraId="711D2447" w14:textId="77777777" w:rsidR="00D52402" w:rsidRPr="00D52402" w:rsidRDefault="00D52402" w:rsidP="00D52402">
            <w:pPr>
              <w:rPr>
                <w:rFonts w:ascii="Times New Roman" w:hAnsi="Times New Roman" w:cs="Times New Roman"/>
                <w:i/>
                <w:iCs/>
                <w:sz w:val="20"/>
                <w:szCs w:val="20"/>
              </w:rPr>
            </w:pPr>
          </w:p>
        </w:tc>
        <w:tc>
          <w:tcPr>
            <w:tcW w:w="2438" w:type="dxa"/>
            <w:vMerge/>
            <w:tcBorders>
              <w:bottom w:val="single" w:sz="4" w:space="0" w:color="auto"/>
            </w:tcBorders>
          </w:tcPr>
          <w:p w14:paraId="0605B77A" w14:textId="77777777" w:rsidR="00D52402" w:rsidRPr="00D52402" w:rsidRDefault="00D52402" w:rsidP="00D52402">
            <w:pPr>
              <w:rPr>
                <w:rFonts w:ascii="Times New Roman" w:hAnsi="Times New Roman" w:cs="Times New Roman"/>
                <w:i/>
                <w:iCs/>
                <w:sz w:val="20"/>
                <w:szCs w:val="20"/>
              </w:rPr>
            </w:pPr>
          </w:p>
        </w:tc>
        <w:tc>
          <w:tcPr>
            <w:tcW w:w="2310" w:type="dxa"/>
            <w:vMerge/>
            <w:tcBorders>
              <w:bottom w:val="single" w:sz="4" w:space="0" w:color="auto"/>
            </w:tcBorders>
          </w:tcPr>
          <w:p w14:paraId="245C6FC1" w14:textId="77777777" w:rsidR="00D52402" w:rsidRPr="00D52402" w:rsidRDefault="00D52402" w:rsidP="00D52402">
            <w:pPr>
              <w:rPr>
                <w:rFonts w:ascii="Times New Roman" w:hAnsi="Times New Roman" w:cs="Times New Roman"/>
                <w:i/>
                <w:iCs/>
                <w:sz w:val="20"/>
                <w:szCs w:val="20"/>
              </w:rPr>
            </w:pPr>
          </w:p>
        </w:tc>
        <w:tc>
          <w:tcPr>
            <w:tcW w:w="1320" w:type="dxa"/>
            <w:tcBorders>
              <w:top w:val="single" w:sz="4" w:space="0" w:color="auto"/>
              <w:bottom w:val="single" w:sz="4" w:space="0" w:color="auto"/>
            </w:tcBorders>
          </w:tcPr>
          <w:p w14:paraId="09380DF1" w14:textId="77777777" w:rsidR="00D52402" w:rsidRPr="00D52402" w:rsidRDefault="00D52402" w:rsidP="00D52402">
            <w:pPr>
              <w:rPr>
                <w:rFonts w:ascii="Times New Roman" w:hAnsi="Times New Roman" w:cs="Times New Roman"/>
                <w:sz w:val="20"/>
                <w:szCs w:val="20"/>
                <w:vertAlign w:val="subscript"/>
              </w:rPr>
            </w:pPr>
            <w:r w:rsidRPr="00D52402">
              <w:rPr>
                <w:rFonts w:ascii="Times New Roman" w:hAnsi="Times New Roman" w:cs="Times New Roman"/>
                <w:sz w:val="20"/>
                <w:szCs w:val="20"/>
              </w:rPr>
              <w:t>χ</w:t>
            </w:r>
            <w:r w:rsidRPr="00D52402">
              <w:rPr>
                <w:rFonts w:ascii="Times New Roman" w:hAnsi="Times New Roman" w:cs="Times New Roman"/>
                <w:sz w:val="20"/>
                <w:szCs w:val="20"/>
                <w:vertAlign w:val="superscript"/>
              </w:rPr>
              <w:t>2</w:t>
            </w:r>
            <w:r w:rsidRPr="00D52402">
              <w:rPr>
                <w:rFonts w:ascii="Times New Roman" w:hAnsi="Times New Roman" w:cs="Times New Roman"/>
                <w:sz w:val="20"/>
                <w:szCs w:val="20"/>
                <w:vertAlign w:val="subscript"/>
              </w:rPr>
              <w:t>2</w:t>
            </w:r>
          </w:p>
        </w:tc>
        <w:tc>
          <w:tcPr>
            <w:tcW w:w="1162" w:type="dxa"/>
            <w:tcBorders>
              <w:top w:val="single" w:sz="4" w:space="0" w:color="auto"/>
              <w:bottom w:val="single" w:sz="4" w:space="0" w:color="auto"/>
            </w:tcBorders>
          </w:tcPr>
          <w:p w14:paraId="467B8D53"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P</w:t>
            </w:r>
          </w:p>
        </w:tc>
      </w:tr>
      <w:tr w:rsidR="00D52402" w:rsidRPr="00D52402" w14:paraId="6025CDB6"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single" w:sz="4" w:space="0" w:color="auto"/>
              <w:left w:val="nil"/>
              <w:bottom w:val="nil"/>
              <w:right w:val="nil"/>
            </w:tcBorders>
          </w:tcPr>
          <w:p w14:paraId="740E4A8E"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Total length (</w:t>
            </w:r>
            <w:proofErr w:type="spellStart"/>
            <w:r w:rsidRPr="00D52402">
              <w:rPr>
                <w:rFonts w:ascii="Times New Roman" w:hAnsi="Times New Roman" w:cs="Times New Roman"/>
                <w:sz w:val="20"/>
                <w:szCs w:val="20"/>
              </w:rPr>
              <w:t>μm</w:t>
            </w:r>
            <w:proofErr w:type="spellEnd"/>
            <w:r w:rsidRPr="00D52402">
              <w:rPr>
                <w:rFonts w:ascii="Times New Roman" w:hAnsi="Times New Roman" w:cs="Times New Roman"/>
                <w:sz w:val="20"/>
                <w:szCs w:val="20"/>
              </w:rPr>
              <w:t>)</w:t>
            </w:r>
          </w:p>
        </w:tc>
        <w:tc>
          <w:tcPr>
            <w:tcW w:w="2141" w:type="dxa"/>
            <w:tcBorders>
              <w:top w:val="single" w:sz="4" w:space="0" w:color="auto"/>
              <w:left w:val="nil"/>
              <w:bottom w:val="nil"/>
              <w:right w:val="nil"/>
            </w:tcBorders>
          </w:tcPr>
          <w:p w14:paraId="634F2EA8"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34.27</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single" w:sz="4" w:space="0" w:color="auto"/>
              <w:left w:val="nil"/>
              <w:bottom w:val="nil"/>
              <w:right w:val="nil"/>
            </w:tcBorders>
          </w:tcPr>
          <w:p w14:paraId="6FBDD3A5"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39.98 ± 0.48</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(4, 58)</w:t>
            </w:r>
          </w:p>
        </w:tc>
        <w:tc>
          <w:tcPr>
            <w:tcW w:w="2310" w:type="dxa"/>
            <w:tcBorders>
              <w:top w:val="single" w:sz="4" w:space="0" w:color="auto"/>
              <w:left w:val="nil"/>
              <w:bottom w:val="nil"/>
              <w:right w:val="nil"/>
            </w:tcBorders>
          </w:tcPr>
          <w:p w14:paraId="606D615E"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37.66 ± 0.77</w:t>
            </w:r>
            <w:r w:rsidRPr="00D52402">
              <w:rPr>
                <w:rFonts w:ascii="Times New Roman" w:hAnsi="Times New Roman" w:cs="Times New Roman"/>
                <w:sz w:val="20"/>
                <w:szCs w:val="20"/>
                <w:vertAlign w:val="superscript"/>
              </w:rPr>
              <w:t>c</w:t>
            </w:r>
            <w:r w:rsidRPr="00D52402">
              <w:rPr>
                <w:rFonts w:ascii="Times New Roman" w:hAnsi="Times New Roman" w:cs="Times New Roman"/>
                <w:sz w:val="20"/>
                <w:szCs w:val="20"/>
              </w:rPr>
              <w:t xml:space="preserve"> (7, 174)</w:t>
            </w:r>
          </w:p>
        </w:tc>
        <w:tc>
          <w:tcPr>
            <w:tcW w:w="1320" w:type="dxa"/>
            <w:tcBorders>
              <w:top w:val="single" w:sz="4" w:space="0" w:color="auto"/>
              <w:left w:val="nil"/>
              <w:bottom w:val="nil"/>
              <w:right w:val="nil"/>
            </w:tcBorders>
          </w:tcPr>
          <w:p w14:paraId="5F3D39E0"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24.54</w:t>
            </w:r>
          </w:p>
        </w:tc>
        <w:tc>
          <w:tcPr>
            <w:tcW w:w="1162" w:type="dxa"/>
            <w:tcBorders>
              <w:top w:val="single" w:sz="4" w:space="0" w:color="auto"/>
              <w:left w:val="nil"/>
              <w:bottom w:val="nil"/>
              <w:right w:val="nil"/>
            </w:tcBorders>
          </w:tcPr>
          <w:p w14:paraId="4AE22156"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&lt; 0.0001</w:t>
            </w:r>
          </w:p>
        </w:tc>
      </w:tr>
      <w:tr w:rsidR="00D52402" w:rsidRPr="00D52402" w14:paraId="09464FE0"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2551A76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Flagellum length (</w:t>
            </w:r>
            <w:proofErr w:type="spellStart"/>
            <w:r w:rsidRPr="00D52402">
              <w:rPr>
                <w:rFonts w:ascii="Times New Roman" w:hAnsi="Times New Roman" w:cs="Times New Roman"/>
                <w:sz w:val="20"/>
                <w:szCs w:val="20"/>
              </w:rPr>
              <w:t>μm</w:t>
            </w:r>
            <w:proofErr w:type="spellEnd"/>
            <w:r w:rsidRPr="00D52402">
              <w:rPr>
                <w:rFonts w:ascii="Times New Roman" w:hAnsi="Times New Roman" w:cs="Times New Roman"/>
                <w:sz w:val="20"/>
                <w:szCs w:val="20"/>
              </w:rPr>
              <w:t>)</w:t>
            </w:r>
          </w:p>
        </w:tc>
        <w:tc>
          <w:tcPr>
            <w:tcW w:w="2141" w:type="dxa"/>
            <w:tcBorders>
              <w:top w:val="nil"/>
              <w:left w:val="nil"/>
              <w:bottom w:val="nil"/>
              <w:right w:val="nil"/>
            </w:tcBorders>
          </w:tcPr>
          <w:p w14:paraId="489087B7"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31.63</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6BB35B22"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37.77 ± 0.54</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(4, 55)</w:t>
            </w:r>
          </w:p>
        </w:tc>
        <w:tc>
          <w:tcPr>
            <w:tcW w:w="2310" w:type="dxa"/>
            <w:tcBorders>
              <w:top w:val="nil"/>
              <w:left w:val="nil"/>
              <w:bottom w:val="nil"/>
              <w:right w:val="nil"/>
            </w:tcBorders>
          </w:tcPr>
          <w:p w14:paraId="5ABC1785"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35.28 ± 0.67</w:t>
            </w:r>
            <w:r w:rsidRPr="00D52402">
              <w:rPr>
                <w:rFonts w:ascii="Times New Roman" w:hAnsi="Times New Roman" w:cs="Times New Roman"/>
                <w:sz w:val="20"/>
                <w:szCs w:val="20"/>
                <w:vertAlign w:val="superscript"/>
              </w:rPr>
              <w:t>c</w:t>
            </w:r>
            <w:r w:rsidRPr="00D52402">
              <w:rPr>
                <w:rFonts w:ascii="Times New Roman" w:hAnsi="Times New Roman" w:cs="Times New Roman"/>
                <w:sz w:val="20"/>
                <w:szCs w:val="20"/>
              </w:rPr>
              <w:t xml:space="preserve"> (7, 168)</w:t>
            </w:r>
          </w:p>
        </w:tc>
        <w:tc>
          <w:tcPr>
            <w:tcW w:w="1320" w:type="dxa"/>
            <w:tcBorders>
              <w:top w:val="nil"/>
              <w:left w:val="nil"/>
              <w:bottom w:val="nil"/>
              <w:right w:val="nil"/>
            </w:tcBorders>
          </w:tcPr>
          <w:p w14:paraId="7CDF2001"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27.78</w:t>
            </w:r>
          </w:p>
        </w:tc>
        <w:tc>
          <w:tcPr>
            <w:tcW w:w="1162" w:type="dxa"/>
            <w:tcBorders>
              <w:top w:val="nil"/>
              <w:left w:val="nil"/>
              <w:bottom w:val="nil"/>
              <w:right w:val="nil"/>
            </w:tcBorders>
          </w:tcPr>
          <w:p w14:paraId="16DBCCA3"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&lt; 0.0001</w:t>
            </w:r>
          </w:p>
        </w:tc>
      </w:tr>
      <w:tr w:rsidR="00D52402" w:rsidRPr="00D52402" w14:paraId="0E0D2B8A"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697302DD"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Head length (</w:t>
            </w:r>
            <w:proofErr w:type="spellStart"/>
            <w:r w:rsidRPr="00D52402">
              <w:rPr>
                <w:rFonts w:ascii="Times New Roman" w:hAnsi="Times New Roman" w:cs="Times New Roman"/>
                <w:sz w:val="20"/>
                <w:szCs w:val="20"/>
              </w:rPr>
              <w:t>μm</w:t>
            </w:r>
            <w:proofErr w:type="spellEnd"/>
            <w:r w:rsidRPr="00D52402">
              <w:rPr>
                <w:rFonts w:ascii="Times New Roman" w:hAnsi="Times New Roman" w:cs="Times New Roman"/>
                <w:sz w:val="20"/>
                <w:szCs w:val="20"/>
              </w:rPr>
              <w:t>)</w:t>
            </w:r>
          </w:p>
        </w:tc>
        <w:tc>
          <w:tcPr>
            <w:tcW w:w="2141" w:type="dxa"/>
            <w:tcBorders>
              <w:top w:val="nil"/>
              <w:left w:val="nil"/>
              <w:bottom w:val="nil"/>
              <w:right w:val="nil"/>
            </w:tcBorders>
          </w:tcPr>
          <w:p w14:paraId="7C41C4DA"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2.64</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0229E6F8"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2.24 ± 0.15</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(4, 58)</w:t>
            </w:r>
          </w:p>
        </w:tc>
        <w:tc>
          <w:tcPr>
            <w:tcW w:w="2310" w:type="dxa"/>
            <w:tcBorders>
              <w:top w:val="nil"/>
              <w:left w:val="nil"/>
              <w:bottom w:val="nil"/>
              <w:right w:val="nil"/>
            </w:tcBorders>
          </w:tcPr>
          <w:p w14:paraId="1C8E70A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2.39 ± 0.16</w:t>
            </w:r>
            <w:r w:rsidRPr="00D52402">
              <w:rPr>
                <w:rFonts w:ascii="Times New Roman" w:hAnsi="Times New Roman" w:cs="Times New Roman"/>
                <w:sz w:val="20"/>
                <w:szCs w:val="20"/>
                <w:vertAlign w:val="superscript"/>
              </w:rPr>
              <w:t>ab</w:t>
            </w:r>
            <w:r w:rsidRPr="00D52402">
              <w:rPr>
                <w:rFonts w:ascii="Times New Roman" w:hAnsi="Times New Roman" w:cs="Times New Roman"/>
                <w:sz w:val="20"/>
                <w:szCs w:val="20"/>
              </w:rPr>
              <w:t xml:space="preserve"> (7, 176)</w:t>
            </w:r>
          </w:p>
        </w:tc>
        <w:tc>
          <w:tcPr>
            <w:tcW w:w="1320" w:type="dxa"/>
            <w:tcBorders>
              <w:top w:val="nil"/>
              <w:left w:val="nil"/>
              <w:bottom w:val="nil"/>
              <w:right w:val="nil"/>
            </w:tcBorders>
          </w:tcPr>
          <w:p w14:paraId="1F8508EC"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6.36</w:t>
            </w:r>
          </w:p>
        </w:tc>
        <w:tc>
          <w:tcPr>
            <w:tcW w:w="1162" w:type="dxa"/>
            <w:tcBorders>
              <w:top w:val="nil"/>
              <w:left w:val="nil"/>
              <w:bottom w:val="nil"/>
              <w:right w:val="nil"/>
            </w:tcBorders>
          </w:tcPr>
          <w:p w14:paraId="4DB40413"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0.042</w:t>
            </w:r>
          </w:p>
        </w:tc>
      </w:tr>
      <w:tr w:rsidR="00D52402" w:rsidRPr="00D52402" w14:paraId="20E43813"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2A4C106C"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Head width (</w:t>
            </w:r>
            <w:proofErr w:type="spellStart"/>
            <w:r w:rsidRPr="00D52402">
              <w:rPr>
                <w:rFonts w:ascii="Times New Roman" w:hAnsi="Times New Roman" w:cs="Times New Roman"/>
                <w:sz w:val="20"/>
                <w:szCs w:val="20"/>
              </w:rPr>
              <w:t>μm</w:t>
            </w:r>
            <w:proofErr w:type="spellEnd"/>
            <w:r w:rsidRPr="00D52402">
              <w:rPr>
                <w:rFonts w:ascii="Times New Roman" w:hAnsi="Times New Roman" w:cs="Times New Roman"/>
                <w:sz w:val="20"/>
                <w:szCs w:val="20"/>
              </w:rPr>
              <w:t>)</w:t>
            </w:r>
          </w:p>
        </w:tc>
        <w:tc>
          <w:tcPr>
            <w:tcW w:w="2141" w:type="dxa"/>
            <w:tcBorders>
              <w:top w:val="nil"/>
              <w:left w:val="nil"/>
              <w:bottom w:val="nil"/>
              <w:right w:val="nil"/>
            </w:tcBorders>
          </w:tcPr>
          <w:p w14:paraId="431EB70E"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2.10</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0C617A4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1.16 ± 0.08</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(4, 59)</w:t>
            </w:r>
          </w:p>
        </w:tc>
        <w:tc>
          <w:tcPr>
            <w:tcW w:w="2310" w:type="dxa"/>
            <w:tcBorders>
              <w:top w:val="nil"/>
              <w:left w:val="nil"/>
              <w:bottom w:val="nil"/>
              <w:right w:val="nil"/>
            </w:tcBorders>
          </w:tcPr>
          <w:p w14:paraId="129D396F"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1.17 ± 0.05</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(7, 180)</w:t>
            </w:r>
          </w:p>
        </w:tc>
        <w:tc>
          <w:tcPr>
            <w:tcW w:w="1320" w:type="dxa"/>
            <w:tcBorders>
              <w:top w:val="nil"/>
              <w:left w:val="nil"/>
              <w:bottom w:val="nil"/>
              <w:right w:val="nil"/>
            </w:tcBorders>
          </w:tcPr>
          <w:p w14:paraId="34B114E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38.94</w:t>
            </w:r>
          </w:p>
        </w:tc>
        <w:tc>
          <w:tcPr>
            <w:tcW w:w="1162" w:type="dxa"/>
            <w:tcBorders>
              <w:top w:val="nil"/>
              <w:left w:val="nil"/>
              <w:bottom w:val="nil"/>
              <w:right w:val="nil"/>
            </w:tcBorders>
          </w:tcPr>
          <w:p w14:paraId="087C3AB0"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&lt; 0.0001</w:t>
            </w:r>
          </w:p>
        </w:tc>
      </w:tr>
      <w:tr w:rsidR="00D52402" w:rsidRPr="00D52402" w14:paraId="32B3D5B1"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6E47E4FA"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Midpiece length (</w:t>
            </w:r>
            <w:proofErr w:type="spellStart"/>
            <w:r w:rsidRPr="00D52402">
              <w:rPr>
                <w:rFonts w:ascii="Times New Roman" w:hAnsi="Times New Roman" w:cs="Times New Roman"/>
                <w:sz w:val="20"/>
                <w:szCs w:val="20"/>
              </w:rPr>
              <w:t>μm</w:t>
            </w:r>
            <w:proofErr w:type="spellEnd"/>
            <w:r w:rsidRPr="00D52402">
              <w:rPr>
                <w:rFonts w:ascii="Times New Roman" w:hAnsi="Times New Roman" w:cs="Times New Roman"/>
                <w:sz w:val="20"/>
                <w:szCs w:val="20"/>
              </w:rPr>
              <w:t>)</w:t>
            </w:r>
          </w:p>
        </w:tc>
        <w:tc>
          <w:tcPr>
            <w:tcW w:w="2141" w:type="dxa"/>
            <w:tcBorders>
              <w:top w:val="nil"/>
              <w:left w:val="nil"/>
              <w:bottom w:val="nil"/>
              <w:right w:val="nil"/>
            </w:tcBorders>
          </w:tcPr>
          <w:p w14:paraId="57282DE0"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1.07</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3B74C94F"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0.61 ± 0.07</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(4, 60)</w:t>
            </w:r>
          </w:p>
        </w:tc>
        <w:tc>
          <w:tcPr>
            <w:tcW w:w="2310" w:type="dxa"/>
            <w:tcBorders>
              <w:top w:val="nil"/>
              <w:left w:val="nil"/>
              <w:bottom w:val="nil"/>
              <w:right w:val="nil"/>
            </w:tcBorders>
          </w:tcPr>
          <w:p w14:paraId="0A5BBADD"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1.59 ± 0.35</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(7, 176)</w:t>
            </w:r>
          </w:p>
        </w:tc>
        <w:tc>
          <w:tcPr>
            <w:tcW w:w="1320" w:type="dxa"/>
            <w:tcBorders>
              <w:top w:val="nil"/>
              <w:left w:val="nil"/>
              <w:bottom w:val="nil"/>
              <w:right w:val="nil"/>
            </w:tcBorders>
          </w:tcPr>
          <w:p w14:paraId="7C1C579F"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19.36</w:t>
            </w:r>
          </w:p>
        </w:tc>
        <w:tc>
          <w:tcPr>
            <w:tcW w:w="1162" w:type="dxa"/>
            <w:tcBorders>
              <w:top w:val="nil"/>
              <w:left w:val="nil"/>
              <w:bottom w:val="nil"/>
              <w:right w:val="nil"/>
            </w:tcBorders>
          </w:tcPr>
          <w:p w14:paraId="665A5676"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&lt; 0.0001</w:t>
            </w:r>
          </w:p>
        </w:tc>
      </w:tr>
      <w:tr w:rsidR="00D52402" w:rsidRPr="00D52402" w14:paraId="78C06DDF"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3819C590"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Midpiece width (</w:t>
            </w:r>
            <w:proofErr w:type="spellStart"/>
            <w:r w:rsidRPr="00D52402">
              <w:rPr>
                <w:rFonts w:ascii="Times New Roman" w:hAnsi="Times New Roman" w:cs="Times New Roman"/>
                <w:sz w:val="20"/>
                <w:szCs w:val="20"/>
              </w:rPr>
              <w:t>μm</w:t>
            </w:r>
            <w:proofErr w:type="spellEnd"/>
            <w:r w:rsidRPr="00D52402">
              <w:rPr>
                <w:rFonts w:ascii="Times New Roman" w:hAnsi="Times New Roman" w:cs="Times New Roman"/>
                <w:sz w:val="20"/>
                <w:szCs w:val="20"/>
              </w:rPr>
              <w:t>)</w:t>
            </w:r>
          </w:p>
        </w:tc>
        <w:tc>
          <w:tcPr>
            <w:tcW w:w="2141" w:type="dxa"/>
            <w:tcBorders>
              <w:top w:val="nil"/>
              <w:left w:val="nil"/>
              <w:bottom w:val="nil"/>
              <w:right w:val="nil"/>
            </w:tcBorders>
          </w:tcPr>
          <w:p w14:paraId="4FBCEC1E"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1.27</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1DBB2DB1"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1.01 ± 0.08</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(4, 59)</w:t>
            </w:r>
          </w:p>
        </w:tc>
        <w:tc>
          <w:tcPr>
            <w:tcW w:w="2310" w:type="dxa"/>
            <w:tcBorders>
              <w:top w:val="nil"/>
              <w:left w:val="nil"/>
              <w:bottom w:val="nil"/>
              <w:right w:val="nil"/>
            </w:tcBorders>
          </w:tcPr>
          <w:p w14:paraId="30D49D45"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1.17 ± 0.11</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(7, 171)</w:t>
            </w:r>
          </w:p>
        </w:tc>
        <w:tc>
          <w:tcPr>
            <w:tcW w:w="1320" w:type="dxa"/>
            <w:tcBorders>
              <w:top w:val="nil"/>
              <w:left w:val="nil"/>
              <w:bottom w:val="nil"/>
              <w:right w:val="nil"/>
            </w:tcBorders>
          </w:tcPr>
          <w:p w14:paraId="67A21BD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9.93</w:t>
            </w:r>
          </w:p>
        </w:tc>
        <w:tc>
          <w:tcPr>
            <w:tcW w:w="1162" w:type="dxa"/>
            <w:tcBorders>
              <w:top w:val="nil"/>
              <w:left w:val="nil"/>
              <w:bottom w:val="nil"/>
              <w:right w:val="nil"/>
            </w:tcBorders>
          </w:tcPr>
          <w:p w14:paraId="51139ED0"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0.007</w:t>
            </w:r>
          </w:p>
        </w:tc>
      </w:tr>
      <w:tr w:rsidR="00D52402" w:rsidRPr="00D52402" w14:paraId="4AC9534C"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0943FBD3"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Head length / head width</w:t>
            </w:r>
          </w:p>
        </w:tc>
        <w:tc>
          <w:tcPr>
            <w:tcW w:w="2141" w:type="dxa"/>
            <w:tcBorders>
              <w:top w:val="nil"/>
              <w:left w:val="nil"/>
              <w:bottom w:val="nil"/>
              <w:right w:val="nil"/>
            </w:tcBorders>
          </w:tcPr>
          <w:p w14:paraId="10209237"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1.27</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4C96032C"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1.96 ± 0.15</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(4, 55)</w:t>
            </w:r>
          </w:p>
        </w:tc>
        <w:tc>
          <w:tcPr>
            <w:tcW w:w="2310" w:type="dxa"/>
            <w:tcBorders>
              <w:top w:val="nil"/>
              <w:left w:val="nil"/>
              <w:bottom w:val="nil"/>
              <w:right w:val="nil"/>
            </w:tcBorders>
          </w:tcPr>
          <w:p w14:paraId="32049BD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2.06 ± 0.14</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(7, 174)</w:t>
            </w:r>
          </w:p>
        </w:tc>
        <w:tc>
          <w:tcPr>
            <w:tcW w:w="1320" w:type="dxa"/>
            <w:tcBorders>
              <w:top w:val="nil"/>
              <w:left w:val="nil"/>
              <w:bottom w:val="nil"/>
              <w:right w:val="nil"/>
            </w:tcBorders>
          </w:tcPr>
          <w:p w14:paraId="75DBF779"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16.40</w:t>
            </w:r>
          </w:p>
        </w:tc>
        <w:tc>
          <w:tcPr>
            <w:tcW w:w="1162" w:type="dxa"/>
            <w:tcBorders>
              <w:top w:val="nil"/>
              <w:left w:val="nil"/>
              <w:bottom w:val="nil"/>
              <w:right w:val="nil"/>
            </w:tcBorders>
          </w:tcPr>
          <w:p w14:paraId="12B1D1C6"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0.0003</w:t>
            </w:r>
          </w:p>
        </w:tc>
      </w:tr>
      <w:tr w:rsidR="00D52402" w:rsidRPr="00D52402" w14:paraId="70A9AEDC"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288D778F"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Midpiece length / midpiece width</w:t>
            </w:r>
          </w:p>
        </w:tc>
        <w:tc>
          <w:tcPr>
            <w:tcW w:w="2141" w:type="dxa"/>
            <w:tcBorders>
              <w:top w:val="nil"/>
              <w:left w:val="nil"/>
              <w:bottom w:val="nil"/>
              <w:right w:val="nil"/>
            </w:tcBorders>
          </w:tcPr>
          <w:p w14:paraId="56306078"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0.85</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18F1CC4A"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0.61 ± 0.08</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(4, 57)</w:t>
            </w:r>
          </w:p>
        </w:tc>
        <w:tc>
          <w:tcPr>
            <w:tcW w:w="2310" w:type="dxa"/>
            <w:tcBorders>
              <w:top w:val="nil"/>
              <w:left w:val="nil"/>
              <w:bottom w:val="nil"/>
              <w:right w:val="nil"/>
            </w:tcBorders>
          </w:tcPr>
          <w:p w14:paraId="0F36ED8E"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1.38 ± 0.30</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(7, 165)</w:t>
            </w:r>
          </w:p>
        </w:tc>
        <w:tc>
          <w:tcPr>
            <w:tcW w:w="1320" w:type="dxa"/>
            <w:tcBorders>
              <w:top w:val="nil"/>
              <w:left w:val="nil"/>
              <w:bottom w:val="nil"/>
              <w:right w:val="nil"/>
            </w:tcBorders>
          </w:tcPr>
          <w:p w14:paraId="49441CAE"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16.85</w:t>
            </w:r>
          </w:p>
        </w:tc>
        <w:tc>
          <w:tcPr>
            <w:tcW w:w="1162" w:type="dxa"/>
            <w:tcBorders>
              <w:top w:val="nil"/>
              <w:left w:val="nil"/>
              <w:bottom w:val="nil"/>
              <w:right w:val="nil"/>
            </w:tcBorders>
          </w:tcPr>
          <w:p w14:paraId="550D0C9C"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0.0002</w:t>
            </w:r>
          </w:p>
        </w:tc>
      </w:tr>
      <w:tr w:rsidR="00D52402" w:rsidRPr="00D52402" w14:paraId="3D18BE11"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nil"/>
              <w:right w:val="nil"/>
            </w:tcBorders>
          </w:tcPr>
          <w:p w14:paraId="38A6273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Head cross-sectional area (μm</w:t>
            </w:r>
            <w:r w:rsidRPr="00D52402">
              <w:rPr>
                <w:rFonts w:ascii="Times New Roman" w:hAnsi="Times New Roman" w:cs="Times New Roman"/>
                <w:sz w:val="20"/>
                <w:szCs w:val="20"/>
                <w:vertAlign w:val="superscript"/>
              </w:rPr>
              <w:t>2</w:t>
            </w:r>
            <w:r w:rsidRPr="00D52402">
              <w:rPr>
                <w:rFonts w:ascii="Times New Roman" w:hAnsi="Times New Roman" w:cs="Times New Roman"/>
                <w:sz w:val="20"/>
                <w:szCs w:val="20"/>
              </w:rPr>
              <w:t>)</w:t>
            </w:r>
          </w:p>
        </w:tc>
        <w:tc>
          <w:tcPr>
            <w:tcW w:w="2141" w:type="dxa"/>
            <w:tcBorders>
              <w:top w:val="nil"/>
              <w:left w:val="nil"/>
              <w:bottom w:val="nil"/>
              <w:right w:val="nil"/>
            </w:tcBorders>
          </w:tcPr>
          <w:p w14:paraId="593BDF45"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4.35</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(1, 14)</w:t>
            </w:r>
          </w:p>
        </w:tc>
        <w:tc>
          <w:tcPr>
            <w:tcW w:w="2438" w:type="dxa"/>
            <w:tcBorders>
              <w:top w:val="nil"/>
              <w:left w:val="nil"/>
              <w:bottom w:val="nil"/>
              <w:right w:val="nil"/>
            </w:tcBorders>
          </w:tcPr>
          <w:p w14:paraId="68F135ED"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2.04 ± 0.22</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(4, 55)</w:t>
            </w:r>
          </w:p>
        </w:tc>
        <w:tc>
          <w:tcPr>
            <w:tcW w:w="2310" w:type="dxa"/>
            <w:tcBorders>
              <w:top w:val="nil"/>
              <w:left w:val="nil"/>
              <w:bottom w:val="nil"/>
              <w:right w:val="nil"/>
            </w:tcBorders>
          </w:tcPr>
          <w:p w14:paraId="08AEB977"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2.19 ± 0.18</w:t>
            </w:r>
            <w:r w:rsidRPr="00D52402">
              <w:rPr>
                <w:rFonts w:ascii="Times New Roman" w:hAnsi="Times New Roman" w:cs="Times New Roman"/>
                <w:sz w:val="20"/>
                <w:szCs w:val="20"/>
                <w:vertAlign w:val="superscript"/>
              </w:rPr>
              <w:t>b</w:t>
            </w:r>
            <w:r w:rsidRPr="00D52402">
              <w:rPr>
                <w:rFonts w:ascii="Times New Roman" w:hAnsi="Times New Roman" w:cs="Times New Roman"/>
                <w:sz w:val="20"/>
                <w:szCs w:val="20"/>
              </w:rPr>
              <w:t xml:space="preserve"> (7, 174)</w:t>
            </w:r>
          </w:p>
        </w:tc>
        <w:tc>
          <w:tcPr>
            <w:tcW w:w="1320" w:type="dxa"/>
            <w:tcBorders>
              <w:top w:val="nil"/>
              <w:left w:val="nil"/>
              <w:bottom w:val="nil"/>
              <w:right w:val="nil"/>
            </w:tcBorders>
          </w:tcPr>
          <w:p w14:paraId="320DC114"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32.21</w:t>
            </w:r>
          </w:p>
        </w:tc>
        <w:tc>
          <w:tcPr>
            <w:tcW w:w="1162" w:type="dxa"/>
            <w:tcBorders>
              <w:top w:val="nil"/>
              <w:left w:val="nil"/>
              <w:bottom w:val="nil"/>
              <w:right w:val="nil"/>
            </w:tcBorders>
          </w:tcPr>
          <w:p w14:paraId="54B4F49B"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&lt; 0.0001</w:t>
            </w:r>
          </w:p>
        </w:tc>
      </w:tr>
      <w:tr w:rsidR="00D52402" w:rsidRPr="00D52402" w14:paraId="2D2E333B" w14:textId="77777777" w:rsidTr="008B6FE2">
        <w:tblPrEx>
          <w:tblBorders>
            <w:left w:val="single" w:sz="4" w:space="0" w:color="auto"/>
            <w:right w:val="single" w:sz="4" w:space="0" w:color="auto"/>
            <w:insideH w:val="single" w:sz="4" w:space="0" w:color="auto"/>
            <w:insideV w:val="single" w:sz="4" w:space="0" w:color="auto"/>
          </w:tblBorders>
        </w:tblPrEx>
        <w:tc>
          <w:tcPr>
            <w:tcW w:w="3671" w:type="dxa"/>
            <w:tcBorders>
              <w:top w:val="nil"/>
              <w:left w:val="nil"/>
              <w:bottom w:val="single" w:sz="4" w:space="0" w:color="auto"/>
              <w:right w:val="nil"/>
            </w:tcBorders>
          </w:tcPr>
          <w:p w14:paraId="79407142"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Swimming speed (</w:t>
            </w:r>
            <w:proofErr w:type="spellStart"/>
            <w:r w:rsidRPr="00D52402">
              <w:rPr>
                <w:rFonts w:ascii="Times New Roman" w:hAnsi="Times New Roman" w:cs="Times New Roman"/>
                <w:sz w:val="20"/>
                <w:szCs w:val="20"/>
              </w:rPr>
              <w:t>μm</w:t>
            </w:r>
            <w:proofErr w:type="spellEnd"/>
            <w:r w:rsidRPr="00D52402">
              <w:rPr>
                <w:rFonts w:ascii="Times New Roman" w:hAnsi="Times New Roman" w:cs="Times New Roman"/>
                <w:sz w:val="20"/>
                <w:szCs w:val="20"/>
              </w:rPr>
              <w:t>/s)</w:t>
            </w:r>
          </w:p>
        </w:tc>
        <w:tc>
          <w:tcPr>
            <w:tcW w:w="2141" w:type="dxa"/>
            <w:tcBorders>
              <w:top w:val="nil"/>
              <w:left w:val="nil"/>
              <w:bottom w:val="single" w:sz="4" w:space="0" w:color="auto"/>
              <w:right w:val="nil"/>
            </w:tcBorders>
          </w:tcPr>
          <w:p w14:paraId="3845DE13"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67.34</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(1, 15)</w:t>
            </w:r>
          </w:p>
        </w:tc>
        <w:tc>
          <w:tcPr>
            <w:tcW w:w="2438" w:type="dxa"/>
            <w:tcBorders>
              <w:top w:val="nil"/>
              <w:left w:val="nil"/>
              <w:bottom w:val="single" w:sz="4" w:space="0" w:color="auto"/>
              <w:right w:val="nil"/>
            </w:tcBorders>
          </w:tcPr>
          <w:p w14:paraId="6B65445C"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59.96 ± 22.09</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(4, 62)</w:t>
            </w:r>
          </w:p>
        </w:tc>
        <w:tc>
          <w:tcPr>
            <w:tcW w:w="2310" w:type="dxa"/>
            <w:tcBorders>
              <w:top w:val="nil"/>
              <w:left w:val="nil"/>
              <w:bottom w:val="single" w:sz="4" w:space="0" w:color="auto"/>
              <w:right w:val="nil"/>
            </w:tcBorders>
          </w:tcPr>
          <w:p w14:paraId="26FC65E0"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53.74 ± 6.00</w:t>
            </w:r>
            <w:r w:rsidRPr="00D52402">
              <w:rPr>
                <w:rFonts w:ascii="Times New Roman" w:hAnsi="Times New Roman" w:cs="Times New Roman"/>
                <w:sz w:val="20"/>
                <w:szCs w:val="20"/>
                <w:vertAlign w:val="superscript"/>
              </w:rPr>
              <w:t>a</w:t>
            </w:r>
            <w:r w:rsidRPr="00D52402">
              <w:rPr>
                <w:rFonts w:ascii="Times New Roman" w:hAnsi="Times New Roman" w:cs="Times New Roman"/>
                <w:sz w:val="20"/>
                <w:szCs w:val="20"/>
              </w:rPr>
              <w:t xml:space="preserve"> (7, 104)</w:t>
            </w:r>
          </w:p>
        </w:tc>
        <w:tc>
          <w:tcPr>
            <w:tcW w:w="1320" w:type="dxa"/>
            <w:tcBorders>
              <w:top w:val="nil"/>
              <w:left w:val="nil"/>
              <w:bottom w:val="single" w:sz="4" w:space="0" w:color="auto"/>
              <w:right w:val="nil"/>
            </w:tcBorders>
          </w:tcPr>
          <w:p w14:paraId="3BDCFDF2"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3.63</w:t>
            </w:r>
          </w:p>
        </w:tc>
        <w:tc>
          <w:tcPr>
            <w:tcW w:w="1162" w:type="dxa"/>
            <w:tcBorders>
              <w:top w:val="nil"/>
              <w:left w:val="nil"/>
              <w:bottom w:val="single" w:sz="4" w:space="0" w:color="auto"/>
              <w:right w:val="nil"/>
            </w:tcBorders>
          </w:tcPr>
          <w:p w14:paraId="2806EFE7" w14:textId="77777777" w:rsidR="00D52402" w:rsidRPr="00D52402" w:rsidRDefault="00D52402" w:rsidP="00D52402">
            <w:pPr>
              <w:rPr>
                <w:rFonts w:ascii="Times New Roman" w:hAnsi="Times New Roman" w:cs="Times New Roman"/>
                <w:sz w:val="20"/>
                <w:szCs w:val="20"/>
              </w:rPr>
            </w:pPr>
            <w:r w:rsidRPr="00D52402">
              <w:rPr>
                <w:rFonts w:ascii="Times New Roman" w:hAnsi="Times New Roman" w:cs="Times New Roman"/>
                <w:sz w:val="20"/>
                <w:szCs w:val="20"/>
              </w:rPr>
              <w:t>0.16</w:t>
            </w:r>
          </w:p>
        </w:tc>
      </w:tr>
    </w:tbl>
    <w:p w14:paraId="60702EC1" w14:textId="77777777" w:rsidR="00D52402" w:rsidRPr="00D52402" w:rsidRDefault="00D52402" w:rsidP="00D52402">
      <w:pPr>
        <w:rPr>
          <w:rFonts w:ascii="Times New Roman" w:hAnsi="Times New Roman" w:cs="Times New Roman"/>
          <w:sz w:val="24"/>
          <w:szCs w:val="24"/>
        </w:rPr>
      </w:pPr>
      <w:r w:rsidRPr="00D52402">
        <w:rPr>
          <w:rFonts w:ascii="Times New Roman" w:hAnsi="Times New Roman" w:cs="Times New Roman"/>
          <w:sz w:val="24"/>
          <w:szCs w:val="24"/>
        </w:rPr>
        <w:t xml:space="preserve">All values represent mean ± SD. Brackets show the number of individuals (left) and sperm (right) used for the analyses. Different superscripts indicate significant differences in each sperm characteristic between the species (LMMs with sequential Bonferroni correction, P &lt; 0.05). Head cross-sectional areas were calculated according to the method of </w:t>
      </w:r>
      <w:r w:rsidRPr="00D52402">
        <w:rPr>
          <w:rFonts w:ascii="Times New Roman" w:hAnsi="Times New Roman" w:cs="Times New Roman"/>
          <w:sz w:val="24"/>
          <w:szCs w:val="24"/>
        </w:rPr>
        <w:fldChar w:fldCharType="begin" w:fldLock="1"/>
      </w:r>
      <w:r w:rsidRPr="00D52402">
        <w:rPr>
          <w:rFonts w:ascii="Times New Roman" w:hAnsi="Times New Roman" w:cs="Times New Roman"/>
          <w:sz w:val="24"/>
          <w:szCs w:val="24"/>
        </w:rPr>
        <w:instrText>ADDIN CSL_CITATION {"citationItems":[{"id":"ITEM-1","itemData":{"DOI":"10.1111/jzo.12867","ISSN":"14697998","abstract":"Baikal sculpins are a unique group of fishes, including both externally and internally fertilizing species. Sperm traits, such as morphology and motility, are predicted to undergo adaptive changes due to species fertilization modes. However, studies exploring such traits in Baikal sculpins are lacking. Here, we conducted a field study and investigated sperm traits of three sculpins with external fertilization (Cottocomephorus grewingkii, Leocottus kesslerii and Paracottus knerii) and one sculpin with internal fertilization (Comephorus dybowskii). Sperm head morphology was spherical in both types of fertilizing species; however, the head cross-sectional area of the sperm of the internal fertilizer was smaller than that of external fertilizers. This result implies that sperm head morphology might be adapted to swim in a viscous ovarian fluid. The internal fertilizer, C. dybowskii, had longer and faster-swimming sperms with longer motility duration than the external fertilizers, perhaps due to different sperm competition levels. Sperms of the internal fertilizer were only motile in isotonic solutions, whereas sperms of the external fertilizers were motile in lake waters, suggesting that sperm motilities are specialized according to their external/internal environments. To our knowledge, this is the first study to demonstrate sperm traits of Baikal sculpins, which may have evolved adaptively along with changing fertilization modes.","author":[{"dropping-particle":"","family":"Ito","given":"T.","non-dropping-particle":"","parse-names":false,"suffix":""},{"dropping-particle":"","family":"Kinoshita","given":"I.","non-dropping-particle":"","parse-names":false,"suffix":""},{"dropping-particle":"","family":"Tahara","given":"D.","non-dropping-particle":"","parse-names":false,"suffix":""},{"dropping-particle":"","family":"Goto","given":"A.","non-dropping-particle":"","parse-names":false,"suffix":""},{"dropping-particle":"","family":"Tojima","given":"S.","non-dropping-particle":"","parse-names":false,"suffix":""},{"dropping-particle":"","family":"Sideleva","given":"V. G.","non-dropping-particle":"","parse-names":false,"suffix":""},{"dropping-particle":"","family":"Kupchinsky","given":"A. B.","non-dropping-particle":"","parse-names":false,"suffix":""},{"dropping-particle":"","family":"Awata","given":"S.","non-dropping-particle":"","parse-names":false,"suffix":""}],"container-title":"Journal of Zoology","id":"ITEM-1","issue":"2005","issued":{"date-parts":[["2021"]]},"page":"1-11","title":"Fertilization modes drive the evolution of sperm traits in Baikal sculpins","type":"article-journal"},"uris":["http://www.mendeley.com/documents/?uuid=2d1df42d-e09a-4e0a-a749-d15e45f55a5f"]}],"mendeley":{"formattedCitation":"[15]","plainTextFormattedCitation":"[15]","previouslyFormattedCitation":"[15]"},"properties":{"noteIndex":0},"schema":"https://github.com/citation-style-language/schema/raw/master/csl-citation.json"}</w:instrText>
      </w:r>
      <w:r w:rsidRPr="00D52402">
        <w:rPr>
          <w:rFonts w:ascii="Times New Roman" w:hAnsi="Times New Roman" w:cs="Times New Roman"/>
          <w:sz w:val="24"/>
          <w:szCs w:val="24"/>
        </w:rPr>
        <w:fldChar w:fldCharType="separate"/>
      </w:r>
      <w:r w:rsidRPr="00D52402">
        <w:rPr>
          <w:rFonts w:ascii="Times New Roman" w:hAnsi="Times New Roman" w:cs="Times New Roman"/>
          <w:sz w:val="24"/>
          <w:szCs w:val="24"/>
        </w:rPr>
        <w:t>[15]</w:t>
      </w:r>
      <w:r w:rsidRPr="00D52402">
        <w:rPr>
          <w:rFonts w:ascii="Times New Roman" w:hAnsi="Times New Roman" w:cs="Times New Roman"/>
          <w:sz w:val="24"/>
          <w:szCs w:val="24"/>
        </w:rPr>
        <w:fldChar w:fldCharType="end"/>
      </w:r>
      <w:r w:rsidRPr="00D52402">
        <w:rPr>
          <w:rFonts w:ascii="Times New Roman" w:hAnsi="Times New Roman" w:cs="Times New Roman"/>
          <w:sz w:val="24"/>
          <w:szCs w:val="24"/>
        </w:rPr>
        <w:t>.</w:t>
      </w:r>
    </w:p>
    <w:p w14:paraId="2BD41D41" w14:textId="1934F540" w:rsidR="00B54D17" w:rsidRPr="00D52402" w:rsidRDefault="00B54D17" w:rsidP="00D52402"/>
    <w:sectPr w:rsidR="00B54D17" w:rsidRPr="00D52402" w:rsidSect="0082480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660F" w14:textId="77777777" w:rsidR="00652516" w:rsidRDefault="00652516" w:rsidP="00236FCE">
      <w:r>
        <w:separator/>
      </w:r>
    </w:p>
  </w:endnote>
  <w:endnote w:type="continuationSeparator" w:id="0">
    <w:p w14:paraId="2FFB9A39" w14:textId="77777777" w:rsidR="00652516" w:rsidRDefault="00652516" w:rsidP="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D787" w14:textId="77777777" w:rsidR="00652516" w:rsidRDefault="00652516" w:rsidP="00236FCE">
      <w:r>
        <w:separator/>
      </w:r>
    </w:p>
  </w:footnote>
  <w:footnote w:type="continuationSeparator" w:id="0">
    <w:p w14:paraId="0EF668B6" w14:textId="77777777" w:rsidR="00652516" w:rsidRDefault="00652516" w:rsidP="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NTKxtDAzNjM1NTBU0lEKTi0uzszPAykwNKwFAGGnzPgtAAAA"/>
  </w:docVars>
  <w:rsids>
    <w:rsidRoot w:val="0082480B"/>
    <w:rsid w:val="00040895"/>
    <w:rsid w:val="0004438D"/>
    <w:rsid w:val="00044B1A"/>
    <w:rsid w:val="00047164"/>
    <w:rsid w:val="000635C7"/>
    <w:rsid w:val="00081735"/>
    <w:rsid w:val="000A3EC3"/>
    <w:rsid w:val="000A7627"/>
    <w:rsid w:val="000E77FF"/>
    <w:rsid w:val="001A5880"/>
    <w:rsid w:val="001C57CE"/>
    <w:rsid w:val="00214C63"/>
    <w:rsid w:val="00236FCE"/>
    <w:rsid w:val="00341FC9"/>
    <w:rsid w:val="00350828"/>
    <w:rsid w:val="00350D6B"/>
    <w:rsid w:val="00360D62"/>
    <w:rsid w:val="00384835"/>
    <w:rsid w:val="003B5947"/>
    <w:rsid w:val="003C5E9B"/>
    <w:rsid w:val="00440B6F"/>
    <w:rsid w:val="0045201A"/>
    <w:rsid w:val="00467CE3"/>
    <w:rsid w:val="00486D50"/>
    <w:rsid w:val="00541D77"/>
    <w:rsid w:val="00577A1B"/>
    <w:rsid w:val="005921B9"/>
    <w:rsid w:val="005B7A42"/>
    <w:rsid w:val="00622CA9"/>
    <w:rsid w:val="0063164E"/>
    <w:rsid w:val="00633012"/>
    <w:rsid w:val="00652516"/>
    <w:rsid w:val="00675065"/>
    <w:rsid w:val="006B293C"/>
    <w:rsid w:val="006E0411"/>
    <w:rsid w:val="006E3EFE"/>
    <w:rsid w:val="00751549"/>
    <w:rsid w:val="00763112"/>
    <w:rsid w:val="00773C12"/>
    <w:rsid w:val="00791096"/>
    <w:rsid w:val="007D51B0"/>
    <w:rsid w:val="0082480B"/>
    <w:rsid w:val="00833CB1"/>
    <w:rsid w:val="0083782E"/>
    <w:rsid w:val="0099213A"/>
    <w:rsid w:val="009B5D72"/>
    <w:rsid w:val="009F225D"/>
    <w:rsid w:val="00A015BE"/>
    <w:rsid w:val="00B435C5"/>
    <w:rsid w:val="00B4769F"/>
    <w:rsid w:val="00B54D17"/>
    <w:rsid w:val="00CA388F"/>
    <w:rsid w:val="00CC6DA1"/>
    <w:rsid w:val="00CE7CE6"/>
    <w:rsid w:val="00D52402"/>
    <w:rsid w:val="00D576BF"/>
    <w:rsid w:val="00DB3CC4"/>
    <w:rsid w:val="00EE001B"/>
    <w:rsid w:val="00EF7AB6"/>
    <w:rsid w:val="00F767D3"/>
    <w:rsid w:val="00F82F25"/>
    <w:rsid w:val="00F91243"/>
    <w:rsid w:val="00FB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008C5"/>
  <w15:chartTrackingRefBased/>
  <w15:docId w15:val="{09E8267E-26BC-477F-A3C7-AEE1D720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FCE"/>
    <w:pPr>
      <w:tabs>
        <w:tab w:val="center" w:pos="4252"/>
        <w:tab w:val="right" w:pos="8504"/>
      </w:tabs>
      <w:snapToGrid w:val="0"/>
    </w:pPr>
  </w:style>
  <w:style w:type="character" w:customStyle="1" w:styleId="HeaderChar">
    <w:name w:val="Header Char"/>
    <w:basedOn w:val="DefaultParagraphFont"/>
    <w:link w:val="Header"/>
    <w:uiPriority w:val="99"/>
    <w:rsid w:val="00236FCE"/>
  </w:style>
  <w:style w:type="paragraph" w:styleId="Footer">
    <w:name w:val="footer"/>
    <w:basedOn w:val="Normal"/>
    <w:link w:val="FooterChar"/>
    <w:uiPriority w:val="99"/>
    <w:unhideWhenUsed/>
    <w:rsid w:val="00236FCE"/>
    <w:pPr>
      <w:tabs>
        <w:tab w:val="center" w:pos="4252"/>
        <w:tab w:val="right" w:pos="8504"/>
      </w:tabs>
      <w:snapToGrid w:val="0"/>
    </w:pPr>
  </w:style>
  <w:style w:type="character" w:customStyle="1" w:styleId="FooterChar">
    <w:name w:val="Footer Char"/>
    <w:basedOn w:val="DefaultParagraphFont"/>
    <w:link w:val="Footer"/>
    <w:uiPriority w:val="99"/>
    <w:rsid w:val="0023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315">
      <w:bodyDiv w:val="1"/>
      <w:marLeft w:val="0"/>
      <w:marRight w:val="0"/>
      <w:marTop w:val="0"/>
      <w:marBottom w:val="0"/>
      <w:divBdr>
        <w:top w:val="none" w:sz="0" w:space="0" w:color="auto"/>
        <w:left w:val="none" w:sz="0" w:space="0" w:color="auto"/>
        <w:bottom w:val="none" w:sz="0" w:space="0" w:color="auto"/>
        <w:right w:val="none" w:sz="0" w:space="0" w:color="auto"/>
      </w:divBdr>
    </w:div>
    <w:div w:id="60906371">
      <w:bodyDiv w:val="1"/>
      <w:marLeft w:val="0"/>
      <w:marRight w:val="0"/>
      <w:marTop w:val="0"/>
      <w:marBottom w:val="0"/>
      <w:divBdr>
        <w:top w:val="none" w:sz="0" w:space="0" w:color="auto"/>
        <w:left w:val="none" w:sz="0" w:space="0" w:color="auto"/>
        <w:bottom w:val="none" w:sz="0" w:space="0" w:color="auto"/>
        <w:right w:val="none" w:sz="0" w:space="0" w:color="auto"/>
      </w:divBdr>
    </w:div>
    <w:div w:id="197623758">
      <w:bodyDiv w:val="1"/>
      <w:marLeft w:val="0"/>
      <w:marRight w:val="0"/>
      <w:marTop w:val="0"/>
      <w:marBottom w:val="0"/>
      <w:divBdr>
        <w:top w:val="none" w:sz="0" w:space="0" w:color="auto"/>
        <w:left w:val="none" w:sz="0" w:space="0" w:color="auto"/>
        <w:bottom w:val="none" w:sz="0" w:space="0" w:color="auto"/>
        <w:right w:val="none" w:sz="0" w:space="0" w:color="auto"/>
      </w:divBdr>
    </w:div>
    <w:div w:id="454760011">
      <w:bodyDiv w:val="1"/>
      <w:marLeft w:val="0"/>
      <w:marRight w:val="0"/>
      <w:marTop w:val="0"/>
      <w:marBottom w:val="0"/>
      <w:divBdr>
        <w:top w:val="none" w:sz="0" w:space="0" w:color="auto"/>
        <w:left w:val="none" w:sz="0" w:space="0" w:color="auto"/>
        <w:bottom w:val="none" w:sz="0" w:space="0" w:color="auto"/>
        <w:right w:val="none" w:sz="0" w:space="0" w:color="auto"/>
      </w:divBdr>
    </w:div>
    <w:div w:id="20803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68C3-54D8-4B32-9A82-D721E235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岳</dc:creator>
  <cp:keywords/>
  <dc:description/>
  <cp:lastModifiedBy>伊藤　岳</cp:lastModifiedBy>
  <cp:revision>6</cp:revision>
  <dcterms:created xsi:type="dcterms:W3CDTF">2021-04-20T03:41:00Z</dcterms:created>
  <dcterms:modified xsi:type="dcterms:W3CDTF">2021-05-15T06:34:00Z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http://www.zotero.org/styles/evolution</vt:lpwstr>
  </property>
  <property fmtid="{D5CDD505-2E9C-101B-9397-08002B2CF9AE}" pid="11" name="Mendeley Recent Style Name 4_1">
    <vt:lpwstr>Evolution</vt:lpwstr>
  </property>
  <property fmtid="{D5CDD505-2E9C-101B-9397-08002B2CF9AE}" pid="12" name="Mendeley Recent Style Id 5_1">
    <vt:lpwstr>http://www.zotero.org/styles/hydrobiologia</vt:lpwstr>
  </property>
  <property fmtid="{D5CDD505-2E9C-101B-9397-08002B2CF9AE}" pid="13" name="Mendeley Recent Style Name 5_1">
    <vt:lpwstr>Hydrobiologia</vt:lpwstr>
  </property>
  <property fmtid="{D5CDD505-2E9C-101B-9397-08002B2CF9AE}" pid="14" name="Mendeley Recent Style Id 6_1">
    <vt:lpwstr>http://www.zotero.org/styles/journal-of-fish-biology</vt:lpwstr>
  </property>
  <property fmtid="{D5CDD505-2E9C-101B-9397-08002B2CF9AE}" pid="15" name="Mendeley Recent Style Name 6_1">
    <vt:lpwstr>Journal of Fish Biology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