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lang w:val="en-US" w:eastAsia="zh-CN"/>
        </w:rPr>
        <w:t>S1.Baseline comparison of clinical characteristics in the testing set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92"/>
        <w:gridCol w:w="2164"/>
        <w:gridCol w:w="2109"/>
        <w:gridCol w:w="120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2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TimItalLieb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Characteristics</w:t>
            </w:r>
          </w:p>
        </w:tc>
        <w:tc>
          <w:tcPr>
            <w:tcW w:w="2164" w:type="dxa"/>
            <w:tcBorders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LR</w:t>
            </w:r>
          </w:p>
        </w:tc>
        <w:tc>
          <w:tcPr>
            <w:tcW w:w="2109" w:type="dxa"/>
            <w:tcBorders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Non-L</w:t>
            </w: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R</w:t>
            </w:r>
          </w:p>
        </w:tc>
        <w:tc>
          <w:tcPr>
            <w:tcW w:w="1209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TimRomLiebert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AdvTimItalLieb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-Value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2892" w:type="dxa"/>
            <w:tcBorders>
              <w:top w:val="single" w:color="auto" w:sz="4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Total,n (%)</w:t>
            </w:r>
          </w:p>
        </w:tc>
        <w:tc>
          <w:tcPr>
            <w:tcW w:w="2164" w:type="dxa"/>
            <w:tcBorders>
              <w:top w:val="single" w:color="auto" w:sz="4" w:space="0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536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(9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)</w:t>
            </w:r>
          </w:p>
        </w:tc>
        <w:tc>
          <w:tcPr>
            <w:tcW w:w="2109" w:type="dxa"/>
            <w:tcBorders>
              <w:top w:val="single" w:color="auto" w:sz="4" w:space="0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45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7.7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)</w:t>
            </w:r>
          </w:p>
        </w:tc>
        <w:tc>
          <w:tcPr>
            <w:tcW w:w="1209" w:type="dxa"/>
            <w:tcBorders>
              <w:top w:val="single" w:color="auto" w:sz="4" w:space="0"/>
            </w:tcBorders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2892" w:type="dxa"/>
            <w:vAlign w:val="top"/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t xml:space="preserve">Age 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,</w:t>
            </w:r>
            <w:r>
              <w:rPr>
                <w:rFonts w:hint="default" w:ascii="Times New Roman" w:hAnsi="Times New Roman" w:cs="Times New Roman"/>
              </w:rPr>
              <w:t>median [IQR]</w:t>
            </w:r>
          </w:p>
        </w:tc>
        <w:tc>
          <w:tcPr>
            <w:tcW w:w="2164" w:type="dxa"/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t>4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</w:rPr>
              <w:t>.00 [3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</w:rPr>
              <w:t>.00, 5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</w:rPr>
              <w:t>.00]</w:t>
            </w:r>
          </w:p>
        </w:tc>
        <w:tc>
          <w:tcPr>
            <w:tcW w:w="2109" w:type="dxa"/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40.00 [3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5.00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49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.00]</w:t>
            </w:r>
          </w:p>
        </w:tc>
        <w:tc>
          <w:tcPr>
            <w:tcW w:w="1209" w:type="dxa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 xml:space="preserve"> 0.0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2" w:type="dxa"/>
            <w:vAlign w:val="top"/>
          </w:tcPr>
          <w:p>
            <w:pPr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Gender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,n</w:t>
            </w:r>
            <w:r>
              <w:rPr>
                <w:rFonts w:hint="default" w:ascii="Times New Roman" w:hAnsi="Times New Roman" w:cs="Times New Roman"/>
              </w:rPr>
              <w:t xml:space="preserve"> (%)</w:t>
            </w:r>
          </w:p>
          <w:p>
            <w:pPr>
              <w:ind w:firstLine="420" w:firstLineChars="200"/>
              <w:jc w:val="both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Male</w:t>
            </w:r>
          </w:p>
          <w:p>
            <w:pPr>
              <w:ind w:firstLine="420" w:firstLineChars="200"/>
              <w:jc w:val="both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Female</w:t>
            </w:r>
          </w:p>
        </w:tc>
        <w:tc>
          <w:tcPr>
            <w:tcW w:w="2164" w:type="dxa"/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84 (15.7)</w:t>
            </w:r>
            <w:r>
              <w:rPr>
                <w:rFonts w:hint="default" w:ascii="Times New Roman" w:hAnsi="Times New Roman" w:cs="Times New Roman"/>
              </w:rPr>
              <w:t xml:space="preserve"> </w:t>
            </w:r>
          </w:p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452 (84.3)</w:t>
            </w:r>
            <w:r>
              <w:rPr>
                <w:rFonts w:hint="default" w:ascii="Times New Roman" w:hAnsi="Times New Roman" w:cs="Times New Roman"/>
              </w:rPr>
              <w:t xml:space="preserve">                     </w:t>
            </w:r>
          </w:p>
        </w:tc>
        <w:tc>
          <w:tcPr>
            <w:tcW w:w="2109" w:type="dxa"/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25 ( 55.6)</w:t>
            </w:r>
          </w:p>
          <w:p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t xml:space="preserve">20 ( 44.4) </w:t>
            </w:r>
          </w:p>
        </w:tc>
        <w:tc>
          <w:tcPr>
            <w:tcW w:w="1209" w:type="dxa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2" w:type="dxa"/>
            <w:vAlign w:val="top"/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t xml:space="preserve">LTD 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,</w:t>
            </w:r>
            <w:r>
              <w:rPr>
                <w:rFonts w:hint="default" w:ascii="Times New Roman" w:hAnsi="Times New Roman" w:cs="Times New Roman"/>
              </w:rPr>
              <w:t>median [IQR]</w:t>
            </w:r>
          </w:p>
        </w:tc>
        <w:tc>
          <w:tcPr>
            <w:tcW w:w="2164" w:type="dxa"/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t xml:space="preserve">0.50 [0.30, 0.70]      </w:t>
            </w:r>
          </w:p>
        </w:tc>
        <w:tc>
          <w:tcPr>
            <w:tcW w:w="2109" w:type="dxa"/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t xml:space="preserve">0.70 [0.60, 0.90] </w:t>
            </w:r>
          </w:p>
        </w:tc>
        <w:tc>
          <w:tcPr>
            <w:tcW w:w="1209" w:type="dxa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2" w:type="dxa"/>
            <w:vAlign w:val="top"/>
          </w:tcPr>
          <w:p>
            <w:pPr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Position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,n</w:t>
            </w:r>
            <w:r>
              <w:rPr>
                <w:rFonts w:hint="default" w:ascii="Times New Roman" w:hAnsi="Times New Roman" w:cs="Times New Roman"/>
              </w:rPr>
              <w:t xml:space="preserve"> (%)</w:t>
            </w:r>
          </w:p>
          <w:p>
            <w:pPr>
              <w:ind w:firstLine="420" w:firstLineChars="200"/>
              <w:jc w:val="both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Upper</w:t>
            </w:r>
          </w:p>
          <w:p>
            <w:pPr>
              <w:ind w:firstLine="420" w:firstLineChars="200"/>
              <w:jc w:val="both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Middle</w:t>
            </w:r>
          </w:p>
          <w:p>
            <w:pPr>
              <w:ind w:firstLine="420" w:firstLineChars="200"/>
              <w:jc w:val="both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Lower</w:t>
            </w:r>
          </w:p>
          <w:p>
            <w:pPr>
              <w:ind w:firstLine="420" w:firstLineChars="200"/>
              <w:jc w:val="both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Isthmus</w:t>
            </w:r>
          </w:p>
          <w:p>
            <w:pPr>
              <w:ind w:firstLine="420" w:firstLineChars="200"/>
              <w:jc w:val="both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Both</w:t>
            </w:r>
          </w:p>
        </w:tc>
        <w:tc>
          <w:tcPr>
            <w:tcW w:w="2164" w:type="dxa"/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122(22.8)                                              119(22.2)                                                173(32.3)                                                21 ( 3.9)  </w:t>
            </w:r>
          </w:p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t xml:space="preserve">101 (18.8)            </w:t>
            </w:r>
          </w:p>
        </w:tc>
        <w:tc>
          <w:tcPr>
            <w:tcW w:w="2109" w:type="dxa"/>
          </w:tcPr>
          <w:p>
            <w:pPr>
              <w:rPr>
                <w:rFonts w:hint="default" w:ascii="Times New Roman" w:hAnsi="Times New Roman" w:cs="Times New Roman"/>
              </w:rPr>
            </w:pPr>
          </w:p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eastAsia"/>
              </w:rPr>
              <w:t>11 ( 24.4)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4 ( 8.9)</w:t>
            </w:r>
          </w:p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14 ( 31.1)</w:t>
            </w:r>
          </w:p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4 (  8.9) </w:t>
            </w:r>
          </w:p>
          <w:p>
            <w:pPr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12 ( 26.7)</w:t>
            </w:r>
          </w:p>
        </w:tc>
        <w:tc>
          <w:tcPr>
            <w:tcW w:w="1209" w:type="dxa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0.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124</w:t>
            </w:r>
          </w:p>
          <w:p>
            <w:pP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2" w:type="dxa"/>
            <w:vAlign w:val="top"/>
          </w:tcPr>
          <w:p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Hypoechoic,n</w:t>
            </w:r>
            <w:r>
              <w:rPr>
                <w:rFonts w:hint="default" w:ascii="Times New Roman" w:hAnsi="Times New Roman" w:cs="Times New Roman"/>
              </w:rPr>
              <w:t xml:space="preserve"> (%)</w:t>
            </w:r>
          </w:p>
          <w:p>
            <w:pPr>
              <w:ind w:firstLine="420" w:firstLineChars="200"/>
              <w:jc w:val="both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Yes</w:t>
            </w:r>
          </w:p>
          <w:p>
            <w:pPr>
              <w:ind w:firstLine="420" w:firstLineChars="200"/>
              <w:jc w:val="both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No</w:t>
            </w:r>
          </w:p>
        </w:tc>
        <w:tc>
          <w:tcPr>
            <w:tcW w:w="2164" w:type="dxa"/>
          </w:tcPr>
          <w:p>
            <w:pPr>
              <w:rPr>
                <w:rFonts w:hint="default" w:ascii="Times New Roman" w:hAnsi="Times New Roman" w:cs="Times New Roman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527 (98.3)</w:t>
            </w:r>
            <w:r>
              <w:rPr>
                <w:rFonts w:hint="default" w:ascii="Times New Roman" w:hAnsi="Times New Roman" w:cs="Times New Roman"/>
              </w:rPr>
              <w:t xml:space="preserve">                                         9 ( 1.7)           </w:t>
            </w:r>
          </w:p>
        </w:tc>
        <w:tc>
          <w:tcPr>
            <w:tcW w:w="2109" w:type="dxa"/>
          </w:tcPr>
          <w:p>
            <w:pPr>
              <w:rPr>
                <w:rFonts w:hint="default" w:ascii="Times New Roman" w:hAnsi="Times New Roman" w:cs="Times New Roman"/>
              </w:rPr>
            </w:pPr>
          </w:p>
          <w:p>
            <w:pPr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45 (100.0)</w:t>
            </w:r>
          </w:p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0 (  0.0)</w:t>
            </w:r>
          </w:p>
        </w:tc>
        <w:tc>
          <w:tcPr>
            <w:tcW w:w="1209" w:type="dxa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0.804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2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Boundary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,n</w:t>
            </w:r>
            <w:r>
              <w:rPr>
                <w:rFonts w:hint="default" w:ascii="Times New Roman" w:hAnsi="Times New Roman" w:cs="Times New Roman"/>
              </w:rPr>
              <w:t xml:space="preserve"> (%) </w:t>
            </w:r>
          </w:p>
          <w:p>
            <w:pPr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N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on-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clear</w:t>
            </w:r>
          </w:p>
          <w:p>
            <w:pPr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  Clear</w:t>
            </w:r>
          </w:p>
        </w:tc>
        <w:tc>
          <w:tcPr>
            <w:tcW w:w="2164" w:type="dxa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508 (94.8)</w:t>
            </w:r>
            <w:r>
              <w:rPr>
                <w:rFonts w:hint="default" w:ascii="Times New Roman" w:hAnsi="Times New Roman" w:cs="Times New Roman"/>
              </w:rPr>
              <w:t xml:space="preserve">                                           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28 ( 5.2)</w:t>
            </w:r>
            <w:r>
              <w:rPr>
                <w:rFonts w:hint="default" w:ascii="Times New Roman" w:hAnsi="Times New Roman" w:cs="Times New Roman"/>
              </w:rPr>
              <w:t xml:space="preserve">            </w:t>
            </w:r>
          </w:p>
        </w:tc>
        <w:tc>
          <w:tcPr>
            <w:tcW w:w="2109" w:type="dxa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43 ( 95.6)</w:t>
            </w: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t xml:space="preserve">2 ( 4.4) </w:t>
            </w:r>
          </w:p>
        </w:tc>
        <w:tc>
          <w:tcPr>
            <w:tcW w:w="1209" w:type="dxa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2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Shape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,n</w:t>
            </w:r>
            <w:r>
              <w:rPr>
                <w:rFonts w:hint="default" w:ascii="Times New Roman" w:hAnsi="Times New Roman" w:cs="Times New Roman"/>
              </w:rPr>
              <w:t xml:space="preserve"> (%)</w:t>
            </w:r>
          </w:p>
          <w:p>
            <w:pPr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  Not regular</w:t>
            </w:r>
          </w:p>
          <w:p>
            <w:pPr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  Regular</w:t>
            </w:r>
          </w:p>
        </w:tc>
        <w:tc>
          <w:tcPr>
            <w:tcW w:w="2164" w:type="dxa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499 (93.1) </w:t>
            </w: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t xml:space="preserve">37 ( 6.9)                                                 </w:t>
            </w:r>
          </w:p>
        </w:tc>
        <w:tc>
          <w:tcPr>
            <w:tcW w:w="2109" w:type="dxa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43 ( 95.6)</w:t>
            </w: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3 ( 6.7)</w:t>
            </w:r>
          </w:p>
        </w:tc>
        <w:tc>
          <w:tcPr>
            <w:tcW w:w="1209" w:type="dxa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2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AT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,n</w:t>
            </w:r>
            <w:r>
              <w:rPr>
                <w:rFonts w:hint="default" w:ascii="Times New Roman" w:hAnsi="Times New Roman" w:cs="Times New Roman"/>
              </w:rPr>
              <w:t xml:space="preserve"> (%)</w:t>
            </w:r>
          </w:p>
          <w:p>
            <w:pPr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  ≤1</w:t>
            </w:r>
          </w:p>
          <w:p>
            <w:pPr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  ＞1</w:t>
            </w:r>
          </w:p>
        </w:tc>
        <w:tc>
          <w:tcPr>
            <w:tcW w:w="2164" w:type="dxa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t xml:space="preserve">184 (34.3)                                            352 (65.7)            </w:t>
            </w:r>
          </w:p>
        </w:tc>
        <w:tc>
          <w:tcPr>
            <w:tcW w:w="2109" w:type="dxa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20 ( 44.4)</w:t>
            </w: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25 ( 55.6)</w:t>
            </w:r>
          </w:p>
        </w:tc>
        <w:tc>
          <w:tcPr>
            <w:tcW w:w="1209" w:type="dxa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0.229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2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Calcification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,n</w:t>
            </w:r>
            <w:r>
              <w:rPr>
                <w:rFonts w:hint="default" w:ascii="Times New Roman" w:hAnsi="Times New Roman" w:cs="Times New Roman"/>
              </w:rPr>
              <w:t xml:space="preserve"> (%)</w:t>
            </w:r>
          </w:p>
          <w:p>
            <w:pPr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  No</w:t>
            </w:r>
          </w:p>
          <w:p>
            <w:pPr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  Micro</w:t>
            </w:r>
          </w:p>
          <w:p>
            <w:pPr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Rough</w:t>
            </w:r>
          </w:p>
          <w:p>
            <w:pPr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  Both</w:t>
            </w:r>
          </w:p>
        </w:tc>
        <w:tc>
          <w:tcPr>
            <w:tcW w:w="2164" w:type="dxa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288 (53.7)</w:t>
            </w:r>
            <w:r>
              <w:rPr>
                <w:rFonts w:hint="default" w:ascii="Times New Roman" w:hAnsi="Times New Roman" w:cs="Times New Roman"/>
              </w:rPr>
              <w:t xml:space="preserve">                                           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212 (39.6)</w:t>
            </w:r>
            <w:r>
              <w:rPr>
                <w:rFonts w:hint="default" w:ascii="Times New Roman" w:hAnsi="Times New Roman" w:cs="Times New Roman"/>
              </w:rPr>
              <w:t xml:space="preserve">                                                                                                   29 ( 5.4) </w:t>
            </w: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t xml:space="preserve">7 ( 1.3)                    </w:t>
            </w:r>
          </w:p>
        </w:tc>
        <w:tc>
          <w:tcPr>
            <w:tcW w:w="2109" w:type="dxa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15 ( 33.3)</w:t>
            </w:r>
          </w:p>
          <w:p>
            <w:pPr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27 ( 60.0)</w:t>
            </w:r>
          </w:p>
          <w:p>
            <w:pPr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 ( 2.2)</w:t>
            </w:r>
            <w:r>
              <w:rPr>
                <w:rFonts w:hint="default" w:ascii="Times New Roman" w:hAnsi="Times New Roman" w:cs="Times New Roman"/>
              </w:rPr>
              <w:t xml:space="preserve"> </w:t>
            </w: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 ( 4.4)</w:t>
            </w:r>
            <w:r>
              <w:rPr>
                <w:rFonts w:hint="default" w:ascii="Times New Roman" w:hAnsi="Times New Roman" w:cs="Times New Roman"/>
              </w:rPr>
              <w:t xml:space="preserve"> </w:t>
            </w:r>
          </w:p>
        </w:tc>
        <w:tc>
          <w:tcPr>
            <w:tcW w:w="1209" w:type="dxa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0.012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2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CDFI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,n</w:t>
            </w:r>
            <w:r>
              <w:rPr>
                <w:rFonts w:hint="default" w:ascii="Times New Roman" w:hAnsi="Times New Roman" w:cs="Times New Roman"/>
              </w:rPr>
              <w:t xml:space="preserve"> (%)</w:t>
            </w:r>
          </w:p>
          <w:p>
            <w:pPr>
              <w:ind w:firstLine="420" w:firstLineChars="200"/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Avascularity</w:t>
            </w:r>
          </w:p>
          <w:p>
            <w:pPr>
              <w:ind w:firstLine="420" w:firstLineChars="200"/>
              <w:jc w:val="left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Limited vascularity</w:t>
            </w:r>
          </w:p>
          <w:p>
            <w:pPr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  S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trip-like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vascularity</w:t>
            </w:r>
          </w:p>
          <w:p>
            <w:pPr>
              <w:ind w:firstLine="420" w:firstLineChars="200"/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bundant vascularity</w:t>
            </w:r>
          </w:p>
        </w:tc>
        <w:tc>
          <w:tcPr>
            <w:tcW w:w="2164" w:type="dxa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645 (51.1)</w:t>
            </w:r>
            <w:r>
              <w:rPr>
                <w:rFonts w:hint="default" w:ascii="Times New Roman" w:hAnsi="Times New Roman" w:cs="Times New Roman"/>
              </w:rPr>
              <w:t xml:space="preserve">                                           179 (33.4)                                               91 (17.0)  </w:t>
            </w:r>
          </w:p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t xml:space="preserve">3 ( 0.6)                </w:t>
            </w:r>
          </w:p>
        </w:tc>
        <w:tc>
          <w:tcPr>
            <w:tcW w:w="2109" w:type="dxa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12 ( 26.7)</w:t>
            </w:r>
          </w:p>
          <w:p>
            <w:pPr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19 ( 42.2) </w:t>
            </w:r>
          </w:p>
          <w:p>
            <w:pPr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14 ( 31.1)</w:t>
            </w:r>
            <w:r>
              <w:rPr>
                <w:rFonts w:hint="default" w:ascii="Times New Roman" w:hAnsi="Times New Roman" w:cs="Times New Roman"/>
              </w:rPr>
              <w:t xml:space="preserve"> </w:t>
            </w:r>
          </w:p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 ( 0.0)</w:t>
            </w:r>
          </w:p>
        </w:tc>
        <w:tc>
          <w:tcPr>
            <w:tcW w:w="1209" w:type="dxa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0.017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2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Multifocality,n (%)</w:t>
            </w:r>
          </w:p>
          <w:p>
            <w:pPr>
              <w:ind w:firstLine="420" w:firstLineChars="200"/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One</w:t>
            </w:r>
          </w:p>
          <w:p>
            <w:pPr>
              <w:ind w:firstLine="420" w:firstLineChars="200"/>
              <w:jc w:val="left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Two</w:t>
            </w:r>
          </w:p>
          <w:p>
            <w:pPr>
              <w:ind w:firstLine="420" w:firstLineChars="200"/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More than two</w:t>
            </w:r>
          </w:p>
        </w:tc>
        <w:tc>
          <w:tcPr>
            <w:tcW w:w="2164" w:type="dxa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eastAsia"/>
              </w:rPr>
              <w:t>356 (66.4)</w:t>
            </w:r>
            <w:r>
              <w:rPr>
                <w:rFonts w:hint="default" w:ascii="Times New Roman" w:hAnsi="Times New Roman" w:cs="Times New Roman"/>
              </w:rPr>
              <w:t xml:space="preserve">                                           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114 (21.3)</w:t>
            </w:r>
            <w:r>
              <w:rPr>
                <w:rFonts w:hint="default" w:ascii="Times New Roman" w:hAnsi="Times New Roman" w:cs="Times New Roman"/>
              </w:rPr>
              <w:t xml:space="preserve">  </w:t>
            </w: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t xml:space="preserve">66 (12.3)                                                          </w:t>
            </w:r>
          </w:p>
        </w:tc>
        <w:tc>
          <w:tcPr>
            <w:tcW w:w="2109" w:type="dxa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30 ( 66.7)</w:t>
            </w:r>
          </w:p>
          <w:p>
            <w:pPr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10 ( 22.2)</w:t>
            </w:r>
          </w:p>
          <w:p>
            <w:pPr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5 ( 11.1)</w:t>
            </w:r>
          </w:p>
        </w:tc>
        <w:tc>
          <w:tcPr>
            <w:tcW w:w="1209" w:type="dxa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0.967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2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Bilateral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,n</w:t>
            </w:r>
            <w:r>
              <w:rPr>
                <w:rFonts w:hint="default" w:ascii="Times New Roman" w:hAnsi="Times New Roman" w:cs="Times New Roman"/>
              </w:rPr>
              <w:t xml:space="preserve"> (%)</w:t>
            </w:r>
          </w:p>
          <w:p>
            <w:pPr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No</w:t>
            </w:r>
          </w:p>
          <w:p>
            <w:pPr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Yes</w:t>
            </w:r>
          </w:p>
        </w:tc>
        <w:tc>
          <w:tcPr>
            <w:tcW w:w="2164" w:type="dxa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386 (72.0)</w:t>
            </w:r>
            <w:r>
              <w:rPr>
                <w:rFonts w:hint="default" w:ascii="Times New Roman" w:hAnsi="Times New Roman" w:cs="Times New Roman"/>
              </w:rPr>
              <w:t xml:space="preserve">                                         150 (28.0)                      </w:t>
            </w:r>
          </w:p>
        </w:tc>
        <w:tc>
          <w:tcPr>
            <w:tcW w:w="2109" w:type="dxa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29 ( 64.4)</w:t>
            </w:r>
            <w:r>
              <w:rPr>
                <w:rFonts w:hint="default" w:ascii="Times New Roman" w:hAnsi="Times New Roman" w:cs="Times New Roman"/>
              </w:rPr>
              <w:t xml:space="preserve"> </w:t>
            </w: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16 ( 35.6)</w:t>
            </w:r>
          </w:p>
        </w:tc>
        <w:tc>
          <w:tcPr>
            <w:tcW w:w="1209" w:type="dxa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 xml:space="preserve">0.364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2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HT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,n</w:t>
            </w:r>
            <w:r>
              <w:rPr>
                <w:rFonts w:hint="default" w:ascii="Times New Roman" w:hAnsi="Times New Roman" w:cs="Times New Roman"/>
              </w:rPr>
              <w:t xml:space="preserve"> (%)</w:t>
            </w:r>
          </w:p>
          <w:p>
            <w:pPr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No</w:t>
            </w:r>
          </w:p>
          <w:p>
            <w:pPr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Yes</w:t>
            </w:r>
          </w:p>
        </w:tc>
        <w:tc>
          <w:tcPr>
            <w:tcW w:w="2164" w:type="dxa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t xml:space="preserve">376 (70.1)                                          160 (29.9)                  </w:t>
            </w:r>
          </w:p>
        </w:tc>
        <w:tc>
          <w:tcPr>
            <w:tcW w:w="2109" w:type="dxa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33 ( 73.3)</w:t>
            </w: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t xml:space="preserve">12 ( 26.7) </w:t>
            </w:r>
          </w:p>
        </w:tc>
        <w:tc>
          <w:tcPr>
            <w:tcW w:w="1209" w:type="dxa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0.780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2" w:type="dxa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TSH,n(%)</w:t>
            </w:r>
          </w:p>
          <w:p>
            <w:pPr>
              <w:ind w:firstLine="420" w:firstLineChars="200"/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＞1.222</w:t>
            </w:r>
          </w:p>
          <w:p>
            <w:pPr>
              <w:ind w:firstLine="420" w:firstLineChars="200"/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≤1.222</w:t>
            </w:r>
          </w:p>
        </w:tc>
        <w:tc>
          <w:tcPr>
            <w:tcW w:w="2164" w:type="dxa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386 (72.0)</w:t>
            </w:r>
          </w:p>
          <w:p>
            <w:pPr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150 (28.0)</w:t>
            </w:r>
          </w:p>
        </w:tc>
        <w:tc>
          <w:tcPr>
            <w:tcW w:w="2109" w:type="dxa"/>
          </w:tcPr>
          <w:p>
            <w:pPr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</w:p>
          <w:p>
            <w:pPr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27 ( 60.0)</w:t>
            </w:r>
          </w:p>
          <w:p>
            <w:pPr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18 ( 40.0)</w:t>
            </w:r>
          </w:p>
        </w:tc>
        <w:tc>
          <w:tcPr>
            <w:tcW w:w="1209" w:type="dxa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highlight w:val="none"/>
                <w:lang w:val="en-US" w:eastAsia="zh-CN"/>
              </w:rPr>
              <w:t>0.124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2" w:type="dxa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ALC,n(%)</w:t>
            </w:r>
          </w:p>
          <w:p>
            <w:pPr>
              <w:ind w:firstLine="420" w:firstLineChars="200"/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≤1.96</w:t>
            </w:r>
          </w:p>
          <w:p>
            <w:pPr>
              <w:ind w:firstLine="420" w:firstLineChars="200"/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＞1.96</w:t>
            </w:r>
          </w:p>
        </w:tc>
        <w:tc>
          <w:tcPr>
            <w:tcW w:w="2164" w:type="dxa"/>
          </w:tcPr>
          <w:p>
            <w:pPr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313 (58.4)</w:t>
            </w:r>
          </w:p>
          <w:p>
            <w:pPr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223 (41.6)</w:t>
            </w:r>
          </w:p>
        </w:tc>
        <w:tc>
          <w:tcPr>
            <w:tcW w:w="2109" w:type="dxa"/>
          </w:tcPr>
          <w:p>
            <w:pPr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</w:p>
          <w:p>
            <w:pPr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22 ( 48.9)</w:t>
            </w:r>
          </w:p>
          <w:p>
            <w:pPr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23 ( 51.1)</w:t>
            </w:r>
          </w:p>
        </w:tc>
        <w:tc>
          <w:tcPr>
            <w:tcW w:w="1209" w:type="dxa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highlight w:val="none"/>
                <w:lang w:val="en-US" w:eastAsia="zh-CN"/>
              </w:rPr>
              <w:t>0.279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2" w:type="dxa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NLR,n(%)</w:t>
            </w:r>
          </w:p>
          <w:p>
            <w:pPr>
              <w:ind w:firstLine="420" w:firstLineChars="200"/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≤1.2154</w:t>
            </w:r>
          </w:p>
          <w:p>
            <w:pPr>
              <w:ind w:firstLine="420" w:firstLineChars="200"/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＞1.2154</w:t>
            </w:r>
          </w:p>
        </w:tc>
        <w:tc>
          <w:tcPr>
            <w:tcW w:w="2164" w:type="dxa"/>
          </w:tcPr>
          <w:p>
            <w:pPr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67 (12.5)</w:t>
            </w:r>
          </w:p>
          <w:p>
            <w:pPr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469 (87.5)</w:t>
            </w:r>
          </w:p>
        </w:tc>
        <w:tc>
          <w:tcPr>
            <w:tcW w:w="2109" w:type="dxa"/>
          </w:tcPr>
          <w:p>
            <w:pPr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</w:p>
          <w:p>
            <w:pPr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 (  2.2)</w:t>
            </w:r>
          </w:p>
          <w:p>
            <w:pPr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44 ( 97.8)</w:t>
            </w:r>
          </w:p>
        </w:tc>
        <w:tc>
          <w:tcPr>
            <w:tcW w:w="1209" w:type="dxa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highlight w:val="none"/>
                <w:lang w:val="en-US" w:eastAsia="zh-CN"/>
              </w:rPr>
              <w:t>0.069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2" w:type="dxa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PLR,n(%)</w:t>
            </w:r>
          </w:p>
          <w:p>
            <w:pPr>
              <w:ind w:firstLine="420" w:firstLineChars="200"/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＞138.5057</w:t>
            </w:r>
          </w:p>
          <w:p>
            <w:pPr>
              <w:ind w:firstLine="420" w:firstLineChars="200"/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≤138.5057</w:t>
            </w:r>
          </w:p>
        </w:tc>
        <w:tc>
          <w:tcPr>
            <w:tcW w:w="2164" w:type="dxa"/>
          </w:tcPr>
          <w:p>
            <w:pPr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243 (45.3)</w:t>
            </w:r>
          </w:p>
          <w:p>
            <w:pPr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293 (54.7)</w:t>
            </w:r>
          </w:p>
        </w:tc>
        <w:tc>
          <w:tcPr>
            <w:tcW w:w="2109" w:type="dxa"/>
          </w:tcPr>
          <w:p>
            <w:pPr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</w:p>
          <w:p>
            <w:pPr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15 ( 33.3)</w:t>
            </w:r>
          </w:p>
          <w:p>
            <w:pPr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30 ( 66.7)</w:t>
            </w:r>
          </w:p>
        </w:tc>
        <w:tc>
          <w:tcPr>
            <w:tcW w:w="1209" w:type="dxa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0.161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2" w:type="dxa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LMR，n(%)</w:t>
            </w:r>
          </w:p>
          <w:p>
            <w:pPr>
              <w:ind w:firstLine="420" w:firstLineChars="200"/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＞4.9556</w:t>
            </w:r>
          </w:p>
          <w:p>
            <w:pPr>
              <w:ind w:firstLine="420" w:firstLineChars="200"/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≤4.9556</w:t>
            </w:r>
          </w:p>
        </w:tc>
        <w:tc>
          <w:tcPr>
            <w:tcW w:w="2164" w:type="dxa"/>
          </w:tcPr>
          <w:p>
            <w:pPr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249 (46.5)</w:t>
            </w:r>
          </w:p>
          <w:p>
            <w:pPr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287 (53.5)</w:t>
            </w:r>
          </w:p>
        </w:tc>
        <w:tc>
          <w:tcPr>
            <w:tcW w:w="2109" w:type="dxa"/>
          </w:tcPr>
          <w:p>
            <w:pPr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16 ( 35.6)</w:t>
            </w:r>
          </w:p>
          <w:p>
            <w:pPr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29 ( 64.4)</w:t>
            </w:r>
          </w:p>
        </w:tc>
        <w:tc>
          <w:tcPr>
            <w:tcW w:w="1209" w:type="dxa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0.210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2" w:type="dxa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FT3,n（%）</w:t>
            </w:r>
          </w:p>
          <w:p>
            <w:pPr>
              <w:ind w:firstLine="420" w:firstLineChars="200"/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≤4.39</w:t>
            </w:r>
          </w:p>
          <w:p>
            <w:pPr>
              <w:ind w:firstLine="420" w:firstLineChars="200"/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＞4.39</w:t>
            </w:r>
          </w:p>
        </w:tc>
        <w:tc>
          <w:tcPr>
            <w:tcW w:w="2164" w:type="dxa"/>
          </w:tcPr>
          <w:p>
            <w:pPr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292 (54.5)</w:t>
            </w:r>
          </w:p>
          <w:p>
            <w:pPr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244 (45.5)</w:t>
            </w:r>
          </w:p>
        </w:tc>
        <w:tc>
          <w:tcPr>
            <w:tcW w:w="2109" w:type="dxa"/>
          </w:tcPr>
          <w:p>
            <w:pPr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</w:p>
          <w:p>
            <w:pPr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17 ( 37.8) </w:t>
            </w:r>
          </w:p>
          <w:p>
            <w:pPr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28 ( 62.2)</w:t>
            </w:r>
          </w:p>
        </w:tc>
        <w:tc>
          <w:tcPr>
            <w:tcW w:w="1209" w:type="dxa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 xml:space="preserve">0.045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2" w:type="dxa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FT4</w:t>
            </w:r>
          </w:p>
          <w:p>
            <w:pPr>
              <w:ind w:firstLine="420" w:firstLineChars="200"/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≤13.34</w:t>
            </w:r>
          </w:p>
          <w:p>
            <w:pPr>
              <w:ind w:firstLine="420" w:firstLineChars="200"/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＞13.34</w:t>
            </w:r>
          </w:p>
        </w:tc>
        <w:tc>
          <w:tcPr>
            <w:tcW w:w="2164" w:type="dxa"/>
          </w:tcPr>
          <w:p>
            <w:pPr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</w:p>
          <w:p>
            <w:pPr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368 (68.7)</w:t>
            </w:r>
          </w:p>
          <w:p>
            <w:pPr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168 (31.3)</w:t>
            </w:r>
          </w:p>
        </w:tc>
        <w:tc>
          <w:tcPr>
            <w:tcW w:w="2109" w:type="dxa"/>
          </w:tcPr>
          <w:p>
            <w:pPr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</w:p>
          <w:p>
            <w:pPr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27 ( 60.0)</w:t>
            </w:r>
          </w:p>
          <w:p>
            <w:pPr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18 ( 40.0)</w:t>
            </w:r>
          </w:p>
        </w:tc>
        <w:tc>
          <w:tcPr>
            <w:tcW w:w="1209" w:type="dxa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0.303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2" w:type="dxa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TGAb,n(%)</w:t>
            </w:r>
          </w:p>
          <w:p>
            <w:pPr>
              <w:ind w:firstLine="420" w:firstLineChars="200"/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＞1.64</w:t>
            </w:r>
          </w:p>
          <w:p>
            <w:pPr>
              <w:ind w:firstLine="420" w:firstLineChars="200"/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≤1.64</w:t>
            </w:r>
          </w:p>
        </w:tc>
        <w:tc>
          <w:tcPr>
            <w:tcW w:w="2164" w:type="dxa"/>
          </w:tcPr>
          <w:p>
            <w:pPr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</w:p>
          <w:p>
            <w:pPr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320 (59.7)</w:t>
            </w:r>
          </w:p>
          <w:p>
            <w:pPr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216 (40.3)</w:t>
            </w:r>
          </w:p>
        </w:tc>
        <w:tc>
          <w:tcPr>
            <w:tcW w:w="2109" w:type="dxa"/>
          </w:tcPr>
          <w:p>
            <w:pPr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</w:p>
          <w:p>
            <w:pPr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15 ( 33.3)</w:t>
            </w:r>
          </w:p>
          <w:p>
            <w:pPr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30 ( 66.7)</w:t>
            </w:r>
          </w:p>
        </w:tc>
        <w:tc>
          <w:tcPr>
            <w:tcW w:w="1209" w:type="dxa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2" w:type="dxa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TPOAb，n(%)</w:t>
            </w:r>
          </w:p>
          <w:p>
            <w:pPr>
              <w:ind w:firstLine="420" w:firstLineChars="200"/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＞1.06</w:t>
            </w:r>
          </w:p>
          <w:p>
            <w:pPr>
              <w:ind w:firstLine="420" w:firstLineChars="200"/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≤1.06</w:t>
            </w:r>
          </w:p>
        </w:tc>
        <w:tc>
          <w:tcPr>
            <w:tcW w:w="2164" w:type="dxa"/>
          </w:tcPr>
          <w:p>
            <w:pPr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>
            <w:pPr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326 (60.8)</w:t>
            </w:r>
          </w:p>
          <w:p>
            <w:pPr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210 (39.2)</w:t>
            </w:r>
          </w:p>
        </w:tc>
        <w:tc>
          <w:tcPr>
            <w:tcW w:w="2109" w:type="dxa"/>
          </w:tcPr>
          <w:p>
            <w:pPr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</w:p>
          <w:p>
            <w:pPr>
              <w:jc w:val="left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14 ( 31.1)</w:t>
            </w:r>
          </w:p>
          <w:p>
            <w:pPr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31 ( 68.9)</w:t>
            </w:r>
          </w:p>
        </w:tc>
        <w:tc>
          <w:tcPr>
            <w:tcW w:w="1209" w:type="dxa"/>
          </w:tcPr>
          <w:p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&lt;0.001</w:t>
            </w:r>
          </w:p>
        </w:tc>
      </w:tr>
    </w:tbl>
    <w:p>
      <w:pPr>
        <w:jc w:val="left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LR:low-risk</w:t>
      </w:r>
      <w:r>
        <w:rPr>
          <w:rFonts w:hint="eastAsia" w:ascii="Times New Roman" w:hAnsi="Times New Roman" w:cs="Times New Roman"/>
          <w:lang w:val="en-US" w:eastAsia="zh-CN"/>
        </w:rPr>
        <w:t xml:space="preserve">; Non-LR:non low-risk; </w:t>
      </w:r>
      <w:r>
        <w:rPr>
          <w:rFonts w:hint="default" w:ascii="Times New Roman" w:hAnsi="Times New Roman" w:cs="Times New Roman"/>
          <w:lang w:val="en-US" w:eastAsia="zh-CN"/>
        </w:rPr>
        <w:t>LTD</w:t>
      </w:r>
      <w:r>
        <w:rPr>
          <w:rFonts w:hint="eastAsia" w:ascii="Times New Roman" w:hAnsi="Times New Roman" w:cs="Times New Roman"/>
          <w:lang w:val="en-US" w:eastAsia="zh-CN"/>
        </w:rPr>
        <w:t>:</w:t>
      </w:r>
      <w:r>
        <w:rPr>
          <w:rFonts w:hint="default" w:ascii="Times New Roman" w:hAnsi="Times New Roman" w:cs="Times New Roman"/>
          <w:lang w:val="en-US" w:eastAsia="zh-CN"/>
        </w:rPr>
        <w:t>largest tumor diameter</w:t>
      </w:r>
      <w:r>
        <w:rPr>
          <w:rFonts w:hint="eastAsia" w:ascii="Times New Roman" w:hAnsi="Times New Roman" w:cs="Times New Roman"/>
          <w:lang w:val="en-US" w:eastAsia="zh-CN"/>
        </w:rPr>
        <w:t>; A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T:</w:t>
      </w:r>
      <w:r>
        <w:rPr>
          <w:rFonts w:hint="default" w:ascii="Times New Roman" w:hAnsi="Times New Roman" w:cs="Times New Roman"/>
          <w:color w:val="auto"/>
          <w:sz w:val="21"/>
          <w:szCs w:val="21"/>
          <w:highlight w:val="none"/>
          <w:u w:val="none"/>
        </w:rPr>
        <w:t>aspect ratio</w:t>
      </w:r>
      <w:r>
        <w:rPr>
          <w:rFonts w:hint="eastAsia" w:ascii="Times New Roman" w:hAnsi="Times New Roman" w:cs="Times New Roman"/>
          <w:color w:val="auto"/>
          <w:sz w:val="21"/>
          <w:szCs w:val="21"/>
          <w:highlight w:val="none"/>
          <w:u w:val="none"/>
          <w:lang w:val="en-US" w:eastAsia="zh-CN"/>
        </w:rPr>
        <w:t>; CDFI:</w:t>
      </w:r>
      <w:r>
        <w:rPr>
          <w:rFonts w:hint="default" w:ascii="Times New Roman" w:hAnsi="Times New Roman" w:cs="Times New Roman"/>
          <w:color w:val="auto"/>
          <w:sz w:val="21"/>
          <w:szCs w:val="21"/>
          <w:highlight w:val="none"/>
          <w:u w:val="none"/>
        </w:rPr>
        <w:t xml:space="preserve">color </w:t>
      </w:r>
      <w:r>
        <w:rPr>
          <w:rFonts w:hint="eastAsia" w:ascii="Times New Roman" w:hAnsi="Times New Roman" w:cs="Times New Roman"/>
          <w:color w:val="auto"/>
          <w:sz w:val="21"/>
          <w:szCs w:val="21"/>
          <w:highlight w:val="none"/>
          <w:u w:val="none"/>
          <w:lang w:val="en-US" w:eastAsia="zh-CN"/>
        </w:rPr>
        <w:t>d</w:t>
      </w:r>
      <w:r>
        <w:rPr>
          <w:rFonts w:hint="default" w:ascii="Times New Roman" w:hAnsi="Times New Roman" w:cs="Times New Roman"/>
          <w:color w:val="auto"/>
          <w:sz w:val="21"/>
          <w:szCs w:val="21"/>
          <w:highlight w:val="none"/>
          <w:u w:val="none"/>
        </w:rPr>
        <w:t>oppler flow imaging</w:t>
      </w:r>
      <w:r>
        <w:rPr>
          <w:rFonts w:hint="eastAsia" w:ascii="Times New Roman" w:hAnsi="Times New Roman" w:cs="Times New Roman"/>
          <w:color w:val="auto"/>
          <w:sz w:val="21"/>
          <w:szCs w:val="21"/>
          <w:highlight w:val="none"/>
          <w:u w:val="none"/>
          <w:lang w:val="en-US" w:eastAsia="zh-CN"/>
        </w:rPr>
        <w:t xml:space="preserve">;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HT:Hashimoto’s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t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hyroiditis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; TSH: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thyroid-stimulating hormone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; ALC: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absolute lymphocyte count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;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NLR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: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neutrophil/lymphocyte ratio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;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PLR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: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platelet/lymphocyte ratio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;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LMR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: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lymphocyte/monocyte ratio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;</w:t>
      </w:r>
      <w:r>
        <w:rPr>
          <w:rFonts w:hint="default" w:ascii="Times New Roman" w:hAnsi="Times New Roman" w:cs="Times New Roman"/>
          <w:color w:val="auto"/>
          <w:sz w:val="21"/>
          <w:szCs w:val="21"/>
          <w:highlight w:val="none"/>
          <w:u w:val="none"/>
        </w:rPr>
        <w:t>FT3</w:t>
      </w:r>
      <w:r>
        <w:rPr>
          <w:rFonts w:hint="eastAsia" w:ascii="Times New Roman" w:hAnsi="Times New Roman" w:cs="Times New Roman"/>
          <w:color w:val="auto"/>
          <w:sz w:val="21"/>
          <w:szCs w:val="21"/>
          <w:highlight w:val="none"/>
          <w:u w:val="none"/>
          <w:lang w:val="en-US" w:eastAsia="zh-CN"/>
        </w:rPr>
        <w:t>:</w:t>
      </w:r>
      <w:r>
        <w:rPr>
          <w:rFonts w:hint="default" w:ascii="Times New Roman" w:hAnsi="Times New Roman" w:cs="Times New Roman"/>
          <w:color w:val="auto"/>
          <w:sz w:val="21"/>
          <w:szCs w:val="21"/>
          <w:highlight w:val="none"/>
          <w:u w:val="none"/>
        </w:rPr>
        <w:t>free triiodothyronine</w:t>
      </w:r>
      <w:r>
        <w:rPr>
          <w:rFonts w:hint="eastAsia" w:ascii="Times New Roman" w:hAnsi="Times New Roman" w:cs="Times New Roman"/>
          <w:color w:val="auto"/>
          <w:sz w:val="21"/>
          <w:szCs w:val="21"/>
          <w:highlight w:val="none"/>
          <w:u w:val="none"/>
          <w:lang w:val="en-US" w:eastAsia="zh-CN"/>
        </w:rPr>
        <w:t>;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FT4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: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free thyroxine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;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T</w:t>
      </w:r>
      <w:r>
        <w:rPr>
          <w:rFonts w:hint="eastAsia" w:ascii="Times New Roman" w:hAnsi="Times New Roman" w:cs="Times New Roman"/>
          <w:lang w:val="en-US" w:eastAsia="zh-CN"/>
        </w:rPr>
        <w:t>G</w:t>
      </w:r>
      <w:r>
        <w:rPr>
          <w:rFonts w:hint="default" w:ascii="Times New Roman" w:hAnsi="Times New Roman" w:cs="Times New Roman"/>
          <w:lang w:val="en-US" w:eastAsia="zh-CN"/>
        </w:rPr>
        <w:t>Ab</w:t>
      </w:r>
      <w:r>
        <w:rPr>
          <w:rFonts w:hint="eastAsia" w:ascii="Times New Roman" w:hAnsi="Times New Roman" w:cs="Times New Roman"/>
          <w:lang w:val="en-US" w:eastAsia="zh-CN"/>
        </w:rPr>
        <w:t xml:space="preserve">: </w:t>
      </w:r>
      <w:r>
        <w:rPr>
          <w:rFonts w:hint="default" w:ascii="Times New Roman" w:hAnsi="Times New Roman" w:cs="Times New Roman"/>
          <w:lang w:val="en-US" w:eastAsia="zh-CN"/>
        </w:rPr>
        <w:t>thyroid peroxidase antibody</w:t>
      </w:r>
      <w:r>
        <w:rPr>
          <w:rFonts w:hint="eastAsia" w:ascii="Times New Roman" w:hAnsi="Times New Roman" w:cs="Times New Roman"/>
          <w:lang w:val="en-US" w:eastAsia="zh-CN"/>
        </w:rPr>
        <w:t>;</w:t>
      </w:r>
      <w:r>
        <w:rPr>
          <w:rFonts w:hint="default" w:ascii="Times New Roman" w:hAnsi="Times New Roman" w:cs="Times New Roman"/>
          <w:lang w:val="en-US" w:eastAsia="zh-CN"/>
        </w:rPr>
        <w:t xml:space="preserve"> TPOAb</w:t>
      </w:r>
      <w:r>
        <w:rPr>
          <w:rFonts w:hint="eastAsia" w:ascii="Times New Roman" w:hAnsi="Times New Roman" w:cs="Times New Roman"/>
          <w:lang w:val="en-US" w:eastAsia="zh-CN"/>
        </w:rPr>
        <w:t>:</w:t>
      </w:r>
      <w:r>
        <w:rPr>
          <w:rFonts w:hint="default" w:ascii="Times New Roman" w:hAnsi="Times New Roman" w:cs="Times New Roman"/>
          <w:lang w:val="en-US" w:eastAsia="zh-CN"/>
        </w:rPr>
        <w:t>thyroid peroxidase antibody</w:t>
      </w:r>
    </w:p>
    <w:p>
      <w:pPr>
        <w:jc w:val="left"/>
        <w:rPr>
          <w:rFonts w:hint="default" w:ascii="Times New Roman" w:hAnsi="Times New Roman" w:cs="Times New Roman"/>
          <w:lang w:val="en-US" w:eastAsia="zh-CN"/>
        </w:rPr>
      </w:pPr>
    </w:p>
    <w:p>
      <w:pPr>
        <w:jc w:val="left"/>
        <w:rPr>
          <w:rFonts w:hint="default" w:ascii="Times New Roman" w:hAnsi="Times New Roman" w:cs="Times New Roman"/>
          <w:lang w:val="en-US" w:eastAsia="zh-CN"/>
        </w:rPr>
      </w:pPr>
    </w:p>
    <w:p>
      <w:pPr>
        <w:jc w:val="left"/>
        <w:rPr>
          <w:rFonts w:hint="default" w:ascii="Times New Roman" w:hAnsi="Times New Roman" w:cs="Times New Roman"/>
          <w:lang w:val="en-US" w:eastAsia="zh-CN"/>
        </w:rPr>
      </w:pPr>
    </w:p>
    <w:p>
      <w:pPr>
        <w:jc w:val="left"/>
        <w:rPr>
          <w:rFonts w:hint="default" w:ascii="Times New Roman" w:hAnsi="Times New Roman" w:cs="Times New Roman"/>
          <w:lang w:val="en-US" w:eastAsia="zh-CN"/>
        </w:rPr>
      </w:pPr>
    </w:p>
    <w:p>
      <w:pPr>
        <w:jc w:val="left"/>
        <w:rPr>
          <w:rFonts w:hint="default" w:ascii="Times New Roman" w:hAnsi="Times New Roman" w:cs="Times New Roman"/>
          <w:lang w:val="en-US" w:eastAsia="zh-CN"/>
        </w:rPr>
      </w:pPr>
    </w:p>
    <w:p>
      <w:pPr>
        <w:jc w:val="left"/>
        <w:rPr>
          <w:rFonts w:hint="default" w:ascii="Times New Roman" w:hAnsi="Times New Roman" w:cs="Times New Roman"/>
          <w:lang w:val="en-US" w:eastAsia="zh-CN"/>
        </w:rPr>
      </w:pPr>
    </w:p>
    <w:p>
      <w:pPr>
        <w:jc w:val="left"/>
        <w:rPr>
          <w:rFonts w:hint="default" w:ascii="Times New Roman" w:hAnsi="Times New Roman" w:cs="Times New Roman"/>
          <w:lang w:val="en-US" w:eastAsia="zh-CN"/>
        </w:rPr>
      </w:pPr>
    </w:p>
    <w:p>
      <w:pPr>
        <w:jc w:val="left"/>
        <w:rPr>
          <w:rFonts w:hint="default" w:ascii="Times New Roman" w:hAnsi="Times New Roman" w:cs="Times New Roman"/>
          <w:lang w:val="en-US" w:eastAsia="zh-CN"/>
        </w:rPr>
      </w:pPr>
    </w:p>
    <w:p>
      <w:pPr>
        <w:jc w:val="left"/>
        <w:rPr>
          <w:rFonts w:hint="default" w:ascii="Times New Roman" w:hAnsi="Times New Roman" w:cs="Times New Roman"/>
          <w:lang w:val="en-US" w:eastAsia="zh-CN"/>
        </w:rPr>
      </w:pPr>
    </w:p>
    <w:p>
      <w:pPr>
        <w:pStyle w:val="3"/>
        <w:spacing w:line="360" w:lineRule="auto"/>
        <w:rPr>
          <w:rFonts w:ascii="Times New Roman" w:hAnsi="Times New Roman" w:cs="Times New Roman"/>
          <w:sz w:val="21"/>
          <w:szCs w:val="21"/>
        </w:rPr>
      </w:pPr>
      <w:bookmarkStart w:id="0" w:name="_Hlk151553214"/>
      <w:r>
        <w:rPr>
          <w:rFonts w:ascii="Times New Roman" w:hAnsi="Times New Roman" w:cs="Times New Roman"/>
          <w:sz w:val="21"/>
          <w:szCs w:val="21"/>
        </w:rPr>
        <w:t xml:space="preserve">Figure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S1</w:t>
      </w:r>
      <w:r>
        <w:rPr>
          <w:rFonts w:ascii="Times New Roman" w:hAnsi="Times New Roman" w:cs="Times New Roman"/>
          <w:sz w:val="21"/>
          <w:szCs w:val="21"/>
        </w:rPr>
        <w:t xml:space="preserve">: </w:t>
      </w:r>
      <w:bookmarkStart w:id="1" w:name="_Hlk151553266"/>
      <w:r>
        <w:rPr>
          <w:rFonts w:ascii="Times New Roman" w:hAnsi="Times New Roman" w:cs="Times New Roman"/>
          <w:sz w:val="21"/>
          <w:szCs w:val="21"/>
        </w:rPr>
        <w:t>(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S</w:t>
      </w:r>
      <w:r>
        <w:rPr>
          <w:rFonts w:ascii="Times New Roman" w:hAnsi="Times New Roman" w:cs="Times New Roman"/>
          <w:sz w:val="21"/>
          <w:szCs w:val="21"/>
        </w:rPr>
        <w:t>A)</w:t>
      </w:r>
      <w:bookmarkEnd w:id="1"/>
      <w:r>
        <w:rPr>
          <w:rFonts w:ascii="Times New Roman" w:hAnsi="Times New Roman" w:cs="Times New Roman"/>
          <w:sz w:val="21"/>
          <w:szCs w:val="21"/>
        </w:rPr>
        <w:t xml:space="preserve"> The ROC analysis with AUC for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testing</w:t>
      </w:r>
      <w:r>
        <w:rPr>
          <w:rFonts w:ascii="Times New Roman" w:hAnsi="Times New Roman" w:cs="Times New Roman"/>
          <w:sz w:val="21"/>
          <w:szCs w:val="21"/>
        </w:rPr>
        <w:t xml:space="preserve"> set. (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S</w:t>
      </w:r>
      <w:r>
        <w:rPr>
          <w:rFonts w:ascii="Times New Roman" w:hAnsi="Times New Roman" w:cs="Times New Roman"/>
          <w:sz w:val="21"/>
          <w:szCs w:val="21"/>
        </w:rPr>
        <w:t xml:space="preserve">B) Discrimination plot for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testing</w:t>
      </w:r>
      <w:r>
        <w:rPr>
          <w:rFonts w:ascii="Times New Roman" w:hAnsi="Times New Roman" w:cs="Times New Roman"/>
          <w:sz w:val="21"/>
          <w:szCs w:val="21"/>
        </w:rPr>
        <w:t xml:space="preserve"> set. (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S</w:t>
      </w:r>
      <w:r>
        <w:rPr>
          <w:rFonts w:ascii="Times New Roman" w:hAnsi="Times New Roman" w:cs="Times New Roman"/>
          <w:sz w:val="21"/>
          <w:szCs w:val="21"/>
        </w:rPr>
        <w:t xml:space="preserve">C) DCA revealed that preoperative “LR” PTMC patients would benefit more if this model was used to predict the risk of </w:t>
      </w:r>
      <w:r>
        <w:rPr>
          <w:rFonts w:hint="eastAsia" w:ascii="Times New Roman" w:hAnsi="Times New Roman" w:cs="Times New Roman"/>
          <w:sz w:val="21"/>
          <w:szCs w:val="21"/>
        </w:rPr>
        <w:t>non-LR</w:t>
      </w:r>
      <w:r>
        <w:rPr>
          <w:rFonts w:ascii="Times New Roman" w:hAnsi="Times New Roman" w:cs="Times New Roman"/>
          <w:sz w:val="21"/>
          <w:szCs w:val="21"/>
        </w:rPr>
        <w:t xml:space="preserve"> when the threshold probability is between &gt;1% and &lt;</w:t>
      </w:r>
      <w:r>
        <w:rPr>
          <w:rFonts w:hint="eastAsia" w:ascii="Times New Roman" w:hAnsi="Times New Roman" w:cs="Times New Roman"/>
          <w:sz w:val="21"/>
          <w:szCs w:val="21"/>
        </w:rPr>
        <w:t>5</w:t>
      </w:r>
      <w:r>
        <w:rPr>
          <w:rFonts w:ascii="Times New Roman" w:hAnsi="Times New Roman" w:cs="Times New Roman"/>
          <w:sz w:val="21"/>
          <w:szCs w:val="21"/>
        </w:rPr>
        <w:t xml:space="preserve">0% in the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testing</w:t>
      </w:r>
      <w:r>
        <w:rPr>
          <w:rFonts w:ascii="Times New Roman" w:hAnsi="Times New Roman" w:cs="Times New Roman"/>
          <w:sz w:val="21"/>
          <w:szCs w:val="21"/>
        </w:rPr>
        <w:t xml:space="preserve"> set. (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S</w:t>
      </w:r>
      <w:bookmarkStart w:id="2" w:name="_GoBack"/>
      <w:bookmarkEnd w:id="2"/>
      <w:r>
        <w:rPr>
          <w:rFonts w:ascii="Times New Roman" w:hAnsi="Times New Roman" w:cs="Times New Roman"/>
          <w:sz w:val="21"/>
          <w:szCs w:val="21"/>
        </w:rPr>
        <w:t xml:space="preserve">D) The </w:t>
      </w:r>
      <w:r>
        <w:rPr>
          <w:rFonts w:hint="eastAsia" w:ascii="Times New Roman" w:hAnsi="Times New Roman" w:cs="Times New Roman"/>
          <w:sz w:val="21"/>
          <w:szCs w:val="21"/>
        </w:rPr>
        <w:t>CIC</w:t>
      </w:r>
      <w:r>
        <w:rPr>
          <w:rFonts w:ascii="Times New Roman" w:hAnsi="Times New Roman" w:cs="Times New Roman"/>
          <w:sz w:val="21"/>
          <w:szCs w:val="21"/>
        </w:rPr>
        <w:t xml:space="preserve"> of the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testing</w:t>
      </w:r>
      <w:r>
        <w:rPr>
          <w:rFonts w:ascii="Times New Roman" w:hAnsi="Times New Roman" w:cs="Times New Roman"/>
          <w:sz w:val="21"/>
          <w:szCs w:val="21"/>
        </w:rPr>
        <w:t xml:space="preserve"> set revealed that the patients categorized as </w:t>
      </w:r>
      <w:r>
        <w:rPr>
          <w:rFonts w:hint="eastAsia" w:ascii="Times New Roman" w:hAnsi="Times New Roman" w:cs="Times New Roman"/>
          <w:sz w:val="21"/>
          <w:szCs w:val="21"/>
        </w:rPr>
        <w:t>non-LR</w:t>
      </w:r>
      <w:r>
        <w:rPr>
          <w:rFonts w:ascii="Times New Roman" w:hAnsi="Times New Roman" w:cs="Times New Roman"/>
          <w:sz w:val="21"/>
          <w:szCs w:val="21"/>
        </w:rPr>
        <w:t xml:space="preserve"> by the nomogram were more likely to be truly </w:t>
      </w:r>
      <w:r>
        <w:rPr>
          <w:rFonts w:hint="eastAsia" w:ascii="Times New Roman" w:hAnsi="Times New Roman" w:cs="Times New Roman"/>
          <w:sz w:val="21"/>
          <w:szCs w:val="21"/>
        </w:rPr>
        <w:t>non-LR</w:t>
      </w:r>
      <w:r>
        <w:rPr>
          <w:rFonts w:ascii="Times New Roman" w:hAnsi="Times New Roman" w:cs="Times New Roman"/>
          <w:sz w:val="21"/>
          <w:szCs w:val="21"/>
        </w:rPr>
        <w:t xml:space="preserve"> when the threshold probability &lt; </w:t>
      </w:r>
      <w:r>
        <w:rPr>
          <w:rFonts w:hint="eastAsia" w:ascii="Times New Roman" w:hAnsi="Times New Roman" w:cs="Times New Roman"/>
          <w:sz w:val="21"/>
          <w:szCs w:val="21"/>
        </w:rPr>
        <w:t>5</w:t>
      </w:r>
      <w:r>
        <w:rPr>
          <w:rFonts w:ascii="Times New Roman" w:hAnsi="Times New Roman" w:cs="Times New Roman"/>
          <w:sz w:val="21"/>
          <w:szCs w:val="21"/>
        </w:rPr>
        <w:t xml:space="preserve">0%. ROC, receiver operating characteristic curve; AUC, area under curve; DCA, decision curve analysis; LR, low risk; PTMC, papillary thyroid microcarcinoma; </w:t>
      </w:r>
      <w:r>
        <w:rPr>
          <w:rFonts w:hint="eastAsia" w:ascii="Times New Roman" w:hAnsi="Times New Roman" w:cs="Times New Roman"/>
          <w:sz w:val="21"/>
          <w:szCs w:val="21"/>
        </w:rPr>
        <w:t>CIC:</w:t>
      </w:r>
      <w:r>
        <w:rPr>
          <w:rFonts w:ascii="Times New Roman" w:hAnsi="Times New Roman" w:cs="Times New Roman"/>
          <w:sz w:val="21"/>
          <w:szCs w:val="21"/>
        </w:rPr>
        <w:t>clinical impact curve</w:t>
      </w:r>
      <w:r>
        <w:rPr>
          <w:rFonts w:hint="eastAsia" w:ascii="Times New Roman" w:hAnsi="Times New Roman" w:cs="Times New Roman"/>
          <w:sz w:val="21"/>
          <w:szCs w:val="21"/>
        </w:rPr>
        <w:t>.</w:t>
      </w:r>
    </w:p>
    <w:bookmarkEnd w:id="0"/>
    <w:p>
      <w:pPr>
        <w:rPr>
          <w:rFonts w:hint="default" w:eastAsiaTheme="minorEastAsia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TimItalLie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TimRomLieber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5OTRhNTBhZGEyMWVlMjQyYjM1Y2VhMWVlOWZhMDcifQ=="/>
  </w:docVars>
  <w:rsids>
    <w:rsidRoot w:val="6BD36C2C"/>
    <w:rsid w:val="23786EAE"/>
    <w:rsid w:val="23D557D6"/>
    <w:rsid w:val="5BB2611E"/>
    <w:rsid w:val="67045C62"/>
    <w:rsid w:val="6BD36C2C"/>
    <w:rsid w:val="710C1622"/>
    <w:rsid w:val="78862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toc 1"/>
    <w:basedOn w:val="2"/>
    <w:next w:val="1"/>
    <w:unhideWhenUsed/>
    <w:qFormat/>
    <w:uiPriority w:val="39"/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2023-07-27T13:30:00Z</dcterms:created>
  <dc:creator>I＇m</dc:creator>
  <cp:lastModifiedBy>薛帅</cp:lastModifiedBy>
  <dcterms:modified xsi:type="dcterms:W3CDTF">2024-11-04T08:45:10Z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1D7303EBAD454EFFA4C37D6A00414C90_13</vt:lpwstr>
  </property>
</Properties>
</file>