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303"/>
        <w:gridCol w:w="1303"/>
        <w:gridCol w:w="1304"/>
        <w:gridCol w:w="1193"/>
        <w:gridCol w:w="1560"/>
        <w:gridCol w:w="1161"/>
        <w:gridCol w:w="1304"/>
        <w:gridCol w:w="1294"/>
        <w:gridCol w:w="1313"/>
      </w:tblGrid>
      <w:tr w:rsidR="001919E4" w:rsidRPr="004267CC" w:rsidTr="0014627C">
        <w:trPr>
          <w:trHeight w:val="300"/>
        </w:trPr>
        <w:tc>
          <w:tcPr>
            <w:tcW w:w="1399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Cohort studies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lang w:eastAsia="nl-NL"/>
              </w:rPr>
              <w:t>Selection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lang w:eastAsia="nl-NL"/>
              </w:rPr>
              <w:t>Comparability</w:t>
            </w:r>
          </w:p>
        </w:tc>
        <w:tc>
          <w:tcPr>
            <w:tcW w:w="37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lang w:eastAsia="nl-NL"/>
              </w:rPr>
              <w:t>Outcome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1919E4" w:rsidRPr="004267CC" w:rsidTr="0014627C">
        <w:trPr>
          <w:trHeight w:val="12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Study, year (ref)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4267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NL"/>
              </w:rPr>
              <w:t>Representativeness of the exposed cohort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4267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NL"/>
              </w:rPr>
              <w:t>Selection of the non-exposed cohort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Ascertainment of exposure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4267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NL"/>
              </w:rPr>
              <w:t>Demonstration that outcome of interest was not present at start of study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4267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NL"/>
              </w:rPr>
              <w:t>Comparability of cohorts on the basis of the design or analysis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Assesment of outcome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4267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NL"/>
              </w:rPr>
              <w:t>Was follow-up long enough for outcomes to occur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4267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NL"/>
              </w:rPr>
              <w:t>Adequacy of follow-up of cohorts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Total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E004FD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004FD">
              <w:t>Sonmezer 2022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2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t>Etman 2022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2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t>Zhang 2022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3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t>Mensi 2023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5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t>Diao 2021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6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t>Yao 2022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6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t>Cohen 2017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4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t>Enderle 2020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3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t>Bingqing 2018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4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t>Gubbini 2008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5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t>Gubbini 2011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5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9C7004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C7004">
              <w:rPr>
                <w:rFonts w:ascii="Calibri" w:eastAsia="Times New Roman" w:hAnsi="Calibri" w:cs="Calibri"/>
                <w:color w:val="000000"/>
                <w:lang w:eastAsia="nl-NL"/>
              </w:rPr>
              <w:t>Cohen 2020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5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9C7004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C7004">
              <w:rPr>
                <w:rFonts w:ascii="Calibri" w:eastAsia="Times New Roman" w:hAnsi="Calibri" w:cs="Calibri"/>
                <w:color w:val="000000"/>
                <w:lang w:eastAsia="nl-NL"/>
              </w:rPr>
              <w:t>Tsuji 2022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4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9C7004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C7004">
              <w:rPr>
                <w:rFonts w:ascii="Calibri" w:eastAsia="Times New Roman" w:hAnsi="Calibri" w:cs="Calibri"/>
                <w:color w:val="000000"/>
                <w:lang w:eastAsia="nl-NL"/>
              </w:rPr>
              <w:t>Calzolari 2019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4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9C7004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C7004">
              <w:rPr>
                <w:rFonts w:ascii="Calibri" w:eastAsia="Times New Roman" w:hAnsi="Calibri" w:cs="Calibri"/>
                <w:color w:val="000000"/>
                <w:lang w:eastAsia="nl-NL"/>
              </w:rPr>
              <w:t>Safarowska 2021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3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9C7004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C7004">
              <w:rPr>
                <w:rFonts w:ascii="Calibri" w:eastAsia="Times New Roman" w:hAnsi="Calibri" w:cs="Calibri"/>
                <w:color w:val="000000"/>
                <w:lang w:eastAsia="nl-NL"/>
              </w:rPr>
              <w:t>Piriyev 2022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3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9C7004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C7004">
              <w:rPr>
                <w:rFonts w:ascii="Calibri" w:eastAsia="Times New Roman" w:hAnsi="Calibri" w:cs="Calibri"/>
                <w:color w:val="000000"/>
                <w:lang w:eastAsia="nl-NL"/>
              </w:rPr>
              <w:t>Chuqing 2023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5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9C7004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C7004">
              <w:rPr>
                <w:rFonts w:ascii="Calibri" w:eastAsia="Times New Roman" w:hAnsi="Calibri" w:cs="Calibri"/>
                <w:color w:val="000000"/>
                <w:lang w:eastAsia="nl-NL"/>
              </w:rPr>
              <w:t>Tsuji 2020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4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9C7004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C7004">
              <w:rPr>
                <w:rFonts w:ascii="Calibri" w:eastAsia="Times New Roman" w:hAnsi="Calibri" w:cs="Calibri"/>
                <w:color w:val="000000"/>
                <w:lang w:eastAsia="nl-NL"/>
              </w:rPr>
              <w:t>Schepker 2014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5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9C7004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C7004">
              <w:rPr>
                <w:rFonts w:ascii="Calibri" w:eastAsia="Times New Roman" w:hAnsi="Calibri" w:cs="Calibri"/>
                <w:color w:val="000000"/>
                <w:lang w:eastAsia="nl-NL"/>
              </w:rPr>
              <w:t>Shapira 2019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5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9C7004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C7004">
              <w:rPr>
                <w:rFonts w:ascii="Calibri" w:eastAsia="Times New Roman" w:hAnsi="Calibri" w:cs="Calibri"/>
                <w:color w:val="000000"/>
                <w:lang w:eastAsia="nl-NL"/>
              </w:rPr>
              <w:t>Tanimura 2015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5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9C7004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C7004">
              <w:rPr>
                <w:rFonts w:ascii="Calibri" w:eastAsia="Times New Roman" w:hAnsi="Calibri" w:cs="Calibri"/>
                <w:color w:val="000000"/>
                <w:lang w:eastAsia="nl-NL"/>
              </w:rPr>
              <w:t>Zhang X 2016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5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9C7004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C7004">
              <w:rPr>
                <w:rFonts w:ascii="Calibri" w:eastAsia="Times New Roman" w:hAnsi="Calibri" w:cs="Calibri"/>
                <w:color w:val="000000"/>
                <w:lang w:eastAsia="nl-NL"/>
              </w:rPr>
              <w:lastRenderedPageBreak/>
              <w:t>Zhang D 2018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6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9C7004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C7004">
              <w:rPr>
                <w:rFonts w:ascii="Calibri" w:eastAsia="Times New Roman" w:hAnsi="Calibri" w:cs="Calibri"/>
                <w:color w:val="000000"/>
                <w:lang w:eastAsia="nl-NL"/>
              </w:rPr>
              <w:t>Higuchi 2021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6</w:t>
            </w:r>
          </w:p>
        </w:tc>
      </w:tr>
      <w:tr w:rsidR="001919E4" w:rsidRPr="004267CC" w:rsidTr="0014627C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9C7004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C7004">
              <w:rPr>
                <w:rFonts w:ascii="Calibri" w:eastAsia="Times New Roman" w:hAnsi="Calibri" w:cs="Calibri"/>
                <w:color w:val="000000"/>
                <w:lang w:eastAsia="nl-NL"/>
              </w:rPr>
              <w:t>Beilei 2021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426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4267CC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5</w:t>
            </w:r>
          </w:p>
        </w:tc>
      </w:tr>
    </w:tbl>
    <w:p w:rsidR="006628E3" w:rsidRDefault="006628E3"/>
    <w:p w:rsidR="001919E4" w:rsidRDefault="001919E4"/>
    <w:p w:rsidR="001919E4" w:rsidRDefault="001919E4"/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1357"/>
        <w:gridCol w:w="1440"/>
        <w:gridCol w:w="1142"/>
        <w:gridCol w:w="1220"/>
        <w:gridCol w:w="1311"/>
        <w:gridCol w:w="1409"/>
        <w:gridCol w:w="1313"/>
        <w:gridCol w:w="1349"/>
        <w:gridCol w:w="1279"/>
      </w:tblGrid>
      <w:tr w:rsidR="001919E4" w:rsidRPr="008325D6" w:rsidTr="0014627C">
        <w:trPr>
          <w:trHeight w:val="300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8325D6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Case-control</w:t>
            </w:r>
            <w:r w:rsidRPr="008325D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 xml:space="preserve"> studies</w:t>
            </w:r>
          </w:p>
        </w:tc>
      </w:tr>
      <w:tr w:rsidR="001919E4" w:rsidRPr="008325D6" w:rsidTr="0014627C">
        <w:trPr>
          <w:trHeight w:val="300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8325D6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99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8325D6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8325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Selection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8325D6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8325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Comparability</w:t>
            </w:r>
          </w:p>
        </w:tc>
        <w:tc>
          <w:tcPr>
            <w:tcW w:w="1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8325D6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8325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Outcome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8325D6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</w:p>
        </w:tc>
      </w:tr>
      <w:tr w:rsidR="001919E4" w:rsidRPr="008325D6" w:rsidTr="0014627C">
        <w:trPr>
          <w:trHeight w:val="1500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8325D6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1C4D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Study, year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9E4" w:rsidRPr="008325D6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8325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NL"/>
              </w:rPr>
              <w:t>Is the case definition adequate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9E4" w:rsidRPr="008325D6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8325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Represetativeness of the case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9E4" w:rsidRPr="008325D6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8325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selection of controls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9E4" w:rsidRPr="008325D6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8325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definition of controls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9E4" w:rsidRPr="008325D6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8325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NL"/>
              </w:rPr>
              <w:t>comparability of cases and controls on the bias of the design or analysis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9E4" w:rsidRPr="008325D6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8325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Ascertainment of exposure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9E4" w:rsidRPr="008325D6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8325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l-NL"/>
              </w:rPr>
              <w:t>some method of ascertainment for cases and controls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19E4" w:rsidRPr="008325D6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8325D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non-reponse rate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8325D6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1C4D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Total</w:t>
            </w:r>
          </w:p>
        </w:tc>
      </w:tr>
      <w:tr w:rsidR="001919E4" w:rsidRPr="00700188" w:rsidTr="0014627C">
        <w:trPr>
          <w:trHeight w:val="300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D625EA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625EA">
              <w:rPr>
                <w:rFonts w:ascii="Calibri" w:eastAsia="Times New Roman" w:hAnsi="Calibri" w:cs="Calibri"/>
                <w:color w:val="000000"/>
                <w:lang w:eastAsia="nl-NL"/>
              </w:rPr>
              <w:t>Cohen 2023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700188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70018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700188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700188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70018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700188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70018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700188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700188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70018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700188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70018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700188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700188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6</w:t>
            </w:r>
          </w:p>
        </w:tc>
      </w:tr>
      <w:tr w:rsidR="001919E4" w:rsidRPr="00700188" w:rsidTr="0014627C">
        <w:trPr>
          <w:trHeight w:val="391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D625EA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625EA">
              <w:rPr>
                <w:rFonts w:ascii="Calibri" w:eastAsia="Times New Roman" w:hAnsi="Calibri" w:cs="Calibri"/>
                <w:color w:val="000000"/>
                <w:lang w:eastAsia="nl-NL"/>
              </w:rPr>
              <w:t>Nobuta 2022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700188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70018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700188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700188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70018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700188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70018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700188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70018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700188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70018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700188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70018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700188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19E4" w:rsidRPr="00700188" w:rsidRDefault="001919E4" w:rsidP="001462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70018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6</w:t>
            </w:r>
          </w:p>
        </w:tc>
      </w:tr>
    </w:tbl>
    <w:p w:rsidR="001919E4" w:rsidRDefault="001919E4"/>
    <w:p w:rsidR="001919E4" w:rsidRDefault="001919E4"/>
    <w:p w:rsidR="001919E4" w:rsidRPr="001C4D7C" w:rsidRDefault="001919E4" w:rsidP="001919E4">
      <w:pPr>
        <w:jc w:val="center"/>
        <w:rPr>
          <w:sz w:val="32"/>
          <w:szCs w:val="32"/>
        </w:rPr>
      </w:pPr>
      <w:r w:rsidRPr="001C4D7C">
        <w:rPr>
          <w:sz w:val="32"/>
          <w:szCs w:val="32"/>
        </w:rPr>
        <w:t>Cochrane risk-of-bias-tool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2168"/>
        <w:gridCol w:w="1723"/>
        <w:gridCol w:w="1409"/>
        <w:gridCol w:w="2647"/>
        <w:gridCol w:w="2150"/>
        <w:gridCol w:w="1858"/>
      </w:tblGrid>
      <w:tr w:rsidR="001919E4" w:rsidRPr="001C4D7C" w:rsidTr="0014627C">
        <w:trPr>
          <w:trHeight w:val="300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1C4D7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 xml:space="preserve">Author, </w:t>
            </w:r>
            <w:r w:rsidRPr="001C4D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year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1C4D7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1C4D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Random sequence generation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1C4D7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1C4D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allocation concealment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1C4D7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1C4D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selective reporting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1C4D7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1C4D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blinding (participants and personnel)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1C4D7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1C4D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>blinding outcome assessment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19E4" w:rsidRPr="001C4D7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1C4D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l-NL"/>
              </w:rPr>
              <w:t xml:space="preserve">incomplete outcome bias </w:t>
            </w:r>
          </w:p>
        </w:tc>
      </w:tr>
      <w:tr w:rsidR="001919E4" w:rsidRPr="001C4D7C" w:rsidTr="0014627C">
        <w:trPr>
          <w:trHeight w:val="300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1C4D7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 xml:space="preserve">Abdou 2018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1C4D7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1C4D7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low risk of bias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1C4D7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1C4D7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low risk of bias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1C4D7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1C4D7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low risk of bias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1C4D7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1C4D7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high risk of bias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1C4D7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1C4D7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:rsidR="001919E4" w:rsidRPr="001C4D7C" w:rsidRDefault="001919E4" w:rsidP="00146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</w:pPr>
            <w:r w:rsidRPr="001C4D7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>low risk of bias</w:t>
            </w:r>
          </w:p>
        </w:tc>
      </w:tr>
    </w:tbl>
    <w:p w:rsidR="001919E4" w:rsidRPr="0031354A" w:rsidRDefault="001919E4" w:rsidP="001919E4">
      <w:pPr>
        <w:rPr>
          <w:sz w:val="18"/>
          <w:szCs w:val="18"/>
        </w:rPr>
      </w:pPr>
    </w:p>
    <w:p w:rsidR="001919E4" w:rsidRDefault="001919E4"/>
    <w:p w:rsidR="001919E4" w:rsidRDefault="001919E4">
      <w:bookmarkStart w:id="0" w:name="_GoBack"/>
      <w:bookmarkEnd w:id="0"/>
    </w:p>
    <w:sectPr w:rsidR="001919E4" w:rsidSect="001919E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6D"/>
    <w:rsid w:val="001919E4"/>
    <w:rsid w:val="002B1D6D"/>
    <w:rsid w:val="0066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7EAE4"/>
  <w15:chartTrackingRefBased/>
  <w15:docId w15:val="{84D8D44E-2530-4F0A-A9DB-F3D0FD92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9E4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 sds</dc:creator>
  <cp:keywords/>
  <dc:description/>
  <cp:lastModifiedBy>dsds sds</cp:lastModifiedBy>
  <cp:revision>2</cp:revision>
  <dcterms:created xsi:type="dcterms:W3CDTF">2024-10-09T10:16:00Z</dcterms:created>
  <dcterms:modified xsi:type="dcterms:W3CDTF">2024-10-09T10:24:00Z</dcterms:modified>
</cp:coreProperties>
</file>