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6930F1" w14:textId="77777777" w:rsidR="00E41B1F" w:rsidRPr="00BC5500" w:rsidRDefault="00E41B1F" w:rsidP="00E41B1F">
      <w:pPr>
        <w:rPr>
          <w:rFonts w:cstheme="minorHAnsi"/>
          <w:b/>
          <w:bCs/>
        </w:rPr>
      </w:pPr>
      <w:r w:rsidRPr="00BC5500">
        <w:rPr>
          <w:rFonts w:cstheme="minorHAnsi"/>
          <w:b/>
          <w:bCs/>
        </w:rPr>
        <w:t xml:space="preserve">Supplementary Results </w:t>
      </w:r>
    </w:p>
    <w:p w14:paraId="6F5A27E7" w14:textId="0736E6A5" w:rsidR="0045456F" w:rsidRPr="00BD05A9" w:rsidRDefault="0045456F" w:rsidP="0045456F">
      <w:pPr>
        <w:rPr>
          <w:rFonts w:cstheme="minorHAnsi"/>
          <w:u w:val="single"/>
        </w:rPr>
      </w:pPr>
      <w:r w:rsidRPr="00BC5500">
        <w:rPr>
          <w:rFonts w:cstheme="minorHAnsi"/>
          <w:u w:val="single"/>
        </w:rPr>
        <w:t xml:space="preserve">Risk of bias in </w:t>
      </w:r>
      <w:r w:rsidR="00BD05A9" w:rsidRPr="00BD05A9">
        <w:rPr>
          <w:rFonts w:cstheme="minorHAnsi"/>
          <w:u w:val="single"/>
        </w:rPr>
        <w:t>MR approaches</w:t>
      </w:r>
    </w:p>
    <w:p w14:paraId="1A8DB9A4" w14:textId="4DD33777" w:rsidR="0043653F" w:rsidRPr="0043653F" w:rsidRDefault="0043653F" w:rsidP="00C7757A">
      <w:pPr>
        <w:rPr>
          <w:rFonts w:cstheme="minorHAnsi"/>
        </w:rPr>
      </w:pPr>
      <w:r w:rsidRPr="0043653F">
        <w:rPr>
          <w:rFonts w:cstheme="minorHAnsi"/>
        </w:rPr>
        <w:t>The risk of bias judgments</w:t>
      </w:r>
      <w:r w:rsidR="00641930">
        <w:rPr>
          <w:rFonts w:cstheme="minorHAnsi"/>
        </w:rPr>
        <w:t>,</w:t>
      </w:r>
      <w:r w:rsidRPr="0043653F">
        <w:rPr>
          <w:rFonts w:cstheme="minorHAnsi"/>
        </w:rPr>
        <w:t xml:space="preserve"> with supporting evidence for each approach and outcome</w:t>
      </w:r>
      <w:r w:rsidR="00641930">
        <w:rPr>
          <w:rFonts w:cstheme="minorHAnsi"/>
        </w:rPr>
        <w:t>,</w:t>
      </w:r>
      <w:r w:rsidRPr="0043653F">
        <w:rPr>
          <w:rFonts w:cstheme="minorHAnsi"/>
        </w:rPr>
        <w:t xml:space="preserve"> are presented in </w:t>
      </w:r>
      <w:r w:rsidRPr="00B21FF6">
        <w:rPr>
          <w:rFonts w:cstheme="minorHAnsi"/>
        </w:rPr>
        <w:t>Supplementary Table S</w:t>
      </w:r>
      <w:r w:rsidR="00B21FF6" w:rsidRPr="00B21FF6">
        <w:rPr>
          <w:rFonts w:cstheme="minorHAnsi"/>
        </w:rPr>
        <w:t>3</w:t>
      </w:r>
      <w:r w:rsidRPr="00B21FF6">
        <w:rPr>
          <w:rFonts w:cstheme="minorHAnsi"/>
        </w:rPr>
        <w:t xml:space="preserve"> and</w:t>
      </w:r>
      <w:r w:rsidRPr="0043653F">
        <w:rPr>
          <w:rFonts w:cstheme="minorHAnsi"/>
        </w:rPr>
        <w:t xml:space="preserve"> summarised here:</w:t>
      </w:r>
    </w:p>
    <w:p w14:paraId="339E263C" w14:textId="48F282B8" w:rsidR="00C7757A" w:rsidRPr="00BC5500" w:rsidRDefault="00C7757A" w:rsidP="00C7757A">
      <w:pPr>
        <w:rPr>
          <w:rFonts w:cstheme="minorHAnsi"/>
        </w:rPr>
      </w:pPr>
      <w:r w:rsidRPr="00BC5500">
        <w:rPr>
          <w:rFonts w:cstheme="minorHAnsi"/>
          <w:i/>
          <w:iCs/>
        </w:rPr>
        <w:t>Relevance assumption</w:t>
      </w:r>
      <w:r w:rsidR="00C14BC6">
        <w:rPr>
          <w:rFonts w:cstheme="minorHAnsi"/>
          <w:i/>
          <w:iCs/>
        </w:rPr>
        <w:t>.</w:t>
      </w:r>
      <w:r w:rsidR="00C14BC6">
        <w:rPr>
          <w:rFonts w:cstheme="minorHAnsi"/>
        </w:rPr>
        <w:t xml:space="preserve"> </w:t>
      </w:r>
      <w:r w:rsidR="0054082D">
        <w:rPr>
          <w:rFonts w:cstheme="minorHAnsi"/>
        </w:rPr>
        <w:t xml:space="preserve">All </w:t>
      </w:r>
      <w:r w:rsidR="00675F81">
        <w:rPr>
          <w:rFonts w:cstheme="minorHAnsi"/>
        </w:rPr>
        <w:t xml:space="preserve">designs showed evidence of conditional weak instrument bias. Although weak-instrument robust </w:t>
      </w:r>
      <w:r w:rsidR="0031142E">
        <w:rPr>
          <w:rFonts w:cstheme="minorHAnsi"/>
        </w:rPr>
        <w:t>estimators</w:t>
      </w:r>
      <w:r w:rsidR="00675F81">
        <w:rPr>
          <w:rFonts w:cstheme="minorHAnsi"/>
        </w:rPr>
        <w:t xml:space="preserve"> were generally consistent, this could be due imprecision. All </w:t>
      </w:r>
      <w:r w:rsidR="0031142E">
        <w:rPr>
          <w:rFonts w:cstheme="minorHAnsi"/>
        </w:rPr>
        <w:t xml:space="preserve">MR approaches </w:t>
      </w:r>
      <w:r w:rsidR="0031142E" w:rsidRPr="00BC5500">
        <w:rPr>
          <w:rFonts w:cstheme="minorHAnsi"/>
        </w:rPr>
        <w:t xml:space="preserve">were </w:t>
      </w:r>
      <w:r w:rsidR="0031142E">
        <w:rPr>
          <w:rFonts w:cstheme="minorHAnsi"/>
        </w:rPr>
        <w:t xml:space="preserve">therefore graded as unclear risk of bias. </w:t>
      </w:r>
    </w:p>
    <w:p w14:paraId="1A884C57" w14:textId="2DAA44EC" w:rsidR="005924BF" w:rsidRPr="00BC5500" w:rsidRDefault="00C7757A" w:rsidP="005924BF">
      <w:pPr>
        <w:rPr>
          <w:rFonts w:cstheme="minorHAnsi"/>
        </w:rPr>
      </w:pPr>
      <w:r w:rsidRPr="00BC5500">
        <w:rPr>
          <w:rFonts w:cstheme="minorHAnsi"/>
          <w:i/>
          <w:iCs/>
        </w:rPr>
        <w:t>Independence assumption</w:t>
      </w:r>
      <w:r w:rsidR="00C14BC6">
        <w:rPr>
          <w:rFonts w:cstheme="minorHAnsi"/>
          <w:i/>
          <w:iCs/>
        </w:rPr>
        <w:t xml:space="preserve">. </w:t>
      </w:r>
      <w:r w:rsidR="005924BF" w:rsidRPr="00BC5500">
        <w:rPr>
          <w:rFonts w:cstheme="minorHAnsi"/>
        </w:rPr>
        <w:t>All GWAS</w:t>
      </w:r>
      <w:r w:rsidR="00AC5453">
        <w:rPr>
          <w:rFonts w:cstheme="minorHAnsi"/>
        </w:rPr>
        <w:t xml:space="preserve"> </w:t>
      </w:r>
      <w:r w:rsidR="005924BF" w:rsidRPr="00BC5500">
        <w:rPr>
          <w:rFonts w:cstheme="minorHAnsi"/>
        </w:rPr>
        <w:t>s</w:t>
      </w:r>
      <w:r w:rsidR="00AC5453">
        <w:rPr>
          <w:rFonts w:cstheme="minorHAnsi"/>
        </w:rPr>
        <w:t>cans</w:t>
      </w:r>
      <w:r w:rsidR="005924BF" w:rsidRPr="00BC5500">
        <w:rPr>
          <w:rFonts w:cstheme="minorHAnsi"/>
        </w:rPr>
        <w:t xml:space="preserve"> used had implemented some type of control for population structure, and none of the instruments were associated with hair colour in the negative control</w:t>
      </w:r>
      <w:r w:rsidR="00E64C0F">
        <w:rPr>
          <w:rFonts w:cstheme="minorHAnsi"/>
        </w:rPr>
        <w:t xml:space="preserve"> </w:t>
      </w:r>
      <w:r w:rsidR="00E64C0F" w:rsidRPr="0068126C">
        <w:rPr>
          <w:rFonts w:cstheme="minorHAnsi"/>
        </w:rPr>
        <w:t>(</w:t>
      </w:r>
      <w:r w:rsidR="00BC4652" w:rsidRPr="0068126C">
        <w:rPr>
          <w:rFonts w:cstheme="minorHAnsi"/>
        </w:rPr>
        <w:t>Supplementary Table S</w:t>
      </w:r>
      <w:r w:rsidR="00B21FF6">
        <w:rPr>
          <w:rFonts w:cstheme="minorHAnsi"/>
        </w:rPr>
        <w:t>5</w:t>
      </w:r>
      <w:r w:rsidR="00BC4652" w:rsidRPr="0068126C">
        <w:rPr>
          <w:rFonts w:cstheme="minorHAnsi"/>
        </w:rPr>
        <w:t>)</w:t>
      </w:r>
      <w:r w:rsidR="005924BF" w:rsidRPr="0068126C">
        <w:rPr>
          <w:rFonts w:cstheme="minorHAnsi"/>
        </w:rPr>
        <w:t>.</w:t>
      </w:r>
      <w:r w:rsidR="005924BF" w:rsidRPr="00BC5500">
        <w:rPr>
          <w:rFonts w:cstheme="minorHAnsi"/>
        </w:rPr>
        <w:t xml:space="preserve"> All </w:t>
      </w:r>
      <w:r w:rsidR="005924BF">
        <w:rPr>
          <w:rFonts w:cstheme="minorHAnsi"/>
        </w:rPr>
        <w:t xml:space="preserve">MR approaches </w:t>
      </w:r>
      <w:r w:rsidR="005924BF" w:rsidRPr="00BC5500">
        <w:rPr>
          <w:rFonts w:cstheme="minorHAnsi"/>
        </w:rPr>
        <w:t xml:space="preserve">were </w:t>
      </w:r>
      <w:r w:rsidR="005924BF">
        <w:rPr>
          <w:rFonts w:cstheme="minorHAnsi"/>
        </w:rPr>
        <w:t xml:space="preserve">therefore </w:t>
      </w:r>
      <w:r w:rsidR="005924BF" w:rsidRPr="00BC5500">
        <w:rPr>
          <w:rFonts w:cstheme="minorHAnsi"/>
        </w:rPr>
        <w:t xml:space="preserve">at low risk of bias. </w:t>
      </w:r>
    </w:p>
    <w:p w14:paraId="77A144D2" w14:textId="54118A0D" w:rsidR="00301E81" w:rsidRPr="00BC5500" w:rsidRDefault="00C7757A" w:rsidP="00301E81">
      <w:pPr>
        <w:rPr>
          <w:rFonts w:cstheme="minorHAnsi"/>
        </w:rPr>
      </w:pPr>
      <w:r w:rsidRPr="00BC5500">
        <w:rPr>
          <w:rFonts w:cstheme="minorHAnsi"/>
          <w:i/>
          <w:iCs/>
        </w:rPr>
        <w:t>Exclusion restriction assumption</w:t>
      </w:r>
      <w:r w:rsidR="00C14BC6">
        <w:rPr>
          <w:rFonts w:cstheme="minorHAnsi"/>
          <w:i/>
          <w:iCs/>
        </w:rPr>
        <w:t>.</w:t>
      </w:r>
      <w:r w:rsidR="00301E81">
        <w:rPr>
          <w:rFonts w:cstheme="minorHAnsi"/>
        </w:rPr>
        <w:t xml:space="preserve"> </w:t>
      </w:r>
      <w:r w:rsidR="00301E81" w:rsidRPr="00BC5500">
        <w:rPr>
          <w:rFonts w:cstheme="minorHAnsi"/>
        </w:rPr>
        <w:t xml:space="preserve">Although Cochrane’s Q statistic implied there was evidence of pleiotropy for most </w:t>
      </w:r>
      <w:r w:rsidR="00301E81">
        <w:rPr>
          <w:rFonts w:cstheme="minorHAnsi"/>
        </w:rPr>
        <w:t xml:space="preserve">MR approaches </w:t>
      </w:r>
      <w:r w:rsidR="00301E81" w:rsidRPr="00BC5500">
        <w:rPr>
          <w:rFonts w:cstheme="minorHAnsi"/>
        </w:rPr>
        <w:t xml:space="preserve">in most outcomes, the ‘pleiotropy robust’ estimators all provided consistent estimates. Based on this triangulation, </w:t>
      </w:r>
      <w:r w:rsidR="00301E81">
        <w:rPr>
          <w:rFonts w:cstheme="minorHAnsi"/>
        </w:rPr>
        <w:t xml:space="preserve">MR approaches </w:t>
      </w:r>
      <w:r w:rsidR="00301E81" w:rsidRPr="00BC5500">
        <w:rPr>
          <w:rFonts w:cstheme="minorHAnsi"/>
        </w:rPr>
        <w:t xml:space="preserve">were </w:t>
      </w:r>
      <w:r w:rsidR="00301E81">
        <w:rPr>
          <w:rFonts w:cstheme="minorHAnsi"/>
        </w:rPr>
        <w:t xml:space="preserve">with evidence of </w:t>
      </w:r>
      <w:r w:rsidR="00301E81" w:rsidRPr="00BC5500">
        <w:rPr>
          <w:rFonts w:cstheme="minorHAnsi"/>
        </w:rPr>
        <w:t xml:space="preserve">pleiotropy </w:t>
      </w:r>
      <w:r w:rsidR="00301E81">
        <w:rPr>
          <w:rFonts w:cstheme="minorHAnsi"/>
        </w:rPr>
        <w:t xml:space="preserve">were kept </w:t>
      </w:r>
      <w:r w:rsidR="00301E81" w:rsidRPr="00BC5500">
        <w:rPr>
          <w:rFonts w:cstheme="minorHAnsi"/>
        </w:rPr>
        <w:t>at low risk of bias for this domain.</w:t>
      </w:r>
    </w:p>
    <w:p w14:paraId="5EF1870F" w14:textId="675562C1" w:rsidR="00C7757A" w:rsidRPr="00C14BC6" w:rsidRDefault="00C7757A" w:rsidP="00C7757A">
      <w:pPr>
        <w:rPr>
          <w:rFonts w:cstheme="minorHAnsi"/>
          <w:i/>
          <w:iCs/>
        </w:rPr>
      </w:pPr>
      <w:r w:rsidRPr="00BC5500">
        <w:rPr>
          <w:rFonts w:cstheme="minorHAnsi"/>
          <w:i/>
          <w:iCs/>
        </w:rPr>
        <w:t>Harmonisation</w:t>
      </w:r>
      <w:r w:rsidR="00C14BC6">
        <w:rPr>
          <w:rFonts w:cstheme="minorHAnsi"/>
          <w:i/>
          <w:iCs/>
        </w:rPr>
        <w:t xml:space="preserve">. </w:t>
      </w:r>
      <w:r w:rsidRPr="00BC5500">
        <w:rPr>
          <w:rFonts w:cstheme="minorHAnsi"/>
        </w:rPr>
        <w:t xml:space="preserve">Effect alleles were harmonised in all </w:t>
      </w:r>
      <w:r w:rsidR="00BD05A9">
        <w:rPr>
          <w:rFonts w:cstheme="minorHAnsi"/>
        </w:rPr>
        <w:t xml:space="preserve">MR approaches </w:t>
      </w:r>
      <w:r w:rsidRPr="00BC5500">
        <w:rPr>
          <w:rFonts w:cstheme="minorHAnsi"/>
        </w:rPr>
        <w:t xml:space="preserve">so that effect estimates were in the same direction as the primary exposure GWAS. In addition, we allowed </w:t>
      </w:r>
      <w:proofErr w:type="spellStart"/>
      <w:r w:rsidRPr="00BC5500">
        <w:rPr>
          <w:rFonts w:cstheme="minorHAnsi"/>
        </w:rPr>
        <w:t>TwoSampleMR</w:t>
      </w:r>
      <w:proofErr w:type="spellEnd"/>
      <w:r w:rsidRPr="00BC5500">
        <w:rPr>
          <w:rFonts w:cstheme="minorHAnsi"/>
        </w:rPr>
        <w:t xml:space="preserve"> to remove palindromic SNPs which could not be aligned based on their minor allele frequency. All </w:t>
      </w:r>
      <w:r w:rsidR="00BD05A9">
        <w:rPr>
          <w:rFonts w:cstheme="minorHAnsi"/>
        </w:rPr>
        <w:t xml:space="preserve">MR approaches </w:t>
      </w:r>
      <w:r w:rsidRPr="00BC5500">
        <w:rPr>
          <w:rFonts w:cstheme="minorHAnsi"/>
        </w:rPr>
        <w:t xml:space="preserve">were therefore at low risk of bias in this domain. </w:t>
      </w:r>
    </w:p>
    <w:p w14:paraId="12208375" w14:textId="149DBD5D" w:rsidR="00971886" w:rsidRDefault="00C7757A" w:rsidP="0093701E">
      <w:pPr>
        <w:rPr>
          <w:rFonts w:cstheme="minorHAnsi"/>
        </w:rPr>
      </w:pPr>
      <w:r w:rsidRPr="00BC5500">
        <w:rPr>
          <w:rFonts w:cstheme="minorHAnsi"/>
          <w:i/>
          <w:iCs/>
        </w:rPr>
        <w:t>Same population assumption</w:t>
      </w:r>
      <w:r w:rsidR="00C14BC6" w:rsidRPr="001F3A9E">
        <w:rPr>
          <w:rFonts w:cstheme="minorHAnsi"/>
          <w:i/>
          <w:iCs/>
        </w:rPr>
        <w:t xml:space="preserve">. </w:t>
      </w:r>
      <w:r w:rsidR="0093701E" w:rsidRPr="00814233">
        <w:rPr>
          <w:rFonts w:cstheme="minorHAnsi"/>
        </w:rPr>
        <w:t xml:space="preserve">All samples were drawn from demographically similar GWAS. Specifically, all the exposure GWAS scans were derived from either the UKB or ASLAPC. The fixation index for ASLAPC and UKB is less than 0.001 implying that they are from a homogeneous population. </w:t>
      </w:r>
      <w:r w:rsidR="00D47AC2" w:rsidRPr="001F3A9E">
        <w:rPr>
          <w:rFonts w:cstheme="minorHAnsi"/>
        </w:rPr>
        <w:t xml:space="preserve">All </w:t>
      </w:r>
      <w:r w:rsidR="00D47AC2">
        <w:rPr>
          <w:rFonts w:cstheme="minorHAnsi"/>
        </w:rPr>
        <w:t xml:space="preserve">outcome </w:t>
      </w:r>
      <w:r w:rsidR="00D47AC2" w:rsidRPr="001F3A9E">
        <w:rPr>
          <w:rFonts w:cstheme="minorHAnsi"/>
        </w:rPr>
        <w:t>GWASs included data from the UKB and demographically similar (</w:t>
      </w:r>
      <w:r w:rsidR="00D47AC2">
        <w:rPr>
          <w:rFonts w:cstheme="minorHAnsi"/>
        </w:rPr>
        <w:t xml:space="preserve">based on </w:t>
      </w:r>
      <w:r w:rsidR="00D47AC2" w:rsidRPr="001F3A9E">
        <w:rPr>
          <w:rFonts w:cstheme="minorHAnsi"/>
        </w:rPr>
        <w:t xml:space="preserve">age, sex, </w:t>
      </w:r>
      <w:r w:rsidR="00D47AC2">
        <w:rPr>
          <w:rFonts w:cstheme="minorHAnsi"/>
        </w:rPr>
        <w:t xml:space="preserve">and </w:t>
      </w:r>
      <w:r w:rsidR="00D47AC2" w:rsidRPr="001F3A9E">
        <w:rPr>
          <w:rFonts w:cstheme="minorHAnsi"/>
        </w:rPr>
        <w:t>ethnicity) and can therefore be regarded as being sampled from similar populations.</w:t>
      </w:r>
    </w:p>
    <w:p w14:paraId="4BFBAB8D" w14:textId="76C08B08" w:rsidR="00C7757A" w:rsidRPr="00C14BC6" w:rsidRDefault="00C7757A" w:rsidP="00C7757A">
      <w:pPr>
        <w:rPr>
          <w:rFonts w:cstheme="minorHAnsi"/>
          <w:i/>
          <w:iCs/>
        </w:rPr>
      </w:pPr>
      <w:r w:rsidRPr="00BC5500">
        <w:rPr>
          <w:rFonts w:cstheme="minorHAnsi"/>
          <w:i/>
          <w:iCs/>
        </w:rPr>
        <w:t>Clumping</w:t>
      </w:r>
      <w:r w:rsidR="00C14BC6">
        <w:rPr>
          <w:rFonts w:cstheme="minorHAnsi"/>
          <w:i/>
          <w:iCs/>
        </w:rPr>
        <w:t xml:space="preserve">. </w:t>
      </w:r>
      <w:r w:rsidRPr="00BC5500">
        <w:rPr>
          <w:rFonts w:cstheme="minorHAnsi"/>
        </w:rPr>
        <w:t>All genetic instruments were clumped at an r</w:t>
      </w:r>
      <w:r w:rsidRPr="00BC5500">
        <w:rPr>
          <w:rFonts w:cstheme="minorHAnsi"/>
          <w:vertAlign w:val="superscript"/>
        </w:rPr>
        <w:t>2</w:t>
      </w:r>
      <w:r w:rsidRPr="00BC5500">
        <w:rPr>
          <w:rFonts w:cstheme="minorHAnsi"/>
        </w:rPr>
        <w:t xml:space="preserve"> of 0.001 and KB of 10,000 and so all </w:t>
      </w:r>
      <w:r w:rsidR="00BD05A9">
        <w:rPr>
          <w:rFonts w:cstheme="minorHAnsi"/>
        </w:rPr>
        <w:t xml:space="preserve">MR approaches </w:t>
      </w:r>
      <w:r w:rsidRPr="00BC5500">
        <w:rPr>
          <w:rFonts w:cstheme="minorHAnsi"/>
        </w:rPr>
        <w:t xml:space="preserve">were at low risk of bias in this domain. </w:t>
      </w:r>
    </w:p>
    <w:p w14:paraId="0F5608E6" w14:textId="53A2A54C" w:rsidR="00C7757A" w:rsidRPr="00C14BC6" w:rsidRDefault="00C7757A" w:rsidP="00C7757A">
      <w:pPr>
        <w:rPr>
          <w:rFonts w:cstheme="minorHAnsi"/>
          <w:i/>
          <w:iCs/>
        </w:rPr>
      </w:pPr>
      <w:r w:rsidRPr="00BC5500">
        <w:rPr>
          <w:rFonts w:cstheme="minorHAnsi"/>
          <w:i/>
          <w:iCs/>
        </w:rPr>
        <w:t xml:space="preserve">Winner’s </w:t>
      </w:r>
      <w:r w:rsidR="00C14BC6">
        <w:rPr>
          <w:rFonts w:cstheme="minorHAnsi"/>
          <w:i/>
          <w:iCs/>
        </w:rPr>
        <w:t>C</w:t>
      </w:r>
      <w:r w:rsidRPr="00BC5500">
        <w:rPr>
          <w:rFonts w:cstheme="minorHAnsi"/>
          <w:i/>
          <w:iCs/>
        </w:rPr>
        <w:t>urse</w:t>
      </w:r>
      <w:r w:rsidR="00C14BC6">
        <w:rPr>
          <w:rFonts w:cstheme="minorHAnsi"/>
          <w:i/>
          <w:iCs/>
        </w:rPr>
        <w:t xml:space="preserve">. </w:t>
      </w:r>
      <w:r w:rsidRPr="00BC5500">
        <w:rPr>
          <w:rFonts w:cstheme="minorHAnsi"/>
        </w:rPr>
        <w:t xml:space="preserve">Although the same samples were used to select instruments and to estimate variant-exposure associations, we used the FDR Inverse Quantile Transformation Winner’s </w:t>
      </w:r>
      <w:r w:rsidR="00C14BC6">
        <w:rPr>
          <w:rFonts w:cstheme="minorHAnsi"/>
        </w:rPr>
        <w:t>C</w:t>
      </w:r>
      <w:r w:rsidRPr="00BC5500">
        <w:rPr>
          <w:rFonts w:cstheme="minorHAnsi"/>
        </w:rPr>
        <w:t>urse correction on all exposure GWAS</w:t>
      </w:r>
      <w:r w:rsidR="00AC5453">
        <w:rPr>
          <w:rFonts w:cstheme="minorHAnsi"/>
        </w:rPr>
        <w:t xml:space="preserve"> </w:t>
      </w:r>
      <w:r w:rsidRPr="00BC5500">
        <w:rPr>
          <w:rFonts w:cstheme="minorHAnsi"/>
        </w:rPr>
        <w:t>s</w:t>
      </w:r>
      <w:r w:rsidR="00AC5453">
        <w:rPr>
          <w:rFonts w:cstheme="minorHAnsi"/>
        </w:rPr>
        <w:t>cans</w:t>
      </w:r>
      <w:r w:rsidRPr="00BC5500">
        <w:rPr>
          <w:rFonts w:cstheme="minorHAnsi"/>
        </w:rPr>
        <w:t xml:space="preserve"> </w:t>
      </w:r>
      <w:r w:rsidRPr="00BC5500">
        <w:rPr>
          <w:rFonts w:cstheme="minorHAnsi"/>
        </w:rPr>
        <w:fldChar w:fldCharType="begin"/>
      </w:r>
      <w:r w:rsidRPr="00BC5500">
        <w:rPr>
          <w:rFonts w:cstheme="minorHAnsi"/>
        </w:rPr>
        <w:instrText xml:space="preserve"> ADDIN ZOTERO_ITEM CSL_CITATION {"citationID":"LuGFOxTp","properties":{"formattedCitation":"(32)","plainCitation":"(32)","noteIndex":0},"citationItems":[{"id":21028,"uris":["http://zotero.org/users/1533700/items/IMQ436M2"],"itemData":{"id":21028,"type":"report","abstract":"Genome scans, including both genome-wide association studies and deep sequencing, continue to discover a growing number of significant association signals for various traits. However, often variants meeting genome-wide significance criteria explain far less of the overall trait variance than “sub-threshold” association signals. To extract these sub-threshold signals, there is a need for methods which accurately estimate the mean of all (normally-distributed) test-statistics from a genome scan (i.e., Z-scores). This is currently achieved by the difficult procedures of adjusting all Z-score &lt;img class=\"highwire-embed\" alt=\"Embedded Image\" src=\"https://www.biorxiv.org/sites/default/files/highwire/biorxiv/early/2015/05/13/019299/embed/inline-graphic-1.gif\"/&gt; statistics for “winner’s curse” (multiple testing). Given that multiple testing adjustments are much simpler for p-values, we propose a method for estimating Z-scores means by i) first adjusting their p-values for multiple testing and then ii) transforming the adjusted p-values to upper tail Z-scores with the sign of the original statistics. Because a False Discovery Rate (FDR) procedure is used for multiple testing adjustment, we denote this method FDR Inverse Quantile Transformation (FIQT). When compared to competitors, e.g. Empirical Bayes (including proposed improvements), FIQT is more i) accurate and ii) computationally efficient by orders of magnitude. Its accuracy advantage is substantial at larger sample sizes and/or moderate numbers of association signals. Practical application of FIQT to Z-scores from the first Psychiatric Genetic Consortium (PGC) schizophrenia predicts a non-trivial fraction of the significant signal regions from the subsequent published PGC schizophrenia studies. Finally, we suggest that FIQT might be i) used to improve subject level risk prediction and ii) further improved by modelling the noncentrality of &lt;img class=\"highwire-embed\" alt=\"Embedded Image\" src=\"https://www.biorxiv.org/sites/default/files/highwire/biorxiv/early/2015/05/13/019299/embed/inline-graphic-2.gif\"/&gt; statistics.","language":"en","license":"© 2015, Posted by Cold Spring Harbor Laboratory. The copyright holder for this pre-print is the author. All rights reserved. The material may not be redistributed, re-used or adapted without the author's permission.","note":"DOI: 10.1101/019299\nsection: New Results\ntype: article","page":"019299","publisher":"bioRxiv","source":"bioRxiv","title":"FIQT: a simple, powerful method to accurately estimate effect sizes in genome scans","title-short":"FIQT","URL":"https://www.biorxiv.org/content/10.1101/019299v1","author":[{"family":"Bigdeli","given":"Tim B."},{"family":"Lee","given":"Donghyung"},{"family":"Riley","given":"Brien P."},{"family":"Vladimirov","given":"Vladimir"},{"family":"Fanous","given":"Ayman H."},{"family":"Kendler","given":"Kenneth S."},{"family":"Bacanu","given":"Silviu-Alin"}],"accessed":{"date-parts":[["2022",3,12]]},"issued":{"date-parts":[["2015",5,13]]}}}],"schema":"https://github.com/citation-style-language/schema/raw/master/csl-citation.json"} </w:instrText>
      </w:r>
      <w:r w:rsidRPr="00BC5500">
        <w:rPr>
          <w:rFonts w:cstheme="minorHAnsi"/>
        </w:rPr>
        <w:fldChar w:fldCharType="separate"/>
      </w:r>
      <w:r w:rsidRPr="00BC5500">
        <w:rPr>
          <w:rFonts w:cstheme="minorHAnsi"/>
        </w:rPr>
        <w:t>(32)</w:t>
      </w:r>
      <w:r w:rsidRPr="00BC5500">
        <w:rPr>
          <w:rFonts w:cstheme="minorHAnsi"/>
        </w:rPr>
        <w:fldChar w:fldCharType="end"/>
      </w:r>
      <w:r w:rsidRPr="00BC5500">
        <w:rPr>
          <w:rFonts w:cstheme="minorHAnsi"/>
        </w:rPr>
        <w:t xml:space="preserve">. All </w:t>
      </w:r>
      <w:r w:rsidR="00BD05A9">
        <w:rPr>
          <w:rFonts w:cstheme="minorHAnsi"/>
        </w:rPr>
        <w:t xml:space="preserve">MR approaches </w:t>
      </w:r>
      <w:r w:rsidRPr="00BC5500">
        <w:rPr>
          <w:rFonts w:cstheme="minorHAnsi"/>
        </w:rPr>
        <w:t xml:space="preserve">were therefore classified as low risk of bias in this domain. </w:t>
      </w:r>
    </w:p>
    <w:p w14:paraId="2C149E7A" w14:textId="02765495" w:rsidR="009D4F7C" w:rsidRPr="00C14BC6" w:rsidRDefault="00C7757A">
      <w:pPr>
        <w:rPr>
          <w:rFonts w:cstheme="minorHAnsi"/>
          <w:i/>
          <w:iCs/>
        </w:rPr>
      </w:pPr>
      <w:r w:rsidRPr="00BC5500">
        <w:rPr>
          <w:rFonts w:cstheme="minorHAnsi"/>
          <w:i/>
          <w:iCs/>
        </w:rPr>
        <w:t>Other risk of bias</w:t>
      </w:r>
      <w:r w:rsidR="00C14BC6">
        <w:rPr>
          <w:rFonts w:cstheme="minorHAnsi"/>
          <w:i/>
          <w:iCs/>
        </w:rPr>
        <w:t xml:space="preserve">. </w:t>
      </w:r>
      <w:r w:rsidR="007B058E">
        <w:rPr>
          <w:rFonts w:cstheme="minorHAnsi"/>
        </w:rPr>
        <w:t>There was no</w:t>
      </w:r>
      <w:r w:rsidR="00641930">
        <w:rPr>
          <w:rFonts w:cstheme="minorHAnsi"/>
        </w:rPr>
        <w:t xml:space="preserve"> clear</w:t>
      </w:r>
      <w:r w:rsidR="007B058E">
        <w:rPr>
          <w:rFonts w:cstheme="minorHAnsi"/>
        </w:rPr>
        <w:t xml:space="preserve"> evidence of a difference in MR estimates between the chip adjusted and no-chip adjusted ana</w:t>
      </w:r>
      <w:r w:rsidR="007B058E" w:rsidRPr="0068126C">
        <w:rPr>
          <w:rFonts w:cstheme="minorHAnsi"/>
        </w:rPr>
        <w:t>lysis</w:t>
      </w:r>
      <w:r w:rsidR="00641930">
        <w:rPr>
          <w:rFonts w:cstheme="minorHAnsi"/>
        </w:rPr>
        <w:t xml:space="preserve"> </w:t>
      </w:r>
      <w:r w:rsidR="00BC4652" w:rsidRPr="0068126C">
        <w:rPr>
          <w:rFonts w:cstheme="minorHAnsi"/>
        </w:rPr>
        <w:t>(Supplementary Table S</w:t>
      </w:r>
      <w:r w:rsidR="00B21FF6">
        <w:rPr>
          <w:rFonts w:cstheme="minorHAnsi"/>
        </w:rPr>
        <w:t>4</w:t>
      </w:r>
      <w:r w:rsidR="00BC4652" w:rsidRPr="0068126C">
        <w:rPr>
          <w:rFonts w:cstheme="minorHAnsi"/>
        </w:rPr>
        <w:t>).</w:t>
      </w:r>
      <w:r w:rsidRPr="0068126C">
        <w:rPr>
          <w:rFonts w:cstheme="minorHAnsi"/>
        </w:rPr>
        <w:t xml:space="preserve"> </w:t>
      </w:r>
      <w:r w:rsidR="007B058E" w:rsidRPr="0068126C">
        <w:rPr>
          <w:rFonts w:cstheme="minorHAnsi"/>
        </w:rPr>
        <w:t>All</w:t>
      </w:r>
      <w:r w:rsidRPr="00BC5500">
        <w:rPr>
          <w:rFonts w:cstheme="minorHAnsi"/>
        </w:rPr>
        <w:t xml:space="preserve"> </w:t>
      </w:r>
      <w:r w:rsidR="00BD05A9">
        <w:rPr>
          <w:rFonts w:cstheme="minorHAnsi"/>
        </w:rPr>
        <w:t xml:space="preserve">MR approaches </w:t>
      </w:r>
      <w:r w:rsidRPr="00BC5500">
        <w:rPr>
          <w:rFonts w:cstheme="minorHAnsi"/>
        </w:rPr>
        <w:t xml:space="preserve">were </w:t>
      </w:r>
      <w:r w:rsidR="007B058E">
        <w:rPr>
          <w:rFonts w:cstheme="minorHAnsi"/>
        </w:rPr>
        <w:t xml:space="preserve">therefore kept </w:t>
      </w:r>
      <w:r w:rsidRPr="00BC5500">
        <w:rPr>
          <w:rFonts w:cstheme="minorHAnsi"/>
        </w:rPr>
        <w:t>at low risk of bias</w:t>
      </w:r>
      <w:r w:rsidR="00BC4652">
        <w:rPr>
          <w:rFonts w:cstheme="minorHAnsi"/>
        </w:rPr>
        <w:t>.</w:t>
      </w:r>
    </w:p>
    <w:sectPr w:rsidR="009D4F7C" w:rsidRPr="00C14BC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0FAAA0" w14:textId="77777777" w:rsidR="00E27524" w:rsidRDefault="00E27524" w:rsidP="004E553E">
      <w:pPr>
        <w:spacing w:after="0" w:line="240" w:lineRule="auto"/>
      </w:pPr>
      <w:r>
        <w:separator/>
      </w:r>
    </w:p>
  </w:endnote>
  <w:endnote w:type="continuationSeparator" w:id="0">
    <w:p w14:paraId="55AFEB05" w14:textId="77777777" w:rsidR="00E27524" w:rsidRDefault="00E27524" w:rsidP="004E5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C3DA28" w14:textId="77777777" w:rsidR="00E27524" w:rsidRDefault="00E27524" w:rsidP="004E553E">
      <w:pPr>
        <w:spacing w:after="0" w:line="240" w:lineRule="auto"/>
      </w:pPr>
      <w:r>
        <w:separator/>
      </w:r>
    </w:p>
  </w:footnote>
  <w:footnote w:type="continuationSeparator" w:id="0">
    <w:p w14:paraId="645D56FB" w14:textId="77777777" w:rsidR="00E27524" w:rsidRDefault="00E27524" w:rsidP="004E55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9357318"/>
    <w:multiLevelType w:val="hybridMultilevel"/>
    <w:tmpl w:val="540A664C"/>
    <w:lvl w:ilvl="0" w:tplc="A3E62608">
      <w:numFmt w:val="bullet"/>
      <w:lvlText w:val="-"/>
      <w:lvlJc w:val="left"/>
      <w:pPr>
        <w:ind w:left="720" w:hanging="360"/>
      </w:pPr>
      <w:rPr>
        <w:rFonts w:ascii="Calibri" w:eastAsiaTheme="minorHAnsi" w:hAnsi="Calibri" w:cs="Calibri"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695175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doNotDisplayPageBoundarie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I3MLYwMjE3N7U0MDVV0lEKTi0uzszPAykwNK4FAHmZ/vktAAAA"/>
  </w:docVars>
  <w:rsids>
    <w:rsidRoot w:val="00EF0332"/>
    <w:rsid w:val="00004FFC"/>
    <w:rsid w:val="000061FA"/>
    <w:rsid w:val="000550E9"/>
    <w:rsid w:val="00063474"/>
    <w:rsid w:val="00063D2F"/>
    <w:rsid w:val="00076284"/>
    <w:rsid w:val="000A4DA1"/>
    <w:rsid w:val="000B7FB5"/>
    <w:rsid w:val="000F356B"/>
    <w:rsid w:val="00141F29"/>
    <w:rsid w:val="001C3EF3"/>
    <w:rsid w:val="001F3A9E"/>
    <w:rsid w:val="0022223D"/>
    <w:rsid w:val="00227C87"/>
    <w:rsid w:val="00232FE5"/>
    <w:rsid w:val="00261A9E"/>
    <w:rsid w:val="00301BB7"/>
    <w:rsid w:val="00301E81"/>
    <w:rsid w:val="0031142E"/>
    <w:rsid w:val="00312DFC"/>
    <w:rsid w:val="00322403"/>
    <w:rsid w:val="00333391"/>
    <w:rsid w:val="00352BC1"/>
    <w:rsid w:val="0038797D"/>
    <w:rsid w:val="003A34A7"/>
    <w:rsid w:val="0042419C"/>
    <w:rsid w:val="00434BC6"/>
    <w:rsid w:val="0043653F"/>
    <w:rsid w:val="0043714C"/>
    <w:rsid w:val="0045456F"/>
    <w:rsid w:val="00497B1A"/>
    <w:rsid w:val="004B249F"/>
    <w:rsid w:val="004E553E"/>
    <w:rsid w:val="0053379C"/>
    <w:rsid w:val="00534F9A"/>
    <w:rsid w:val="0054082D"/>
    <w:rsid w:val="0058203D"/>
    <w:rsid w:val="005924BF"/>
    <w:rsid w:val="005927C8"/>
    <w:rsid w:val="005A2E75"/>
    <w:rsid w:val="005D3E53"/>
    <w:rsid w:val="005E1C39"/>
    <w:rsid w:val="00611818"/>
    <w:rsid w:val="006156DD"/>
    <w:rsid w:val="00635CBC"/>
    <w:rsid w:val="00641930"/>
    <w:rsid w:val="00646DE3"/>
    <w:rsid w:val="00653DE2"/>
    <w:rsid w:val="006619D4"/>
    <w:rsid w:val="00675F81"/>
    <w:rsid w:val="0068126C"/>
    <w:rsid w:val="006E0119"/>
    <w:rsid w:val="006F1094"/>
    <w:rsid w:val="007057D5"/>
    <w:rsid w:val="00712F57"/>
    <w:rsid w:val="00727DCF"/>
    <w:rsid w:val="007A067C"/>
    <w:rsid w:val="007B058E"/>
    <w:rsid w:val="008110FA"/>
    <w:rsid w:val="00814233"/>
    <w:rsid w:val="008241A4"/>
    <w:rsid w:val="0084799A"/>
    <w:rsid w:val="0085249C"/>
    <w:rsid w:val="008B1C75"/>
    <w:rsid w:val="008D44C5"/>
    <w:rsid w:val="00912905"/>
    <w:rsid w:val="009172DA"/>
    <w:rsid w:val="00924928"/>
    <w:rsid w:val="009326F4"/>
    <w:rsid w:val="0093701E"/>
    <w:rsid w:val="00971886"/>
    <w:rsid w:val="009D4F7C"/>
    <w:rsid w:val="009E7396"/>
    <w:rsid w:val="00A52812"/>
    <w:rsid w:val="00A81FF7"/>
    <w:rsid w:val="00AB2CFC"/>
    <w:rsid w:val="00AC5453"/>
    <w:rsid w:val="00AD1708"/>
    <w:rsid w:val="00AD6BC0"/>
    <w:rsid w:val="00AF1BBB"/>
    <w:rsid w:val="00AF1FFD"/>
    <w:rsid w:val="00B21FF6"/>
    <w:rsid w:val="00B3024D"/>
    <w:rsid w:val="00B5551F"/>
    <w:rsid w:val="00B727A9"/>
    <w:rsid w:val="00B91F5D"/>
    <w:rsid w:val="00B93305"/>
    <w:rsid w:val="00BC4652"/>
    <w:rsid w:val="00BC5500"/>
    <w:rsid w:val="00BD05A9"/>
    <w:rsid w:val="00C14BC6"/>
    <w:rsid w:val="00C370A7"/>
    <w:rsid w:val="00C407FA"/>
    <w:rsid w:val="00C74BB1"/>
    <w:rsid w:val="00C76469"/>
    <w:rsid w:val="00C7757A"/>
    <w:rsid w:val="00C90259"/>
    <w:rsid w:val="00CC1893"/>
    <w:rsid w:val="00CE52E8"/>
    <w:rsid w:val="00CF4172"/>
    <w:rsid w:val="00D27D8D"/>
    <w:rsid w:val="00D47AC2"/>
    <w:rsid w:val="00D557CF"/>
    <w:rsid w:val="00D83388"/>
    <w:rsid w:val="00DA54F2"/>
    <w:rsid w:val="00DD5004"/>
    <w:rsid w:val="00DE534B"/>
    <w:rsid w:val="00DE6540"/>
    <w:rsid w:val="00E11DCE"/>
    <w:rsid w:val="00E14612"/>
    <w:rsid w:val="00E27524"/>
    <w:rsid w:val="00E41B1F"/>
    <w:rsid w:val="00E51529"/>
    <w:rsid w:val="00E64C0F"/>
    <w:rsid w:val="00EA0837"/>
    <w:rsid w:val="00EA6F55"/>
    <w:rsid w:val="00EF0332"/>
    <w:rsid w:val="00EF55C7"/>
    <w:rsid w:val="00EF7692"/>
    <w:rsid w:val="00FA4A30"/>
    <w:rsid w:val="00FA4C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529312"/>
  <w15:chartTrackingRefBased/>
  <w15:docId w15:val="{53106E9E-E487-4A56-8F32-DB1F75BD8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1B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7757A"/>
    <w:rPr>
      <w:sz w:val="16"/>
      <w:szCs w:val="16"/>
    </w:rPr>
  </w:style>
  <w:style w:type="paragraph" w:styleId="CommentText">
    <w:name w:val="annotation text"/>
    <w:basedOn w:val="Normal"/>
    <w:link w:val="CommentTextChar"/>
    <w:uiPriority w:val="99"/>
    <w:unhideWhenUsed/>
    <w:rsid w:val="00C7757A"/>
    <w:pPr>
      <w:spacing w:line="240" w:lineRule="auto"/>
    </w:pPr>
    <w:rPr>
      <w:sz w:val="20"/>
      <w:szCs w:val="20"/>
    </w:rPr>
  </w:style>
  <w:style w:type="character" w:customStyle="1" w:styleId="CommentTextChar">
    <w:name w:val="Comment Text Char"/>
    <w:basedOn w:val="DefaultParagraphFont"/>
    <w:link w:val="CommentText"/>
    <w:uiPriority w:val="99"/>
    <w:rsid w:val="00C7757A"/>
    <w:rPr>
      <w:sz w:val="20"/>
      <w:szCs w:val="20"/>
    </w:rPr>
  </w:style>
  <w:style w:type="table" w:styleId="TableGrid">
    <w:name w:val="Table Grid"/>
    <w:basedOn w:val="TableNormal"/>
    <w:uiPriority w:val="39"/>
    <w:rsid w:val="00227C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C14BC6"/>
    <w:rPr>
      <w:b/>
      <w:bCs/>
    </w:rPr>
  </w:style>
  <w:style w:type="character" w:customStyle="1" w:styleId="CommentSubjectChar">
    <w:name w:val="Comment Subject Char"/>
    <w:basedOn w:val="CommentTextChar"/>
    <w:link w:val="CommentSubject"/>
    <w:uiPriority w:val="99"/>
    <w:semiHidden/>
    <w:rsid w:val="00C14BC6"/>
    <w:rPr>
      <w:b/>
      <w:bCs/>
      <w:sz w:val="20"/>
      <w:szCs w:val="20"/>
    </w:rPr>
  </w:style>
  <w:style w:type="paragraph" w:styleId="ListParagraph">
    <w:name w:val="List Paragraph"/>
    <w:basedOn w:val="Normal"/>
    <w:uiPriority w:val="34"/>
    <w:qFormat/>
    <w:rsid w:val="00261A9E"/>
    <w:pPr>
      <w:ind w:left="720"/>
      <w:contextualSpacing/>
    </w:pPr>
  </w:style>
  <w:style w:type="paragraph" w:styleId="Revision">
    <w:name w:val="Revision"/>
    <w:hidden/>
    <w:uiPriority w:val="99"/>
    <w:semiHidden/>
    <w:rsid w:val="006419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888</Words>
  <Characters>5065</Characters>
  <Application>Microsoft Office Word</Application>
  <DocSecurity>0</DocSecurity>
  <Lines>42</Lines>
  <Paragraphs>11</Paragraphs>
  <ScaleCrop>false</ScaleCrop>
  <Company/>
  <LinksUpToDate>false</LinksUpToDate>
  <CharactersWithSpaces>5942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Woolf</dc:creator>
  <cp:keywords/>
  <dc:description/>
  <cp:lastModifiedBy>Benjamin Woolf</cp:lastModifiedBy>
  <cp:revision>3</cp:revision>
  <dcterms:created xsi:type="dcterms:W3CDTF">2024-07-30T00:01:00Z</dcterms:created>
  <dcterms:modified xsi:type="dcterms:W3CDTF">2024-07-30T00:20:00Z</dcterms:modified>
</cp:coreProperties>
</file>