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4D55CF8" w14:textId="131E4D8D" w:rsidR="00B7577F" w:rsidRPr="00B7577F" w:rsidRDefault="00B7577F" w:rsidP="00B7577F">
      <w:pPr>
        <w:spacing w:after="0" w:line="240" w:lineRule="auto"/>
        <w:rPr>
          <w:b/>
          <w:bCs/>
        </w:rPr>
      </w:pPr>
      <w:r w:rsidRPr="00B7577F">
        <w:rPr>
          <w:b/>
          <w:bCs/>
        </w:rPr>
        <w:t xml:space="preserve">Supplementary Table </w:t>
      </w:r>
      <w:r w:rsidR="001A5BE8">
        <w:rPr>
          <w:b/>
          <w:bCs/>
        </w:rPr>
        <w:t>S</w:t>
      </w:r>
      <w:r w:rsidRPr="00B7577F">
        <w:rPr>
          <w:b/>
          <w:bCs/>
        </w:rPr>
        <w:t>1: Rational</w:t>
      </w:r>
      <w:r w:rsidR="001C4DE7">
        <w:rPr>
          <w:b/>
          <w:bCs/>
        </w:rPr>
        <w:t>e</w:t>
      </w:r>
      <w:r w:rsidRPr="00B7577F">
        <w:rPr>
          <w:b/>
          <w:bCs/>
        </w:rPr>
        <w:t xml:space="preserve"> for the assumption of independence between the MR estimation approaches.</w:t>
      </w:r>
    </w:p>
    <w:p w14:paraId="1B99F327" w14:textId="77777777" w:rsidR="00B7577F" w:rsidRDefault="00B7577F" w:rsidP="00B7577F">
      <w:pPr>
        <w:spacing w:after="0" w:line="240" w:lineRule="auto"/>
      </w:pPr>
    </w:p>
    <w:tbl>
      <w:tblPr>
        <w:tblStyle w:val="GridTable5Dark-Accent3"/>
        <w:tblW w:w="0" w:type="auto"/>
        <w:tblLayout w:type="fixed"/>
        <w:tblLook w:val="04A0" w:firstRow="1" w:lastRow="0" w:firstColumn="1" w:lastColumn="0" w:noHBand="0" w:noVBand="1"/>
      </w:tblPr>
      <w:tblGrid>
        <w:gridCol w:w="2122"/>
        <w:gridCol w:w="2622"/>
        <w:gridCol w:w="2622"/>
        <w:gridCol w:w="2622"/>
        <w:gridCol w:w="2623"/>
      </w:tblGrid>
      <w:tr w:rsidR="005F66AE" w14:paraId="0FAC8DB6" w14:textId="58DBF769" w:rsidTr="004126F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2" w:type="dxa"/>
            <w:tcBorders>
              <w:top w:val="single" w:sz="4" w:space="0" w:color="auto"/>
              <w:left w:val="single" w:sz="4" w:space="0" w:color="auto"/>
              <w:bottom w:val="single" w:sz="4" w:space="0" w:color="auto"/>
              <w:right w:val="single" w:sz="4" w:space="0" w:color="auto"/>
            </w:tcBorders>
          </w:tcPr>
          <w:p w14:paraId="0CDFBFC8" w14:textId="5D5D1367" w:rsidR="005F66AE" w:rsidRPr="00A158A0" w:rsidRDefault="005F66AE" w:rsidP="00B7577F">
            <w:r>
              <w:t>MR estimation approach</w:t>
            </w:r>
          </w:p>
        </w:tc>
        <w:tc>
          <w:tcPr>
            <w:tcW w:w="2622" w:type="dxa"/>
            <w:tcBorders>
              <w:top w:val="single" w:sz="4" w:space="0" w:color="auto"/>
              <w:left w:val="single" w:sz="4" w:space="0" w:color="auto"/>
              <w:bottom w:val="single" w:sz="4" w:space="0" w:color="auto"/>
              <w:right w:val="single" w:sz="4" w:space="0" w:color="auto"/>
            </w:tcBorders>
          </w:tcPr>
          <w:p w14:paraId="7ECD19FE" w14:textId="227FC994" w:rsidR="005F66AE" w:rsidRPr="007A461D" w:rsidRDefault="005F66AE" w:rsidP="00B7577F">
            <w:pPr>
              <w:cnfStyle w:val="100000000000" w:firstRow="1" w:lastRow="0" w:firstColumn="0" w:lastColumn="0" w:oddVBand="0" w:evenVBand="0" w:oddHBand="0" w:evenHBand="0" w:firstRowFirstColumn="0" w:firstRowLastColumn="0" w:lastRowFirstColumn="0" w:lastRowLastColumn="0"/>
              <w:rPr>
                <w:color w:val="auto"/>
              </w:rPr>
            </w:pPr>
            <w:r w:rsidRPr="007A461D">
              <w:rPr>
                <w:color w:val="auto"/>
              </w:rPr>
              <w:t>Maternal smoking on index individual’s outcome</w:t>
            </w:r>
            <w:r w:rsidR="009461D0">
              <w:rPr>
                <w:color w:val="auto"/>
              </w:rPr>
              <w:t xml:space="preserve"> (Table 1.A1)</w:t>
            </w:r>
          </w:p>
        </w:tc>
        <w:tc>
          <w:tcPr>
            <w:tcW w:w="2622" w:type="dxa"/>
            <w:tcBorders>
              <w:top w:val="single" w:sz="4" w:space="0" w:color="auto"/>
              <w:left w:val="single" w:sz="4" w:space="0" w:color="auto"/>
              <w:bottom w:val="single" w:sz="4" w:space="0" w:color="auto"/>
              <w:right w:val="single" w:sz="4" w:space="0" w:color="auto"/>
            </w:tcBorders>
          </w:tcPr>
          <w:p w14:paraId="757112DD" w14:textId="437E6C81" w:rsidR="005F66AE" w:rsidRPr="007A461D" w:rsidRDefault="005F66AE" w:rsidP="00B7577F">
            <w:pPr>
              <w:cnfStyle w:val="100000000000" w:firstRow="1" w:lastRow="0" w:firstColumn="0" w:lastColumn="0" w:oddVBand="0" w:evenVBand="0" w:oddHBand="0" w:evenHBand="0" w:firstRowFirstColumn="0" w:firstRowLastColumn="0" w:lastRowFirstColumn="0" w:lastRowLastColumn="0"/>
              <w:rPr>
                <w:color w:val="auto"/>
              </w:rPr>
            </w:pPr>
            <w:r w:rsidRPr="007A461D">
              <w:rPr>
                <w:color w:val="auto"/>
              </w:rPr>
              <w:t>Maternal smoking on paternal outcomes</w:t>
            </w:r>
            <w:r w:rsidR="00581B88">
              <w:rPr>
                <w:color w:val="auto"/>
              </w:rPr>
              <w:t xml:space="preserve">  </w:t>
            </w:r>
            <w:r w:rsidR="00581B88">
              <w:rPr>
                <w:color w:val="auto"/>
              </w:rPr>
              <w:t>(Table 1.A</w:t>
            </w:r>
            <w:r w:rsidR="00581B88">
              <w:rPr>
                <w:color w:val="auto"/>
              </w:rPr>
              <w:t>3</w:t>
            </w:r>
            <w:r w:rsidR="00581B88">
              <w:rPr>
                <w:color w:val="auto"/>
              </w:rPr>
              <w:t>)</w:t>
            </w:r>
          </w:p>
        </w:tc>
        <w:tc>
          <w:tcPr>
            <w:tcW w:w="2622" w:type="dxa"/>
            <w:tcBorders>
              <w:top w:val="single" w:sz="4" w:space="0" w:color="auto"/>
              <w:left w:val="single" w:sz="4" w:space="0" w:color="auto"/>
              <w:bottom w:val="single" w:sz="4" w:space="0" w:color="auto"/>
              <w:right w:val="single" w:sz="4" w:space="0" w:color="auto"/>
            </w:tcBorders>
          </w:tcPr>
          <w:p w14:paraId="3196A9C1" w14:textId="540D3B14" w:rsidR="005F66AE" w:rsidRPr="007A461D" w:rsidRDefault="005F66AE" w:rsidP="00B7577F">
            <w:pPr>
              <w:cnfStyle w:val="100000000000" w:firstRow="1" w:lastRow="0" w:firstColumn="0" w:lastColumn="0" w:oddVBand="0" w:evenVBand="0" w:oddHBand="0" w:evenHBand="0" w:firstRowFirstColumn="0" w:firstRowLastColumn="0" w:lastRowFirstColumn="0" w:lastRowLastColumn="0"/>
              <w:rPr>
                <w:color w:val="auto"/>
              </w:rPr>
            </w:pPr>
            <w:r w:rsidRPr="007A461D">
              <w:rPr>
                <w:color w:val="auto"/>
              </w:rPr>
              <w:t>Paternal smoking on maternal outcomes</w:t>
            </w:r>
            <w:r w:rsidR="00581B88">
              <w:rPr>
                <w:color w:val="auto"/>
              </w:rPr>
              <w:t xml:space="preserve"> </w:t>
            </w:r>
            <w:r w:rsidR="00581B88">
              <w:rPr>
                <w:color w:val="auto"/>
              </w:rPr>
              <w:t>(Table 1.A</w:t>
            </w:r>
            <w:r w:rsidR="00581B88">
              <w:rPr>
                <w:color w:val="auto"/>
              </w:rPr>
              <w:t>4</w:t>
            </w:r>
            <w:r w:rsidR="00581B88">
              <w:rPr>
                <w:color w:val="auto"/>
              </w:rPr>
              <w:t>)</w:t>
            </w:r>
          </w:p>
        </w:tc>
        <w:tc>
          <w:tcPr>
            <w:tcW w:w="2623" w:type="dxa"/>
            <w:tcBorders>
              <w:top w:val="single" w:sz="4" w:space="0" w:color="auto"/>
              <w:left w:val="single" w:sz="4" w:space="0" w:color="auto"/>
              <w:bottom w:val="single" w:sz="4" w:space="0" w:color="auto"/>
              <w:right w:val="single" w:sz="4" w:space="0" w:color="auto"/>
            </w:tcBorders>
          </w:tcPr>
          <w:p w14:paraId="09AF5EED" w14:textId="051B280A" w:rsidR="005F66AE" w:rsidRPr="007A461D" w:rsidRDefault="005F66AE" w:rsidP="00B7577F">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auto"/>
                <w:lang w:eastAsia="en-GB"/>
              </w:rPr>
            </w:pPr>
            <w:r w:rsidRPr="007A461D">
              <w:rPr>
                <w:color w:val="auto"/>
              </w:rPr>
              <w:t>Paternal smoking on index individual’s outcome</w:t>
            </w:r>
            <w:r w:rsidR="00842AE3">
              <w:rPr>
                <w:color w:val="auto"/>
              </w:rPr>
              <w:t xml:space="preserve"> </w:t>
            </w:r>
            <w:r w:rsidR="00842AE3">
              <w:rPr>
                <w:color w:val="auto"/>
              </w:rPr>
              <w:t>(Table 1.A</w:t>
            </w:r>
            <w:r w:rsidR="00842AE3">
              <w:rPr>
                <w:color w:val="auto"/>
              </w:rPr>
              <w:t>2</w:t>
            </w:r>
            <w:r w:rsidR="00842AE3">
              <w:rPr>
                <w:color w:val="auto"/>
              </w:rPr>
              <w:t>)</w:t>
            </w:r>
          </w:p>
        </w:tc>
      </w:tr>
      <w:tr w:rsidR="005F66AE" w14:paraId="46788DA3" w14:textId="27D94D2A" w:rsidTr="004126F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2" w:type="dxa"/>
            <w:tcBorders>
              <w:top w:val="single" w:sz="4" w:space="0" w:color="auto"/>
              <w:left w:val="single" w:sz="4" w:space="0" w:color="auto"/>
              <w:bottom w:val="single" w:sz="4" w:space="0" w:color="auto"/>
              <w:right w:val="single" w:sz="4" w:space="0" w:color="auto"/>
            </w:tcBorders>
          </w:tcPr>
          <w:p w14:paraId="0D5F5944" w14:textId="0F1963E4" w:rsidR="005F66AE" w:rsidRPr="007A461D" w:rsidRDefault="005F66AE" w:rsidP="00B7577F">
            <w:pPr>
              <w:rPr>
                <w:color w:val="auto"/>
              </w:rPr>
            </w:pPr>
            <w:r w:rsidRPr="007A461D">
              <w:rPr>
                <w:color w:val="auto"/>
              </w:rPr>
              <w:t>Maternal smoking on index individual’s outcome</w:t>
            </w:r>
            <w:r w:rsidR="00842AE3">
              <w:rPr>
                <w:color w:val="auto"/>
              </w:rPr>
              <w:t xml:space="preserve"> </w:t>
            </w:r>
            <w:r w:rsidR="00842AE3">
              <w:rPr>
                <w:color w:val="auto"/>
              </w:rPr>
              <w:t>(Table 1.A1)</w:t>
            </w:r>
          </w:p>
        </w:tc>
        <w:tc>
          <w:tcPr>
            <w:tcW w:w="2622" w:type="dxa"/>
            <w:tcBorders>
              <w:top w:val="single" w:sz="4" w:space="0" w:color="auto"/>
              <w:left w:val="single" w:sz="4" w:space="0" w:color="auto"/>
            </w:tcBorders>
          </w:tcPr>
          <w:p w14:paraId="1DF04804" w14:textId="4905EC85" w:rsidR="005F66AE" w:rsidRDefault="005F66AE" w:rsidP="00B7577F">
            <w:pPr>
              <w:cnfStyle w:val="000000100000" w:firstRow="0" w:lastRow="0" w:firstColumn="0" w:lastColumn="0" w:oddVBand="0" w:evenVBand="0" w:oddHBand="1" w:evenHBand="0" w:firstRowFirstColumn="0" w:firstRowLastColumn="0" w:lastRowFirstColumn="0" w:lastRowLastColumn="0"/>
            </w:pPr>
            <w:r>
              <w:t>--</w:t>
            </w:r>
          </w:p>
        </w:tc>
        <w:tc>
          <w:tcPr>
            <w:tcW w:w="2622" w:type="dxa"/>
            <w:tcBorders>
              <w:top w:val="single" w:sz="4" w:space="0" w:color="auto"/>
            </w:tcBorders>
          </w:tcPr>
          <w:p w14:paraId="5CF6B6B7" w14:textId="2EC05A59" w:rsidR="005F66AE" w:rsidRDefault="005F66AE" w:rsidP="00B7577F">
            <w:pPr>
              <w:cnfStyle w:val="000000100000" w:firstRow="0" w:lastRow="0" w:firstColumn="0" w:lastColumn="0" w:oddVBand="0" w:evenVBand="0" w:oddHBand="1" w:evenHBand="0" w:firstRowFirstColumn="0" w:firstRowLastColumn="0" w:lastRowFirstColumn="0" w:lastRowLastColumn="0"/>
            </w:pPr>
            <w:r>
              <w:t>No outcome sample overlap</w:t>
            </w:r>
            <w:r>
              <w:rPr>
                <w:vertAlign w:val="superscript"/>
              </w:rPr>
              <w:t>2</w:t>
            </w:r>
          </w:p>
        </w:tc>
        <w:tc>
          <w:tcPr>
            <w:tcW w:w="2622" w:type="dxa"/>
            <w:tcBorders>
              <w:top w:val="single" w:sz="4" w:space="0" w:color="auto"/>
            </w:tcBorders>
          </w:tcPr>
          <w:p w14:paraId="60940B07" w14:textId="1A8ADD7A" w:rsidR="005F66AE" w:rsidRDefault="003B3CCB" w:rsidP="00B7577F">
            <w:pPr>
              <w:cnfStyle w:val="000000100000" w:firstRow="0" w:lastRow="0" w:firstColumn="0" w:lastColumn="0" w:oddVBand="0" w:evenVBand="0" w:oddHBand="1" w:evenHBand="0" w:firstRowFirstColumn="0" w:firstRowLastColumn="0" w:lastRowFirstColumn="0" w:lastRowLastColumn="0"/>
            </w:pPr>
            <w:r>
              <w:t>N</w:t>
            </w:r>
            <w:r w:rsidR="005F66AE">
              <w:t>o outcome sample overlap</w:t>
            </w:r>
            <w:r w:rsidR="005F66AE">
              <w:rPr>
                <w:vertAlign w:val="superscript"/>
              </w:rPr>
              <w:t xml:space="preserve">2 </w:t>
            </w:r>
          </w:p>
        </w:tc>
        <w:tc>
          <w:tcPr>
            <w:tcW w:w="2623" w:type="dxa"/>
            <w:tcBorders>
              <w:top w:val="single" w:sz="4" w:space="0" w:color="auto"/>
            </w:tcBorders>
          </w:tcPr>
          <w:p w14:paraId="56721E65" w14:textId="1028D075" w:rsidR="005F66AE" w:rsidRPr="00EB260F" w:rsidRDefault="005F66AE" w:rsidP="00B7577F">
            <w:pPr>
              <w:cnfStyle w:val="000000100000" w:firstRow="0" w:lastRow="0" w:firstColumn="0" w:lastColumn="0" w:oddVBand="0" w:evenVBand="0" w:oddHBand="1" w:evenHBand="0" w:firstRowFirstColumn="0" w:firstRowLastColumn="0" w:lastRowFirstColumn="0" w:lastRowLastColumn="0"/>
              <w:rPr>
                <w:u w:val="single"/>
              </w:rPr>
            </w:pPr>
            <w:r w:rsidRPr="00297769">
              <w:rPr>
                <w:color w:val="FF0000"/>
                <w:u w:val="single"/>
              </w:rPr>
              <w:t>Uncertain if independent</w:t>
            </w:r>
            <w:r>
              <w:rPr>
                <w:color w:val="FF0000"/>
                <w:u w:val="single"/>
                <w:vertAlign w:val="superscript"/>
              </w:rPr>
              <w:t>3</w:t>
            </w:r>
          </w:p>
        </w:tc>
      </w:tr>
      <w:tr w:rsidR="005F66AE" w14:paraId="4170861A" w14:textId="4640ECCE" w:rsidTr="004126FA">
        <w:tc>
          <w:tcPr>
            <w:cnfStyle w:val="001000000000" w:firstRow="0" w:lastRow="0" w:firstColumn="1" w:lastColumn="0" w:oddVBand="0" w:evenVBand="0" w:oddHBand="0" w:evenHBand="0" w:firstRowFirstColumn="0" w:firstRowLastColumn="0" w:lastRowFirstColumn="0" w:lastRowLastColumn="0"/>
            <w:tcW w:w="2122" w:type="dxa"/>
            <w:tcBorders>
              <w:top w:val="single" w:sz="4" w:space="0" w:color="auto"/>
              <w:left w:val="single" w:sz="4" w:space="0" w:color="auto"/>
              <w:bottom w:val="single" w:sz="4" w:space="0" w:color="auto"/>
              <w:right w:val="single" w:sz="4" w:space="0" w:color="auto"/>
            </w:tcBorders>
          </w:tcPr>
          <w:p w14:paraId="14FF49EF" w14:textId="6E749246" w:rsidR="005F66AE" w:rsidRPr="007A461D" w:rsidRDefault="005F66AE" w:rsidP="00B7577F">
            <w:pPr>
              <w:rPr>
                <w:color w:val="auto"/>
              </w:rPr>
            </w:pPr>
            <w:r w:rsidRPr="007A461D">
              <w:rPr>
                <w:color w:val="auto"/>
              </w:rPr>
              <w:t>Maternal smoking on paternal outcomes</w:t>
            </w:r>
            <w:r w:rsidR="00581B88">
              <w:rPr>
                <w:color w:val="auto"/>
              </w:rPr>
              <w:t xml:space="preserve"> </w:t>
            </w:r>
            <w:r w:rsidR="00581B88">
              <w:rPr>
                <w:color w:val="auto"/>
              </w:rPr>
              <w:t>(Table 1.A3)</w:t>
            </w:r>
          </w:p>
        </w:tc>
        <w:tc>
          <w:tcPr>
            <w:tcW w:w="2622" w:type="dxa"/>
            <w:tcBorders>
              <w:left w:val="single" w:sz="4" w:space="0" w:color="auto"/>
            </w:tcBorders>
          </w:tcPr>
          <w:p w14:paraId="20C41272" w14:textId="4E369473" w:rsidR="005F66AE" w:rsidRDefault="005F66AE" w:rsidP="00B7577F">
            <w:pPr>
              <w:cnfStyle w:val="000000000000" w:firstRow="0" w:lastRow="0" w:firstColumn="0" w:lastColumn="0" w:oddVBand="0" w:evenVBand="0" w:oddHBand="0" w:evenHBand="0" w:firstRowFirstColumn="0" w:firstRowLastColumn="0" w:lastRowFirstColumn="0" w:lastRowLastColumn="0"/>
            </w:pPr>
            <w:r>
              <w:t>--</w:t>
            </w:r>
          </w:p>
        </w:tc>
        <w:tc>
          <w:tcPr>
            <w:tcW w:w="2622" w:type="dxa"/>
          </w:tcPr>
          <w:p w14:paraId="391830D9" w14:textId="5A836F61" w:rsidR="005F66AE" w:rsidRDefault="005F66AE" w:rsidP="00B7577F">
            <w:pPr>
              <w:cnfStyle w:val="000000000000" w:firstRow="0" w:lastRow="0" w:firstColumn="0" w:lastColumn="0" w:oddVBand="0" w:evenVBand="0" w:oddHBand="0" w:evenHBand="0" w:firstRowFirstColumn="0" w:firstRowLastColumn="0" w:lastRowFirstColumn="0" w:lastRowLastColumn="0"/>
            </w:pPr>
            <w:r>
              <w:t>--</w:t>
            </w:r>
          </w:p>
        </w:tc>
        <w:tc>
          <w:tcPr>
            <w:tcW w:w="2622" w:type="dxa"/>
          </w:tcPr>
          <w:p w14:paraId="32885640" w14:textId="5C5F647D" w:rsidR="005F66AE" w:rsidRPr="00D22F49" w:rsidRDefault="005F66AE" w:rsidP="00B7577F">
            <w:pPr>
              <w:cnfStyle w:val="000000000000" w:firstRow="0" w:lastRow="0" w:firstColumn="0" w:lastColumn="0" w:oddVBand="0" w:evenVBand="0" w:oddHBand="0" w:evenHBand="0" w:firstRowFirstColumn="0" w:firstRowLastColumn="0" w:lastRowFirstColumn="0" w:lastRowLastColumn="0"/>
              <w:rPr>
                <w:b/>
                <w:bCs/>
              </w:rPr>
            </w:pPr>
            <w:r>
              <w:t xml:space="preserve">Factorial experiment </w:t>
            </w:r>
            <w:r w:rsidR="003B3CCB">
              <w:t>and</w:t>
            </w:r>
            <w:r>
              <w:t xml:space="preserve"> no outcome sample overlap</w:t>
            </w:r>
            <w:r>
              <w:rPr>
                <w:vertAlign w:val="superscript"/>
              </w:rPr>
              <w:t>1</w:t>
            </w:r>
          </w:p>
        </w:tc>
        <w:tc>
          <w:tcPr>
            <w:tcW w:w="2623" w:type="dxa"/>
          </w:tcPr>
          <w:p w14:paraId="43C96564" w14:textId="529F0113" w:rsidR="005F66AE" w:rsidRDefault="005F66AE" w:rsidP="00B7577F">
            <w:pPr>
              <w:cnfStyle w:val="000000000000" w:firstRow="0" w:lastRow="0" w:firstColumn="0" w:lastColumn="0" w:oddVBand="0" w:evenVBand="0" w:oddHBand="0" w:evenHBand="0" w:firstRowFirstColumn="0" w:firstRowLastColumn="0" w:lastRowFirstColumn="0" w:lastRowLastColumn="0"/>
            </w:pPr>
            <w:r>
              <w:t xml:space="preserve">Factorial experiment </w:t>
            </w:r>
            <w:r w:rsidR="003B3CCB">
              <w:t>and</w:t>
            </w:r>
            <w:r>
              <w:t xml:space="preserve"> no outcome sample overlap</w:t>
            </w:r>
            <w:r>
              <w:rPr>
                <w:vertAlign w:val="superscript"/>
              </w:rPr>
              <w:t>1</w:t>
            </w:r>
          </w:p>
        </w:tc>
      </w:tr>
      <w:tr w:rsidR="005F66AE" w14:paraId="499CA986" w14:textId="1A200AE4" w:rsidTr="004126F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2" w:type="dxa"/>
            <w:tcBorders>
              <w:top w:val="single" w:sz="4" w:space="0" w:color="auto"/>
              <w:left w:val="single" w:sz="4" w:space="0" w:color="auto"/>
              <w:bottom w:val="single" w:sz="4" w:space="0" w:color="auto"/>
              <w:right w:val="single" w:sz="4" w:space="0" w:color="auto"/>
            </w:tcBorders>
          </w:tcPr>
          <w:p w14:paraId="407D2B62" w14:textId="77777777" w:rsidR="005F66AE" w:rsidRDefault="005F66AE" w:rsidP="00B7577F">
            <w:pPr>
              <w:rPr>
                <w:b w:val="0"/>
                <w:bCs w:val="0"/>
              </w:rPr>
            </w:pPr>
            <w:r w:rsidRPr="007A461D">
              <w:rPr>
                <w:color w:val="auto"/>
              </w:rPr>
              <w:t>Paternal smoking on maternal outcomes</w:t>
            </w:r>
          </w:p>
          <w:p w14:paraId="0FFBB4E3" w14:textId="1E7A70F0" w:rsidR="003B3CCB" w:rsidRPr="007A461D" w:rsidRDefault="00581B88" w:rsidP="00B7577F">
            <w:pPr>
              <w:rPr>
                <w:color w:val="auto"/>
              </w:rPr>
            </w:pPr>
            <w:r>
              <w:rPr>
                <w:color w:val="auto"/>
              </w:rPr>
              <w:t xml:space="preserve"> </w:t>
            </w:r>
            <w:r>
              <w:rPr>
                <w:color w:val="auto"/>
              </w:rPr>
              <w:t>(Table 1.A</w:t>
            </w:r>
            <w:r>
              <w:rPr>
                <w:color w:val="auto"/>
              </w:rPr>
              <w:t>4</w:t>
            </w:r>
            <w:r>
              <w:rPr>
                <w:color w:val="auto"/>
              </w:rPr>
              <w:t>)</w:t>
            </w:r>
          </w:p>
        </w:tc>
        <w:tc>
          <w:tcPr>
            <w:tcW w:w="2622" w:type="dxa"/>
            <w:tcBorders>
              <w:left w:val="single" w:sz="4" w:space="0" w:color="auto"/>
            </w:tcBorders>
          </w:tcPr>
          <w:p w14:paraId="46570F6D" w14:textId="5E53F48E" w:rsidR="005F66AE" w:rsidRDefault="005F66AE" w:rsidP="00B7577F">
            <w:pPr>
              <w:cnfStyle w:val="000000100000" w:firstRow="0" w:lastRow="0" w:firstColumn="0" w:lastColumn="0" w:oddVBand="0" w:evenVBand="0" w:oddHBand="1" w:evenHBand="0" w:firstRowFirstColumn="0" w:firstRowLastColumn="0" w:lastRowFirstColumn="0" w:lastRowLastColumn="0"/>
            </w:pPr>
            <w:r>
              <w:t>--</w:t>
            </w:r>
          </w:p>
        </w:tc>
        <w:tc>
          <w:tcPr>
            <w:tcW w:w="2622" w:type="dxa"/>
          </w:tcPr>
          <w:p w14:paraId="7AFDC83B" w14:textId="2BD12D20" w:rsidR="005F66AE" w:rsidRDefault="005F66AE" w:rsidP="00B7577F">
            <w:pPr>
              <w:cnfStyle w:val="000000100000" w:firstRow="0" w:lastRow="0" w:firstColumn="0" w:lastColumn="0" w:oddVBand="0" w:evenVBand="0" w:oddHBand="1" w:evenHBand="0" w:firstRowFirstColumn="0" w:firstRowLastColumn="0" w:lastRowFirstColumn="0" w:lastRowLastColumn="0"/>
            </w:pPr>
            <w:r>
              <w:t>--</w:t>
            </w:r>
          </w:p>
        </w:tc>
        <w:tc>
          <w:tcPr>
            <w:tcW w:w="2622" w:type="dxa"/>
          </w:tcPr>
          <w:p w14:paraId="54925147" w14:textId="7472CFD1" w:rsidR="005F66AE" w:rsidRDefault="005F66AE" w:rsidP="00B7577F">
            <w:pPr>
              <w:cnfStyle w:val="000000100000" w:firstRow="0" w:lastRow="0" w:firstColumn="0" w:lastColumn="0" w:oddVBand="0" w:evenVBand="0" w:oddHBand="1" w:evenHBand="0" w:firstRowFirstColumn="0" w:firstRowLastColumn="0" w:lastRowFirstColumn="0" w:lastRowLastColumn="0"/>
            </w:pPr>
            <w:r>
              <w:t>--</w:t>
            </w:r>
          </w:p>
        </w:tc>
        <w:tc>
          <w:tcPr>
            <w:tcW w:w="2623" w:type="dxa"/>
          </w:tcPr>
          <w:p w14:paraId="5A4E7AAF" w14:textId="50EEAB64" w:rsidR="005F66AE" w:rsidRDefault="005F66AE" w:rsidP="00B7577F">
            <w:pPr>
              <w:cnfStyle w:val="000000100000" w:firstRow="0" w:lastRow="0" w:firstColumn="0" w:lastColumn="0" w:oddVBand="0" w:evenVBand="0" w:oddHBand="1" w:evenHBand="0" w:firstRowFirstColumn="0" w:firstRowLastColumn="0" w:lastRowFirstColumn="0" w:lastRowLastColumn="0"/>
            </w:pPr>
            <w:r>
              <w:t>No outcome sample overlap</w:t>
            </w:r>
            <w:r>
              <w:rPr>
                <w:vertAlign w:val="superscript"/>
              </w:rPr>
              <w:t>2</w:t>
            </w:r>
          </w:p>
        </w:tc>
      </w:tr>
      <w:tr w:rsidR="005F66AE" w14:paraId="7F32EF80" w14:textId="5EE12DEA" w:rsidTr="004126FA">
        <w:tc>
          <w:tcPr>
            <w:cnfStyle w:val="001000000000" w:firstRow="0" w:lastRow="0" w:firstColumn="1" w:lastColumn="0" w:oddVBand="0" w:evenVBand="0" w:oddHBand="0" w:evenHBand="0" w:firstRowFirstColumn="0" w:firstRowLastColumn="0" w:lastRowFirstColumn="0" w:lastRowLastColumn="0"/>
            <w:tcW w:w="2122" w:type="dxa"/>
            <w:tcBorders>
              <w:top w:val="single" w:sz="4" w:space="0" w:color="auto"/>
              <w:left w:val="single" w:sz="4" w:space="0" w:color="auto"/>
              <w:bottom w:val="single" w:sz="4" w:space="0" w:color="auto"/>
              <w:right w:val="single" w:sz="4" w:space="0" w:color="auto"/>
            </w:tcBorders>
          </w:tcPr>
          <w:p w14:paraId="08039911" w14:textId="68F8403E" w:rsidR="005F66AE" w:rsidRPr="007A461D" w:rsidRDefault="005F66AE" w:rsidP="00B7577F">
            <w:pPr>
              <w:rPr>
                <w:color w:val="auto"/>
              </w:rPr>
            </w:pPr>
            <w:r w:rsidRPr="007A461D">
              <w:rPr>
                <w:color w:val="auto"/>
              </w:rPr>
              <w:t>Paternal smoking on index individual’s outcome</w:t>
            </w:r>
            <w:r w:rsidR="00842AE3">
              <w:rPr>
                <w:color w:val="auto"/>
              </w:rPr>
              <w:t xml:space="preserve"> </w:t>
            </w:r>
            <w:r w:rsidR="00842AE3">
              <w:rPr>
                <w:color w:val="auto"/>
              </w:rPr>
              <w:t>(Table 1.A</w:t>
            </w:r>
            <w:r w:rsidR="00842AE3">
              <w:rPr>
                <w:color w:val="auto"/>
              </w:rPr>
              <w:t>2</w:t>
            </w:r>
            <w:r w:rsidR="00842AE3">
              <w:rPr>
                <w:color w:val="auto"/>
              </w:rPr>
              <w:t>)</w:t>
            </w:r>
          </w:p>
        </w:tc>
        <w:tc>
          <w:tcPr>
            <w:tcW w:w="2622" w:type="dxa"/>
            <w:tcBorders>
              <w:left w:val="single" w:sz="4" w:space="0" w:color="auto"/>
            </w:tcBorders>
          </w:tcPr>
          <w:p w14:paraId="0D13C705" w14:textId="0F6BC9DF" w:rsidR="005F66AE" w:rsidRDefault="005F66AE" w:rsidP="00B7577F">
            <w:pPr>
              <w:cnfStyle w:val="000000000000" w:firstRow="0" w:lastRow="0" w:firstColumn="0" w:lastColumn="0" w:oddVBand="0" w:evenVBand="0" w:oddHBand="0" w:evenHBand="0" w:firstRowFirstColumn="0" w:firstRowLastColumn="0" w:lastRowFirstColumn="0" w:lastRowLastColumn="0"/>
            </w:pPr>
            <w:r>
              <w:t>--</w:t>
            </w:r>
          </w:p>
        </w:tc>
        <w:tc>
          <w:tcPr>
            <w:tcW w:w="2622" w:type="dxa"/>
          </w:tcPr>
          <w:p w14:paraId="29F32FE2" w14:textId="4D0CE597" w:rsidR="005F66AE" w:rsidRDefault="005F66AE" w:rsidP="00B7577F">
            <w:pPr>
              <w:cnfStyle w:val="000000000000" w:firstRow="0" w:lastRow="0" w:firstColumn="0" w:lastColumn="0" w:oddVBand="0" w:evenVBand="0" w:oddHBand="0" w:evenHBand="0" w:firstRowFirstColumn="0" w:firstRowLastColumn="0" w:lastRowFirstColumn="0" w:lastRowLastColumn="0"/>
            </w:pPr>
            <w:r>
              <w:t>--</w:t>
            </w:r>
          </w:p>
        </w:tc>
        <w:tc>
          <w:tcPr>
            <w:tcW w:w="2622" w:type="dxa"/>
          </w:tcPr>
          <w:p w14:paraId="70D480D0" w14:textId="1C65A5AC" w:rsidR="005F66AE" w:rsidRDefault="005F66AE" w:rsidP="00B7577F">
            <w:pPr>
              <w:cnfStyle w:val="000000000000" w:firstRow="0" w:lastRow="0" w:firstColumn="0" w:lastColumn="0" w:oddVBand="0" w:evenVBand="0" w:oddHBand="0" w:evenHBand="0" w:firstRowFirstColumn="0" w:firstRowLastColumn="0" w:lastRowFirstColumn="0" w:lastRowLastColumn="0"/>
            </w:pPr>
            <w:r>
              <w:t>--</w:t>
            </w:r>
          </w:p>
        </w:tc>
        <w:tc>
          <w:tcPr>
            <w:tcW w:w="2623" w:type="dxa"/>
          </w:tcPr>
          <w:p w14:paraId="7FAB57B3" w14:textId="217185D9" w:rsidR="005F66AE" w:rsidRDefault="005F66AE" w:rsidP="00B7577F">
            <w:pPr>
              <w:cnfStyle w:val="000000000000" w:firstRow="0" w:lastRow="0" w:firstColumn="0" w:lastColumn="0" w:oddVBand="0" w:evenVBand="0" w:oddHBand="0" w:evenHBand="0" w:firstRowFirstColumn="0" w:firstRowLastColumn="0" w:lastRowFirstColumn="0" w:lastRowLastColumn="0"/>
            </w:pPr>
            <w:r>
              <w:t>--</w:t>
            </w:r>
          </w:p>
        </w:tc>
      </w:tr>
    </w:tbl>
    <w:p w14:paraId="213B23B3" w14:textId="77777777" w:rsidR="00B7577F" w:rsidRDefault="00B7577F" w:rsidP="00B7577F">
      <w:pPr>
        <w:spacing w:after="0" w:line="240" w:lineRule="auto"/>
      </w:pPr>
    </w:p>
    <w:p w14:paraId="23A2B4D5" w14:textId="6499D3F3" w:rsidR="004E61B8" w:rsidRDefault="00D52F1F" w:rsidP="00B7577F">
      <w:pPr>
        <w:spacing w:after="0" w:line="240" w:lineRule="auto"/>
      </w:pPr>
      <w:r>
        <w:t>MR</w:t>
      </w:r>
      <w:r w:rsidR="00772B0C">
        <w:t xml:space="preserve"> analyses will be </w:t>
      </w:r>
      <w:r>
        <w:t>independent</w:t>
      </w:r>
      <w:r w:rsidR="00772B0C">
        <w:t xml:space="preserve"> if</w:t>
      </w:r>
      <w:r w:rsidR="00AD617A">
        <w:t xml:space="preserve">: 1) the </w:t>
      </w:r>
      <w:r w:rsidR="00E77424">
        <w:t>instruments</w:t>
      </w:r>
      <w:r w:rsidR="00AD617A">
        <w:t xml:space="preserve"> </w:t>
      </w:r>
      <w:r w:rsidR="00C925F9">
        <w:t>are independent</w:t>
      </w:r>
      <w:r w:rsidR="00AD617A">
        <w:t>,</w:t>
      </w:r>
      <w:r w:rsidR="00B97697">
        <w:t xml:space="preserve"> by </w:t>
      </w:r>
      <w:r w:rsidR="00E77424">
        <w:t>analogy</w:t>
      </w:r>
      <w:r w:rsidR="00AD617A">
        <w:t xml:space="preserve"> with a </w:t>
      </w:r>
      <w:r w:rsidR="00E77424">
        <w:t>factorial</w:t>
      </w:r>
      <w:r w:rsidR="00AD617A">
        <w:t xml:space="preserve"> </w:t>
      </w:r>
      <w:r w:rsidR="00E77424">
        <w:t>experiment</w:t>
      </w:r>
      <w:r w:rsidR="003B3CCB">
        <w:t>,</w:t>
      </w:r>
      <w:r w:rsidR="00AD617A">
        <w:t xml:space="preserve"> </w:t>
      </w:r>
      <w:r w:rsidR="003B3CCB">
        <w:t xml:space="preserve">and </w:t>
      </w:r>
      <w:r w:rsidR="00AD617A">
        <w:t xml:space="preserve">2) </w:t>
      </w:r>
      <w:r w:rsidR="00B97697">
        <w:t xml:space="preserve">the </w:t>
      </w:r>
      <w:r w:rsidR="00CD5919">
        <w:t>participants</w:t>
      </w:r>
      <w:r w:rsidR="00B97697">
        <w:t xml:space="preserve"> in the outcome </w:t>
      </w:r>
      <w:r w:rsidR="00CD5919">
        <w:t>sample</w:t>
      </w:r>
      <w:r w:rsidR="00B97697">
        <w:t xml:space="preserve"> do not overlap</w:t>
      </w:r>
      <w:r w:rsidR="0051707B">
        <w:t xml:space="preserve"> and there is not a correlation which could be due to assortative mating</w:t>
      </w:r>
      <w:r w:rsidR="00CD5919">
        <w:t xml:space="preserve">. </w:t>
      </w:r>
      <w:r w:rsidR="00D327DC">
        <w:t>Under the assumption of no weak instruments, the two-sample MR casual effect, and importantly the standard error, used in the MR estimation approaches is the casual effect and standard error of the instrument on the outcome estimated in the outcome sample scaled by the instrument exposure association (i.e.</w:t>
      </w:r>
      <w:r w:rsidR="003B3CCB">
        <w:t>,</w:t>
      </w:r>
      <w:r w:rsidR="00D327DC">
        <w:t xml:space="preserve"> SE</w:t>
      </w:r>
      <w:r w:rsidR="00D327DC">
        <w:rPr>
          <w:vertAlign w:val="subscript"/>
        </w:rPr>
        <w:t>wald</w:t>
      </w:r>
      <w:r w:rsidR="00D327DC">
        <w:t xml:space="preserve"> = </w:t>
      </w:r>
      <w:proofErr w:type="spellStart"/>
      <w:r w:rsidR="00D327DC">
        <w:t>SE</w:t>
      </w:r>
      <w:r w:rsidR="00D327DC">
        <w:rPr>
          <w:vertAlign w:val="subscript"/>
        </w:rPr>
        <w:t>outcome</w:t>
      </w:r>
      <w:proofErr w:type="spellEnd"/>
      <w:r w:rsidR="00D327DC">
        <w:rPr>
          <w:vertAlign w:val="subscript"/>
        </w:rPr>
        <w:t xml:space="preserve"> sample</w:t>
      </w:r>
      <w:r w:rsidR="00D327DC">
        <w:t>/</w:t>
      </w:r>
      <w:proofErr w:type="spellStart"/>
      <w:r w:rsidR="00D327DC">
        <w:t>B</w:t>
      </w:r>
      <w:r w:rsidR="00D327DC">
        <w:rPr>
          <w:vertAlign w:val="subscript"/>
        </w:rPr>
        <w:t>exposure</w:t>
      </w:r>
      <w:proofErr w:type="spellEnd"/>
      <w:r w:rsidR="00D327DC">
        <w:rPr>
          <w:vertAlign w:val="subscript"/>
        </w:rPr>
        <w:t xml:space="preserve"> sample</w:t>
      </w:r>
      <w:r w:rsidR="00D327DC">
        <w:t>). Uncertainty in the exposure sample therefore does not contribute to uncertainty in the effect estimate if there are strong instrument. Thus</w:t>
      </w:r>
      <w:r w:rsidR="00B7577F">
        <w:t>,</w:t>
      </w:r>
      <w:r w:rsidR="00D327DC">
        <w:t xml:space="preserve"> </w:t>
      </w:r>
      <w:r w:rsidR="00AD617A">
        <w:t xml:space="preserve">if </w:t>
      </w:r>
      <w:r w:rsidR="00E77424">
        <w:t>the</w:t>
      </w:r>
      <w:r w:rsidR="00AD617A">
        <w:t xml:space="preserve"> outcome</w:t>
      </w:r>
      <w:r w:rsidR="00E77424">
        <w:t>s</w:t>
      </w:r>
      <w:r w:rsidR="00AD617A">
        <w:t xml:space="preserve"> are </w:t>
      </w:r>
      <w:r w:rsidR="00E77424">
        <w:t>independent</w:t>
      </w:r>
      <w:r w:rsidR="00AD617A">
        <w:t xml:space="preserve">, then </w:t>
      </w:r>
      <w:r w:rsidR="00750A6C">
        <w:t>meta-analysing them</w:t>
      </w:r>
      <w:r w:rsidR="00AD617A">
        <w:t xml:space="preserve"> is analogous to meta-</w:t>
      </w:r>
      <w:r w:rsidR="00E77424">
        <w:t>analysing</w:t>
      </w:r>
      <w:r w:rsidR="00AD617A">
        <w:t xml:space="preserve"> </w:t>
      </w:r>
      <w:r w:rsidR="00E77424">
        <w:t>independent</w:t>
      </w:r>
      <w:r w:rsidR="00AD617A">
        <w:t xml:space="preserve"> </w:t>
      </w:r>
      <w:r w:rsidR="006016E1">
        <w:t>randomised controlled trails</w:t>
      </w:r>
      <w:r w:rsidR="00AD617A">
        <w:t>.</w:t>
      </w:r>
      <w:r w:rsidR="00910440">
        <w:t xml:space="preserve"> </w:t>
      </w:r>
    </w:p>
    <w:p w14:paraId="46A6A26F" w14:textId="77777777" w:rsidR="00B7577F" w:rsidRDefault="00B7577F" w:rsidP="00B7577F">
      <w:pPr>
        <w:spacing w:after="0" w:line="240" w:lineRule="auto"/>
      </w:pPr>
    </w:p>
    <w:p w14:paraId="544C466B" w14:textId="48C7DBF2" w:rsidR="00D65DFA" w:rsidRPr="00F252F2" w:rsidRDefault="00D65DFA" w:rsidP="00B7577F">
      <w:pPr>
        <w:spacing w:after="0" w:line="240" w:lineRule="auto"/>
      </w:pPr>
      <w:r w:rsidRPr="00F252F2">
        <w:rPr>
          <w:vertAlign w:val="superscript"/>
        </w:rPr>
        <w:t>1</w:t>
      </w:r>
      <w:r w:rsidRPr="00F252F2">
        <w:t xml:space="preserve"> </w:t>
      </w:r>
      <w:r w:rsidR="003C1CB3">
        <w:t>T</w:t>
      </w:r>
      <w:r w:rsidRPr="00F252F2">
        <w:t xml:space="preserve">he instruments used in each </w:t>
      </w:r>
      <w:r w:rsidR="00750A6C">
        <w:t>estimation approach</w:t>
      </w:r>
      <w:r w:rsidRPr="00F252F2">
        <w:t xml:space="preserve"> were, by design, conditionally independent of each</w:t>
      </w:r>
      <w:r w:rsidR="00D940FB">
        <w:t xml:space="preserve"> other</w:t>
      </w:r>
      <w:r w:rsidR="003C1CB3">
        <w:t xml:space="preserve"> (Table 1)</w:t>
      </w:r>
      <w:r w:rsidRPr="00F252F2">
        <w:t xml:space="preserve">, so this is analogous to a factorial experiment in which the same people are independently randomised to sperate interventions. </w:t>
      </w:r>
      <w:r w:rsidR="0026050E">
        <w:t xml:space="preserve">In addition, </w:t>
      </w:r>
      <w:r w:rsidR="002B0E9C">
        <w:t>the individuals in the phenotypes in the outcome GWASs were measured in independent people.</w:t>
      </w:r>
    </w:p>
    <w:p w14:paraId="6908E5DF" w14:textId="279FEF59" w:rsidR="002237DE" w:rsidRDefault="00AD1F0F" w:rsidP="00B7577F">
      <w:pPr>
        <w:spacing w:after="0" w:line="240" w:lineRule="auto"/>
      </w:pPr>
      <w:r>
        <w:rPr>
          <w:vertAlign w:val="superscript"/>
        </w:rPr>
        <w:t>2</w:t>
      </w:r>
      <w:r w:rsidR="006B2593" w:rsidRPr="00F252F2">
        <w:t xml:space="preserve"> </w:t>
      </w:r>
      <w:r w:rsidR="00D940FB">
        <w:t xml:space="preserve">The </w:t>
      </w:r>
      <w:r w:rsidR="0067483E">
        <w:t>outcome individuals being measured</w:t>
      </w:r>
      <w:r w:rsidR="00A822FF">
        <w:t xml:space="preserve"> </w:t>
      </w:r>
      <w:r w:rsidR="00A822FF" w:rsidRPr="00004AB5">
        <w:t>cannot overlap</w:t>
      </w:r>
      <w:r w:rsidR="002237DE" w:rsidRPr="00004AB5">
        <w:t>, for example</w:t>
      </w:r>
      <w:r w:rsidR="008E5F1D" w:rsidRPr="00004AB5">
        <w:t xml:space="preserve"> mothers and fathers</w:t>
      </w:r>
      <w:r w:rsidR="0067483E">
        <w:t xml:space="preserve"> </w:t>
      </w:r>
      <w:r w:rsidR="003B3CCB">
        <w:t>(</w:t>
      </w:r>
      <w:r w:rsidR="008E5F1D" w:rsidRPr="00004AB5">
        <w:t>because someone cannot be both a mother and a father to the same individual</w:t>
      </w:r>
      <w:r w:rsidR="003B3CCB">
        <w:t>)</w:t>
      </w:r>
      <w:r w:rsidR="008E5F1D" w:rsidRPr="00004AB5">
        <w:t xml:space="preserve">. </w:t>
      </w:r>
      <w:r w:rsidR="00A72A3A">
        <w:t xml:space="preserve">In addition, because the outcome individual’s smoking has been adjusted for, there should not be a correlation due to assortative mating. </w:t>
      </w:r>
    </w:p>
    <w:p w14:paraId="4EC8F9C3" w14:textId="0244DD21" w:rsidR="00440295" w:rsidRDefault="00EB260F" w:rsidP="00B7577F">
      <w:pPr>
        <w:spacing w:after="0" w:line="240" w:lineRule="auto"/>
      </w:pPr>
      <w:r>
        <w:rPr>
          <w:vertAlign w:val="superscript"/>
        </w:rPr>
        <w:t>3</w:t>
      </w:r>
      <w:r>
        <w:t xml:space="preserve"> </w:t>
      </w:r>
      <w:r w:rsidR="00FA3269">
        <w:t xml:space="preserve">These analyses have the same people. </w:t>
      </w:r>
      <w:r w:rsidR="0023759D" w:rsidRPr="00FE5805">
        <w:t>Maternal and paternal instruments should be independent of each other if we assume no assortative mating. Because</w:t>
      </w:r>
      <w:r w:rsidR="0023759D" w:rsidRPr="0023759D">
        <w:t xml:space="preserve"> </w:t>
      </w:r>
      <w:r w:rsidR="00D3630A">
        <w:t xml:space="preserve">we are conditioning on the offspring’s genotype, </w:t>
      </w:r>
      <w:r w:rsidR="0096314A" w:rsidRPr="00FE5805">
        <w:t xml:space="preserve">this should also adjust for some genetic overlap due to assortative mating </w:t>
      </w:r>
      <w:r w:rsidR="0096314A">
        <w:t>among inherited variants.</w:t>
      </w:r>
      <w:r w:rsidR="00440295">
        <w:t xml:space="preserve"> However, because children only </w:t>
      </w:r>
      <w:r w:rsidR="00C007BB">
        <w:t>inherit</w:t>
      </w:r>
      <w:r w:rsidR="00440295">
        <w:t xml:space="preserve"> a random 50% of each parent’s genetic variation, </w:t>
      </w:r>
      <w:r w:rsidR="004E5CB2">
        <w:t xml:space="preserve">there could still be some residual correlation due to </w:t>
      </w:r>
      <w:r w:rsidR="00C007BB">
        <w:t>assortative</w:t>
      </w:r>
      <w:r w:rsidR="004E5CB2">
        <w:t xml:space="preserve"> mating after adjusting for the </w:t>
      </w:r>
      <w:r w:rsidR="00C007BB">
        <w:t>offspring’s</w:t>
      </w:r>
      <w:r w:rsidR="004E5CB2">
        <w:t xml:space="preserve"> </w:t>
      </w:r>
      <w:r w:rsidR="00C007BB">
        <w:t xml:space="preserve">genotype. </w:t>
      </w:r>
    </w:p>
    <w:p w14:paraId="2614CF69" w14:textId="77777777" w:rsidR="00297769" w:rsidRDefault="00297769" w:rsidP="00B7577F">
      <w:pPr>
        <w:spacing w:after="0" w:line="240" w:lineRule="auto"/>
      </w:pPr>
    </w:p>
    <w:sectPr w:rsidR="00297769" w:rsidSect="00974CE2">
      <w:pgSz w:w="16838" w:h="23811" w:code="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3D94637" w14:textId="77777777" w:rsidR="002B2178" w:rsidRDefault="002B2178" w:rsidP="00DB1F47">
      <w:pPr>
        <w:spacing w:after="0" w:line="240" w:lineRule="auto"/>
      </w:pPr>
      <w:r>
        <w:separator/>
      </w:r>
    </w:p>
  </w:endnote>
  <w:endnote w:type="continuationSeparator" w:id="0">
    <w:p w14:paraId="6B0160E8" w14:textId="77777777" w:rsidR="002B2178" w:rsidRDefault="002B2178" w:rsidP="00DB1F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3168ACF" w14:textId="77777777" w:rsidR="002B2178" w:rsidRDefault="002B2178" w:rsidP="00DB1F47">
      <w:pPr>
        <w:spacing w:after="0" w:line="240" w:lineRule="auto"/>
      </w:pPr>
      <w:r>
        <w:separator/>
      </w:r>
    </w:p>
  </w:footnote>
  <w:footnote w:type="continuationSeparator" w:id="0">
    <w:p w14:paraId="21510977" w14:textId="77777777" w:rsidR="002B2178" w:rsidRDefault="002B2178" w:rsidP="00DB1F4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563B65E3"/>
    <w:multiLevelType w:val="hybridMultilevel"/>
    <w:tmpl w:val="32C2B9EA"/>
    <w:lvl w:ilvl="0" w:tplc="36D4BF02">
      <w:start w:val="3"/>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56A409E7"/>
    <w:multiLevelType w:val="hybridMultilevel"/>
    <w:tmpl w:val="3E92BF68"/>
    <w:lvl w:ilvl="0" w:tplc="24CABE3A">
      <w:start w:val="6"/>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845218028">
    <w:abstractNumId w:val="1"/>
  </w:num>
  <w:num w:numId="2" w16cid:durableId="149772103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0"/>
  <w:doNotDisplayPageBoundaries/>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tDQxNDMxMzAzMzA2M7FQ0lEKTi0uzszPAykwNKoFAC9AY8ItAAAA"/>
  </w:docVars>
  <w:rsids>
    <w:rsidRoot w:val="009D4663"/>
    <w:rsid w:val="00004AB5"/>
    <w:rsid w:val="00014091"/>
    <w:rsid w:val="00036599"/>
    <w:rsid w:val="0004315A"/>
    <w:rsid w:val="00046297"/>
    <w:rsid w:val="00053A4B"/>
    <w:rsid w:val="00056968"/>
    <w:rsid w:val="00062F80"/>
    <w:rsid w:val="00072BDC"/>
    <w:rsid w:val="00076E46"/>
    <w:rsid w:val="000775E5"/>
    <w:rsid w:val="000A36CA"/>
    <w:rsid w:val="000D35CB"/>
    <w:rsid w:val="000E3012"/>
    <w:rsid w:val="00127C2A"/>
    <w:rsid w:val="0015278D"/>
    <w:rsid w:val="001530E3"/>
    <w:rsid w:val="00164B59"/>
    <w:rsid w:val="001768C0"/>
    <w:rsid w:val="00182E96"/>
    <w:rsid w:val="001971E0"/>
    <w:rsid w:val="001A5BE8"/>
    <w:rsid w:val="001C4DE7"/>
    <w:rsid w:val="001D0512"/>
    <w:rsid w:val="001E539C"/>
    <w:rsid w:val="00210ADD"/>
    <w:rsid w:val="00223383"/>
    <w:rsid w:val="002237DE"/>
    <w:rsid w:val="002252CC"/>
    <w:rsid w:val="00233466"/>
    <w:rsid w:val="0023759D"/>
    <w:rsid w:val="00255BBE"/>
    <w:rsid w:val="0026050E"/>
    <w:rsid w:val="002612B7"/>
    <w:rsid w:val="00261B55"/>
    <w:rsid w:val="0026275E"/>
    <w:rsid w:val="002745BC"/>
    <w:rsid w:val="00276BC7"/>
    <w:rsid w:val="00290C7E"/>
    <w:rsid w:val="00292E27"/>
    <w:rsid w:val="00297769"/>
    <w:rsid w:val="002B0E9C"/>
    <w:rsid w:val="002B2178"/>
    <w:rsid w:val="002C061D"/>
    <w:rsid w:val="002D502E"/>
    <w:rsid w:val="002D56CD"/>
    <w:rsid w:val="002F3A11"/>
    <w:rsid w:val="002F4F12"/>
    <w:rsid w:val="00305FEC"/>
    <w:rsid w:val="003157EB"/>
    <w:rsid w:val="0033746E"/>
    <w:rsid w:val="00343CEE"/>
    <w:rsid w:val="00352430"/>
    <w:rsid w:val="00356E70"/>
    <w:rsid w:val="00374861"/>
    <w:rsid w:val="00390650"/>
    <w:rsid w:val="00392B24"/>
    <w:rsid w:val="003A0176"/>
    <w:rsid w:val="003B3CCB"/>
    <w:rsid w:val="003B3DA8"/>
    <w:rsid w:val="003B4BC7"/>
    <w:rsid w:val="003B7830"/>
    <w:rsid w:val="003C1CB3"/>
    <w:rsid w:val="003C587F"/>
    <w:rsid w:val="003D2E3A"/>
    <w:rsid w:val="003D7F25"/>
    <w:rsid w:val="003E13FA"/>
    <w:rsid w:val="003E1CDA"/>
    <w:rsid w:val="0040454B"/>
    <w:rsid w:val="004126FA"/>
    <w:rsid w:val="004173D2"/>
    <w:rsid w:val="004224A4"/>
    <w:rsid w:val="0042478A"/>
    <w:rsid w:val="004363EE"/>
    <w:rsid w:val="00440295"/>
    <w:rsid w:val="00445100"/>
    <w:rsid w:val="004568E2"/>
    <w:rsid w:val="004A4AFD"/>
    <w:rsid w:val="004D1CFD"/>
    <w:rsid w:val="004E42DE"/>
    <w:rsid w:val="004E5CB2"/>
    <w:rsid w:val="004E61B8"/>
    <w:rsid w:val="004E721C"/>
    <w:rsid w:val="004F1744"/>
    <w:rsid w:val="00502795"/>
    <w:rsid w:val="00515C1F"/>
    <w:rsid w:val="0051707B"/>
    <w:rsid w:val="005311EF"/>
    <w:rsid w:val="00537492"/>
    <w:rsid w:val="00537A62"/>
    <w:rsid w:val="005515A5"/>
    <w:rsid w:val="00581B88"/>
    <w:rsid w:val="005A1FEA"/>
    <w:rsid w:val="005B1229"/>
    <w:rsid w:val="005B7CF0"/>
    <w:rsid w:val="005D0FF7"/>
    <w:rsid w:val="005F117A"/>
    <w:rsid w:val="005F566D"/>
    <w:rsid w:val="005F66AE"/>
    <w:rsid w:val="006016E1"/>
    <w:rsid w:val="00620509"/>
    <w:rsid w:val="006254BB"/>
    <w:rsid w:val="00630982"/>
    <w:rsid w:val="00635C00"/>
    <w:rsid w:val="0065405F"/>
    <w:rsid w:val="00656279"/>
    <w:rsid w:val="00656612"/>
    <w:rsid w:val="006617D5"/>
    <w:rsid w:val="00663854"/>
    <w:rsid w:val="0066748C"/>
    <w:rsid w:val="0067483E"/>
    <w:rsid w:val="00674ADC"/>
    <w:rsid w:val="006758DC"/>
    <w:rsid w:val="006806BB"/>
    <w:rsid w:val="006A59AF"/>
    <w:rsid w:val="006B2593"/>
    <w:rsid w:val="006C2D49"/>
    <w:rsid w:val="006D425D"/>
    <w:rsid w:val="00702931"/>
    <w:rsid w:val="00716AFA"/>
    <w:rsid w:val="0073683C"/>
    <w:rsid w:val="00743023"/>
    <w:rsid w:val="00750A6C"/>
    <w:rsid w:val="007545C9"/>
    <w:rsid w:val="0076540D"/>
    <w:rsid w:val="00772B0C"/>
    <w:rsid w:val="007744B4"/>
    <w:rsid w:val="00777056"/>
    <w:rsid w:val="00791439"/>
    <w:rsid w:val="00793C6F"/>
    <w:rsid w:val="007A3974"/>
    <w:rsid w:val="007A461D"/>
    <w:rsid w:val="007B2445"/>
    <w:rsid w:val="007B3349"/>
    <w:rsid w:val="007C32CF"/>
    <w:rsid w:val="007C4030"/>
    <w:rsid w:val="007E5C56"/>
    <w:rsid w:val="007F7CA7"/>
    <w:rsid w:val="0080125C"/>
    <w:rsid w:val="008237C1"/>
    <w:rsid w:val="008425C0"/>
    <w:rsid w:val="00842AE3"/>
    <w:rsid w:val="00843508"/>
    <w:rsid w:val="00846B2C"/>
    <w:rsid w:val="0086030F"/>
    <w:rsid w:val="008A4DB4"/>
    <w:rsid w:val="008C5A65"/>
    <w:rsid w:val="008D7FF3"/>
    <w:rsid w:val="008E14C1"/>
    <w:rsid w:val="008E5F1D"/>
    <w:rsid w:val="008F0D9F"/>
    <w:rsid w:val="00900642"/>
    <w:rsid w:val="00904666"/>
    <w:rsid w:val="00905B3E"/>
    <w:rsid w:val="00910440"/>
    <w:rsid w:val="00921373"/>
    <w:rsid w:val="009326F4"/>
    <w:rsid w:val="00941747"/>
    <w:rsid w:val="009433A7"/>
    <w:rsid w:val="009461D0"/>
    <w:rsid w:val="0096314A"/>
    <w:rsid w:val="00967656"/>
    <w:rsid w:val="00974CE2"/>
    <w:rsid w:val="009C1663"/>
    <w:rsid w:val="009D35EE"/>
    <w:rsid w:val="009D370F"/>
    <w:rsid w:val="009D4663"/>
    <w:rsid w:val="009E5232"/>
    <w:rsid w:val="009E68A4"/>
    <w:rsid w:val="009E74C6"/>
    <w:rsid w:val="009F3718"/>
    <w:rsid w:val="00A158A0"/>
    <w:rsid w:val="00A2078E"/>
    <w:rsid w:val="00A20E6F"/>
    <w:rsid w:val="00A2405C"/>
    <w:rsid w:val="00A26763"/>
    <w:rsid w:val="00A310B6"/>
    <w:rsid w:val="00A7020E"/>
    <w:rsid w:val="00A72A3A"/>
    <w:rsid w:val="00A74C00"/>
    <w:rsid w:val="00A81B5B"/>
    <w:rsid w:val="00A822FF"/>
    <w:rsid w:val="00A94C72"/>
    <w:rsid w:val="00AA40E4"/>
    <w:rsid w:val="00AD1F0F"/>
    <w:rsid w:val="00AD524A"/>
    <w:rsid w:val="00AD617A"/>
    <w:rsid w:val="00AD77B3"/>
    <w:rsid w:val="00B6603B"/>
    <w:rsid w:val="00B7577F"/>
    <w:rsid w:val="00B90893"/>
    <w:rsid w:val="00B93188"/>
    <w:rsid w:val="00B96648"/>
    <w:rsid w:val="00B97697"/>
    <w:rsid w:val="00BC0E60"/>
    <w:rsid w:val="00BC14B4"/>
    <w:rsid w:val="00BC78B9"/>
    <w:rsid w:val="00BD7359"/>
    <w:rsid w:val="00BE6371"/>
    <w:rsid w:val="00BF1CCB"/>
    <w:rsid w:val="00BF627F"/>
    <w:rsid w:val="00C007BB"/>
    <w:rsid w:val="00C050E4"/>
    <w:rsid w:val="00C10837"/>
    <w:rsid w:val="00C133F5"/>
    <w:rsid w:val="00C36086"/>
    <w:rsid w:val="00C47717"/>
    <w:rsid w:val="00C663FB"/>
    <w:rsid w:val="00C80D9F"/>
    <w:rsid w:val="00C835F1"/>
    <w:rsid w:val="00C86D8C"/>
    <w:rsid w:val="00C925F9"/>
    <w:rsid w:val="00CA2AFA"/>
    <w:rsid w:val="00CC3534"/>
    <w:rsid w:val="00CD17EA"/>
    <w:rsid w:val="00CD5919"/>
    <w:rsid w:val="00D14EC9"/>
    <w:rsid w:val="00D15474"/>
    <w:rsid w:val="00D17023"/>
    <w:rsid w:val="00D22F49"/>
    <w:rsid w:val="00D327DC"/>
    <w:rsid w:val="00D34D9A"/>
    <w:rsid w:val="00D35457"/>
    <w:rsid w:val="00D357F2"/>
    <w:rsid w:val="00D3630A"/>
    <w:rsid w:val="00D4555F"/>
    <w:rsid w:val="00D52F1F"/>
    <w:rsid w:val="00D53BD7"/>
    <w:rsid w:val="00D552E5"/>
    <w:rsid w:val="00D65DFA"/>
    <w:rsid w:val="00D77522"/>
    <w:rsid w:val="00D77E8C"/>
    <w:rsid w:val="00D91D83"/>
    <w:rsid w:val="00D940FB"/>
    <w:rsid w:val="00DB1F47"/>
    <w:rsid w:val="00DB75D0"/>
    <w:rsid w:val="00DD1120"/>
    <w:rsid w:val="00DD23CE"/>
    <w:rsid w:val="00DE3228"/>
    <w:rsid w:val="00E305EB"/>
    <w:rsid w:val="00E33A08"/>
    <w:rsid w:val="00E34A26"/>
    <w:rsid w:val="00E42E86"/>
    <w:rsid w:val="00E50F97"/>
    <w:rsid w:val="00E65422"/>
    <w:rsid w:val="00E77424"/>
    <w:rsid w:val="00E86D60"/>
    <w:rsid w:val="00E9316B"/>
    <w:rsid w:val="00EB260F"/>
    <w:rsid w:val="00EB58C7"/>
    <w:rsid w:val="00EC71D7"/>
    <w:rsid w:val="00ED6E3C"/>
    <w:rsid w:val="00EE00E2"/>
    <w:rsid w:val="00EF306B"/>
    <w:rsid w:val="00EF3EB3"/>
    <w:rsid w:val="00EF4195"/>
    <w:rsid w:val="00EF4A03"/>
    <w:rsid w:val="00EF6B7B"/>
    <w:rsid w:val="00F252F2"/>
    <w:rsid w:val="00F36E71"/>
    <w:rsid w:val="00F51535"/>
    <w:rsid w:val="00F52E04"/>
    <w:rsid w:val="00F53C7A"/>
    <w:rsid w:val="00F56BDA"/>
    <w:rsid w:val="00F61976"/>
    <w:rsid w:val="00F82977"/>
    <w:rsid w:val="00FA3269"/>
    <w:rsid w:val="00FA4CB4"/>
    <w:rsid w:val="00FB4E74"/>
    <w:rsid w:val="00FC72A3"/>
    <w:rsid w:val="00FD49AE"/>
    <w:rsid w:val="00FE0105"/>
    <w:rsid w:val="00FE5805"/>
    <w:rsid w:val="00FF33A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0D38517"/>
  <w15:chartTrackingRefBased/>
  <w15:docId w15:val="{34A6C3AC-7D24-4754-B77D-B8786D9B5C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9D466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6617D5"/>
    <w:pPr>
      <w:ind w:left="720"/>
      <w:contextualSpacing/>
    </w:pPr>
  </w:style>
  <w:style w:type="character" w:styleId="CommentReference">
    <w:name w:val="annotation reference"/>
    <w:basedOn w:val="DefaultParagraphFont"/>
    <w:uiPriority w:val="99"/>
    <w:semiHidden/>
    <w:unhideWhenUsed/>
    <w:rsid w:val="00BF1CCB"/>
    <w:rPr>
      <w:sz w:val="16"/>
      <w:szCs w:val="16"/>
    </w:rPr>
  </w:style>
  <w:style w:type="paragraph" w:styleId="CommentText">
    <w:name w:val="annotation text"/>
    <w:basedOn w:val="Normal"/>
    <w:link w:val="CommentTextChar"/>
    <w:uiPriority w:val="99"/>
    <w:unhideWhenUsed/>
    <w:rsid w:val="00BF1CCB"/>
    <w:pPr>
      <w:spacing w:line="240" w:lineRule="auto"/>
    </w:pPr>
    <w:rPr>
      <w:sz w:val="20"/>
      <w:szCs w:val="20"/>
    </w:rPr>
  </w:style>
  <w:style w:type="character" w:customStyle="1" w:styleId="CommentTextChar">
    <w:name w:val="Comment Text Char"/>
    <w:basedOn w:val="DefaultParagraphFont"/>
    <w:link w:val="CommentText"/>
    <w:uiPriority w:val="99"/>
    <w:rsid w:val="00BF1CCB"/>
    <w:rPr>
      <w:sz w:val="20"/>
      <w:szCs w:val="20"/>
    </w:rPr>
  </w:style>
  <w:style w:type="paragraph" w:styleId="CommentSubject">
    <w:name w:val="annotation subject"/>
    <w:basedOn w:val="CommentText"/>
    <w:next w:val="CommentText"/>
    <w:link w:val="CommentSubjectChar"/>
    <w:uiPriority w:val="99"/>
    <w:semiHidden/>
    <w:unhideWhenUsed/>
    <w:rsid w:val="00BF1CCB"/>
    <w:rPr>
      <w:b/>
      <w:bCs/>
    </w:rPr>
  </w:style>
  <w:style w:type="character" w:customStyle="1" w:styleId="CommentSubjectChar">
    <w:name w:val="Comment Subject Char"/>
    <w:basedOn w:val="CommentTextChar"/>
    <w:link w:val="CommentSubject"/>
    <w:uiPriority w:val="99"/>
    <w:semiHidden/>
    <w:rsid w:val="00BF1CCB"/>
    <w:rPr>
      <w:b/>
      <w:bCs/>
      <w:sz w:val="20"/>
      <w:szCs w:val="20"/>
    </w:rPr>
  </w:style>
  <w:style w:type="table" w:styleId="GridTable5Dark-Accent1">
    <w:name w:val="Grid Table 5 Dark Accent 1"/>
    <w:basedOn w:val="TableNormal"/>
    <w:uiPriority w:val="50"/>
    <w:rsid w:val="003B7830"/>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1"/>
      </w:tcPr>
    </w:tblStylePr>
    <w:tblStylePr w:type="band1Vert">
      <w:tblPr/>
      <w:tcPr>
        <w:shd w:val="clear" w:color="auto" w:fill="B4C6E7" w:themeFill="accent1" w:themeFillTint="66"/>
      </w:tcPr>
    </w:tblStylePr>
    <w:tblStylePr w:type="band1Horz">
      <w:tblPr/>
      <w:tcPr>
        <w:shd w:val="clear" w:color="auto" w:fill="B4C6E7" w:themeFill="accent1" w:themeFillTint="66"/>
      </w:tcPr>
    </w:tblStylePr>
  </w:style>
  <w:style w:type="table" w:styleId="GridTable5Dark-Accent3">
    <w:name w:val="Grid Table 5 Dark Accent 3"/>
    <w:basedOn w:val="TableNormal"/>
    <w:uiPriority w:val="50"/>
    <w:rsid w:val="003B7830"/>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DEDE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5A5A5"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5A5A5"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5A5A5"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5A5A5" w:themeFill="accent3"/>
      </w:tcPr>
    </w:tblStylePr>
    <w:tblStylePr w:type="band1Vert">
      <w:tblPr/>
      <w:tcPr>
        <w:shd w:val="clear" w:color="auto" w:fill="DBDBDB" w:themeFill="accent3" w:themeFillTint="66"/>
      </w:tcPr>
    </w:tblStylePr>
    <w:tblStylePr w:type="band1Horz">
      <w:tblPr/>
      <w:tcPr>
        <w:shd w:val="clear" w:color="auto" w:fill="DBDBDB" w:themeFill="accent3" w:themeFillTint="66"/>
      </w:tcPr>
    </w:tblStylePr>
  </w:style>
  <w:style w:type="paragraph" w:styleId="Revision">
    <w:name w:val="Revision"/>
    <w:hidden/>
    <w:uiPriority w:val="99"/>
    <w:semiHidden/>
    <w:rsid w:val="00E86D60"/>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239185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428</Words>
  <Characters>2441</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Benjamin Woolf</dc:creator>
  <cp:keywords/>
  <dc:description/>
  <cp:lastModifiedBy>Benjamin Woolf</cp:lastModifiedBy>
  <cp:revision>6</cp:revision>
  <dcterms:created xsi:type="dcterms:W3CDTF">2024-07-30T00:03:00Z</dcterms:created>
  <dcterms:modified xsi:type="dcterms:W3CDTF">2024-10-14T11:05:00Z</dcterms:modified>
</cp:coreProperties>
</file>