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1DC675" w14:textId="77777777" w:rsidR="00FA68A5" w:rsidRDefault="00FA68A5" w:rsidP="00FA68A5">
      <w:pPr>
        <w:snapToGrid w:val="0"/>
        <w:spacing w:after="100" w:afterAutospacing="1"/>
      </w:pPr>
    </w:p>
    <w:p w14:paraId="0253391F" w14:textId="77777777" w:rsidR="00FA68A5" w:rsidRDefault="00FA68A5" w:rsidP="00FA68A5">
      <w:pPr>
        <w:snapToGrid w:val="0"/>
        <w:spacing w:after="100" w:afterAutospacing="1"/>
      </w:pPr>
      <w:r>
        <w:rPr>
          <w:noProof/>
        </w:rPr>
        <w:drawing>
          <wp:inline distT="0" distB="0" distL="0" distR="0" wp14:anchorId="062FD9C3" wp14:editId="4608EB14">
            <wp:extent cx="5943600" cy="5852160"/>
            <wp:effectExtent l="0" t="0" r="0" b="2540"/>
            <wp:docPr id="992264818"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264818" name="Picture 7" descr="A screenshot of a computer&#10;&#10;Description automatically generated"/>
                    <pic:cNvPicPr/>
                  </pic:nvPicPr>
                  <pic:blipFill rotWithShape="1">
                    <a:blip r:embed="rId4" cstate="print">
                      <a:extLst>
                        <a:ext uri="{28A0092B-C50C-407E-A947-70E740481C1C}">
                          <a14:useLocalDpi xmlns:a14="http://schemas.microsoft.com/office/drawing/2010/main" val="0"/>
                        </a:ext>
                      </a:extLst>
                    </a:blip>
                    <a:srcRect b="23915"/>
                    <a:stretch/>
                  </pic:blipFill>
                  <pic:spPr bwMode="auto">
                    <a:xfrm>
                      <a:off x="0" y="0"/>
                      <a:ext cx="5943600" cy="5852160"/>
                    </a:xfrm>
                    <a:prstGeom prst="rect">
                      <a:avLst/>
                    </a:prstGeom>
                    <a:ln>
                      <a:noFill/>
                    </a:ln>
                    <a:extLst>
                      <a:ext uri="{53640926-AAD7-44D8-BBD7-CCE9431645EC}">
                        <a14:shadowObscured xmlns:a14="http://schemas.microsoft.com/office/drawing/2010/main"/>
                      </a:ext>
                    </a:extLst>
                  </pic:spPr>
                </pic:pic>
              </a:graphicData>
            </a:graphic>
          </wp:inline>
        </w:drawing>
      </w:r>
    </w:p>
    <w:p w14:paraId="4DC2F9BB" w14:textId="77777777" w:rsidR="00FA68A5" w:rsidRPr="009F01F5" w:rsidRDefault="00FA68A5" w:rsidP="00FA68A5">
      <w:pPr>
        <w:snapToGrid w:val="0"/>
        <w:spacing w:after="100" w:afterAutospacing="1"/>
        <w:rPr>
          <w:b/>
          <w:bCs/>
        </w:rPr>
      </w:pPr>
      <w:r>
        <w:rPr>
          <w:b/>
          <w:bCs/>
        </w:rPr>
        <w:t>Extended Data Figure</w:t>
      </w:r>
      <w:r w:rsidRPr="009F01F5">
        <w:rPr>
          <w:b/>
          <w:bCs/>
        </w:rPr>
        <w:t xml:space="preserve"> 1</w:t>
      </w:r>
    </w:p>
    <w:p w14:paraId="4BF35FDD" w14:textId="77777777" w:rsidR="00FA68A5" w:rsidRPr="009F01F5" w:rsidRDefault="00FA68A5" w:rsidP="00FA68A5">
      <w:pPr>
        <w:snapToGrid w:val="0"/>
        <w:spacing w:after="100" w:afterAutospacing="1"/>
      </w:pPr>
      <w:r w:rsidRPr="009F01F5">
        <w:t xml:space="preserve">A. Scatter plots comparing the average log-normalized expression of genes in Live vs. InTraSeq RNA-only (top) or vs. InTraSeq RNA+ADT (bottom). Genes were stratified into </w:t>
      </w:r>
      <w:r>
        <w:rPr>
          <w:rFonts w:hint="eastAsia"/>
        </w:rPr>
        <w:t xml:space="preserve">three categories: mitochondrial genes (gene symbols start with </w:t>
      </w:r>
      <w:r>
        <w:t>“</w:t>
      </w:r>
      <w:r>
        <w:rPr>
          <w:rFonts w:hint="eastAsia"/>
        </w:rPr>
        <w:t>MT-</w:t>
      </w:r>
      <w:r>
        <w:t>”</w:t>
      </w:r>
      <w:r>
        <w:rPr>
          <w:rFonts w:hint="eastAsia"/>
        </w:rPr>
        <w:t xml:space="preserve">), ribosomal genes (gene symbols start with </w:t>
      </w:r>
      <w:r>
        <w:t>“</w:t>
      </w:r>
      <w:r w:rsidRPr="002A4079">
        <w:t>RPF</w:t>
      </w:r>
      <w:r>
        <w:t>”</w:t>
      </w:r>
      <w:r>
        <w:rPr>
          <w:rFonts w:hint="eastAsia"/>
        </w:rPr>
        <w:t xml:space="preserve">, </w:t>
      </w:r>
      <w:r>
        <w:t>“</w:t>
      </w:r>
      <w:r w:rsidRPr="002A4079">
        <w:t>RPL</w:t>
      </w:r>
      <w:r>
        <w:t>”</w:t>
      </w:r>
      <w:r>
        <w:rPr>
          <w:rFonts w:hint="eastAsia"/>
        </w:rPr>
        <w:t xml:space="preserve">, </w:t>
      </w:r>
      <w:r>
        <w:t>“</w:t>
      </w:r>
      <w:r w:rsidRPr="002A4079">
        <w:t>RPS</w:t>
      </w:r>
      <w:r>
        <w:t>”</w:t>
      </w:r>
      <w:r>
        <w:rPr>
          <w:rFonts w:hint="eastAsia"/>
        </w:rPr>
        <w:t xml:space="preserve">, or </w:t>
      </w:r>
      <w:r>
        <w:t>“</w:t>
      </w:r>
      <w:r w:rsidRPr="002A4079">
        <w:t>RRP</w:t>
      </w:r>
      <w:r>
        <w:t>”</w:t>
      </w:r>
      <w:r>
        <w:rPr>
          <w:rFonts w:hint="eastAsia"/>
        </w:rPr>
        <w:t>), and all other genes</w:t>
      </w:r>
      <w:r w:rsidRPr="009F01F5">
        <w:t>.</w:t>
      </w:r>
      <w:r>
        <w:rPr>
          <w:rFonts w:hint="eastAsia"/>
        </w:rPr>
        <w:t xml:space="preserve"> </w:t>
      </w:r>
      <w:r w:rsidRPr="009F01F5">
        <w:t>Pearson correlation coefficients and corresponding unadjusted p-values</w:t>
      </w:r>
      <w:r>
        <w:rPr>
          <w:rFonts w:hint="eastAsia"/>
        </w:rPr>
        <w:t xml:space="preserve"> (using the </w:t>
      </w:r>
      <w:r w:rsidRPr="00DD7248">
        <w:t>Algorithm AS 89</w:t>
      </w:r>
      <w:r>
        <w:fldChar w:fldCharType="begin"/>
      </w:r>
      <w:r>
        <w:instrText xml:space="preserve"> ADDIN ZOTERO_ITEM CSL_CITATION {"citationID":"URMRnD8g","properties":{"formattedCitation":"\\super 49\\nosupersub{}","plainCitation":"49","noteIndex":0},"citationItems":[{"id":1514,"uris":["http://zotero.org/users/4857282/items/9WE8NG9D"],"itemData":{"id":1514,"type":"article-journal","container-title":"Journal of the Royal Statistical Society. Series C (Applied Statistics)","DOI":"10.2307/2347111","ISSN":"0035-9254","issue":"3","note":"publisher: [Royal Statistical Society, Oxford University Press]","page":"377-379","source":"JSTOR","title":"Algorithm AS 89: The Upper Tail Probabilities of Spearman's Rho","title-short":"Algorithm AS 89","URL":"https://www.jstor.org/stable/2347111","volume":"24","author":[{"family":"Best","given":"D. J."},{"family":"Roberts","given":"D. E."}],"accessed":{"date-parts":[["2024",10,1]]},"issued":{"date-parts":[["1975"]]}},"locator":"89"}],"schema":"https://github.com/citation-style-language/schema/raw/master/csl-citation.json"} </w:instrText>
      </w:r>
      <w:r>
        <w:fldChar w:fldCharType="separate"/>
      </w:r>
      <w:r w:rsidRPr="00027751">
        <w:rPr>
          <w:vertAlign w:val="superscript"/>
        </w:rPr>
        <w:t>49</w:t>
      </w:r>
      <w:r>
        <w:fldChar w:fldCharType="end"/>
      </w:r>
      <w:r>
        <w:rPr>
          <w:rFonts w:hint="eastAsia"/>
        </w:rPr>
        <w:t>)</w:t>
      </w:r>
      <w:r w:rsidRPr="009F01F5">
        <w:t xml:space="preserve"> were reported</w:t>
      </w:r>
      <w:r>
        <w:rPr>
          <w:rFonts w:hint="eastAsia"/>
        </w:rPr>
        <w:t>.</w:t>
      </w:r>
    </w:p>
    <w:p w14:paraId="52B18577" w14:textId="77777777" w:rsidR="00FA68A5" w:rsidRPr="009F01F5" w:rsidRDefault="00FA68A5" w:rsidP="00FA68A5">
      <w:pPr>
        <w:snapToGrid w:val="0"/>
        <w:spacing w:after="100" w:afterAutospacing="1"/>
      </w:pPr>
      <w:r w:rsidRPr="009F01F5">
        <w:t>B. UMAP plot showing the mixing of three samples after Harmony integration (Methods).</w:t>
      </w:r>
    </w:p>
    <w:p w14:paraId="7F59FA72" w14:textId="77777777" w:rsidR="00FA68A5" w:rsidRPr="009F01F5" w:rsidRDefault="00FA68A5" w:rsidP="00FA68A5">
      <w:pPr>
        <w:snapToGrid w:val="0"/>
        <w:spacing w:after="100" w:afterAutospacing="1"/>
      </w:pPr>
      <w:r w:rsidRPr="009F01F5">
        <w:lastRenderedPageBreak/>
        <w:t>C. Bar plot comparing the number of cells belong to different cell types in the three samples.</w:t>
      </w:r>
    </w:p>
    <w:p w14:paraId="39E9EDE9" w14:textId="77777777" w:rsidR="00FA68A5" w:rsidRPr="009F01F5" w:rsidRDefault="00FA68A5" w:rsidP="00FA68A5">
      <w:pPr>
        <w:snapToGrid w:val="0"/>
        <w:spacing w:after="100" w:afterAutospacing="1"/>
      </w:pPr>
      <w:r w:rsidRPr="009F01F5">
        <w:t>D. UMAP plots showing the cell types in Live and InTraSeq data from an independent experiment on a different PBMC sample (Sample_1).</w:t>
      </w:r>
    </w:p>
    <w:p w14:paraId="5E58DF48" w14:textId="77777777" w:rsidR="00FA68A5" w:rsidRPr="009F01F5" w:rsidRDefault="00FA68A5" w:rsidP="00FA68A5">
      <w:pPr>
        <w:snapToGrid w:val="0"/>
        <w:spacing w:after="100" w:afterAutospacing="1"/>
      </w:pPr>
      <w:r w:rsidRPr="009F01F5">
        <w:t>E. UMAP plots showing the cell types in Live and InTraSeq data from an independent experiment on a different PBMC sample (Sample_2).</w:t>
      </w:r>
    </w:p>
    <w:p w14:paraId="127AAC9E" w14:textId="77777777" w:rsidR="00FA68A5" w:rsidRPr="009F01F5" w:rsidRDefault="00FA68A5" w:rsidP="00FA68A5">
      <w:pPr>
        <w:snapToGrid w:val="0"/>
        <w:spacing w:after="100" w:afterAutospacing="1"/>
      </w:pPr>
      <w:r w:rsidRPr="009F01F5">
        <w:t>F. UMAP plots showing the cell types in Live and InTraSeq data from an independent experiment on a different PBMC sample (Sample_3).</w:t>
      </w:r>
    </w:p>
    <w:p w14:paraId="073CEC9D" w14:textId="77777777" w:rsidR="00FA68A5" w:rsidRDefault="00FA68A5" w:rsidP="00FA68A5">
      <w:pPr>
        <w:snapToGrid w:val="0"/>
        <w:spacing w:after="100" w:afterAutospacing="1"/>
      </w:pPr>
    </w:p>
    <w:p w14:paraId="474DF3E3" w14:textId="77777777" w:rsidR="00FA68A5" w:rsidRDefault="00FA68A5" w:rsidP="00FA68A5">
      <w:pPr>
        <w:snapToGrid w:val="0"/>
        <w:spacing w:after="100" w:afterAutospacing="1"/>
      </w:pPr>
      <w:r>
        <w:rPr>
          <w:noProof/>
        </w:rPr>
        <w:lastRenderedPageBreak/>
        <w:drawing>
          <wp:inline distT="0" distB="0" distL="0" distR="0" wp14:anchorId="49BFFF79" wp14:editId="547FCDD9">
            <wp:extent cx="5942330" cy="7040880"/>
            <wp:effectExtent l="0" t="0" r="1270" b="0"/>
            <wp:docPr id="1072570604"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570604" name="Picture 8" descr="A screenshot of a computer&#10;&#10;Description automatically generated"/>
                    <pic:cNvPicPr/>
                  </pic:nvPicPr>
                  <pic:blipFill rotWithShape="1">
                    <a:blip r:embed="rId5" cstate="print">
                      <a:extLst>
                        <a:ext uri="{28A0092B-C50C-407E-A947-70E740481C1C}">
                          <a14:useLocalDpi xmlns:a14="http://schemas.microsoft.com/office/drawing/2010/main" val="0"/>
                        </a:ext>
                      </a:extLst>
                    </a:blip>
                    <a:srcRect t="-1" b="8441"/>
                    <a:stretch/>
                  </pic:blipFill>
                  <pic:spPr bwMode="auto">
                    <a:xfrm>
                      <a:off x="0" y="0"/>
                      <a:ext cx="5943600" cy="7042385"/>
                    </a:xfrm>
                    <a:prstGeom prst="rect">
                      <a:avLst/>
                    </a:prstGeom>
                    <a:ln>
                      <a:noFill/>
                    </a:ln>
                    <a:extLst>
                      <a:ext uri="{53640926-AAD7-44D8-BBD7-CCE9431645EC}">
                        <a14:shadowObscured xmlns:a14="http://schemas.microsoft.com/office/drawing/2010/main"/>
                      </a:ext>
                    </a:extLst>
                  </pic:spPr>
                </pic:pic>
              </a:graphicData>
            </a:graphic>
          </wp:inline>
        </w:drawing>
      </w:r>
    </w:p>
    <w:p w14:paraId="149235CB" w14:textId="77777777" w:rsidR="00FA68A5" w:rsidRPr="009F01F5" w:rsidRDefault="00FA68A5" w:rsidP="00FA68A5">
      <w:pPr>
        <w:snapToGrid w:val="0"/>
        <w:spacing w:after="100" w:afterAutospacing="1"/>
        <w:rPr>
          <w:b/>
          <w:bCs/>
        </w:rPr>
      </w:pPr>
      <w:r>
        <w:rPr>
          <w:b/>
          <w:bCs/>
        </w:rPr>
        <w:t>Extended Data Figure</w:t>
      </w:r>
      <w:r w:rsidRPr="009F01F5">
        <w:rPr>
          <w:b/>
          <w:bCs/>
        </w:rPr>
        <w:t xml:space="preserve"> 2</w:t>
      </w:r>
    </w:p>
    <w:p w14:paraId="4826568E" w14:textId="77777777" w:rsidR="00FA68A5" w:rsidRPr="009F01F5" w:rsidRDefault="00FA68A5" w:rsidP="00FA68A5">
      <w:pPr>
        <w:snapToGrid w:val="0"/>
        <w:spacing w:after="100" w:afterAutospacing="1"/>
      </w:pPr>
      <w:r w:rsidRPr="009F01F5">
        <w:t>A. UMAP plots for the cells from the PBMC InTraSeq RNA+ADT sample. UMAP coordinates were computed based on surface protein data only (left 1), all protein data (left 2), RNA and surface protein data (left 3), and RNA and all protein data (right 1).</w:t>
      </w:r>
    </w:p>
    <w:p w14:paraId="01D36D11" w14:textId="77777777" w:rsidR="00FA68A5" w:rsidRPr="009F01F5" w:rsidRDefault="00FA68A5" w:rsidP="00FA68A5">
      <w:pPr>
        <w:snapToGrid w:val="0"/>
        <w:spacing w:after="100" w:afterAutospacing="1"/>
      </w:pPr>
      <w:r w:rsidRPr="009F01F5">
        <w:lastRenderedPageBreak/>
        <w:t>B. Stacked violin plots showing the expression patterns of the cell surface proteins (top left) and their corresponding RNAs (top right), and the intracellular total proteins (bottom left) and their corresponding RNAs (bottom right) across cell types in the InTraSeq RNA+ADT sample.</w:t>
      </w:r>
    </w:p>
    <w:p w14:paraId="270BD2BC" w14:textId="77777777" w:rsidR="00FA68A5" w:rsidRPr="009F01F5" w:rsidRDefault="00FA68A5" w:rsidP="00FA68A5">
      <w:pPr>
        <w:snapToGrid w:val="0"/>
        <w:spacing w:after="100" w:afterAutospacing="1"/>
      </w:pPr>
      <w:r w:rsidRPr="009F01F5">
        <w:t>C. UMAP plots depicting the expression of genes of interest (RNAs) and their corresponding proteins (ADTs). The RNA data were log-normalized within every cell, and the ADT data were central-log-ratio-normalized across all cells.</w:t>
      </w:r>
    </w:p>
    <w:p w14:paraId="0BA03A90" w14:textId="77777777" w:rsidR="00FA68A5" w:rsidRPr="009F01F5" w:rsidRDefault="00FA68A5" w:rsidP="00FA68A5">
      <w:pPr>
        <w:snapToGrid w:val="0"/>
        <w:spacing w:after="100" w:afterAutospacing="1"/>
      </w:pPr>
      <w:r w:rsidRPr="009F01F5">
        <w:t>D. Violin plots comparing the expression levels of genes and proteins of interest in the two CD8+ T cell states. The unadjusted p-values were computed using Wilcoxon rank-sum tests.</w:t>
      </w:r>
    </w:p>
    <w:p w14:paraId="1CF35CA3" w14:textId="77777777" w:rsidR="00FA68A5" w:rsidRPr="009F01F5" w:rsidRDefault="00FA68A5" w:rsidP="00FA68A5">
      <w:pPr>
        <w:snapToGrid w:val="0"/>
        <w:spacing w:after="100" w:afterAutospacing="1"/>
      </w:pPr>
      <w:r w:rsidRPr="009F01F5">
        <w:t>E. Violin plots comparing the expression levels of genes and proteins of interest in the two CD4+ T cell states. The unadjusted p-values were computed using Wilcoxon rank-sum tests.</w:t>
      </w:r>
    </w:p>
    <w:p w14:paraId="3F35A724" w14:textId="77777777" w:rsidR="00FA68A5" w:rsidRDefault="00FA68A5" w:rsidP="00FA68A5">
      <w:pPr>
        <w:snapToGrid w:val="0"/>
        <w:spacing w:after="100" w:afterAutospacing="1"/>
      </w:pPr>
    </w:p>
    <w:p w14:paraId="0859E653" w14:textId="77777777" w:rsidR="00FA68A5" w:rsidRDefault="00FA68A5" w:rsidP="00FA68A5">
      <w:pPr>
        <w:snapToGrid w:val="0"/>
        <w:spacing w:after="100" w:afterAutospacing="1"/>
      </w:pPr>
      <w:r>
        <w:rPr>
          <w:noProof/>
        </w:rPr>
        <w:lastRenderedPageBreak/>
        <w:drawing>
          <wp:inline distT="0" distB="0" distL="0" distR="0" wp14:anchorId="79B3271E" wp14:editId="5FB59772">
            <wp:extent cx="5943600" cy="6949440"/>
            <wp:effectExtent l="0" t="0" r="0" b="0"/>
            <wp:docPr id="1754193007" name="Picture 9"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193007" name="Picture 9" descr="A close-up of a chart&#10;&#10;Description automatically generated"/>
                    <pic:cNvPicPr/>
                  </pic:nvPicPr>
                  <pic:blipFill rotWithShape="1">
                    <a:blip r:embed="rId6" cstate="print">
                      <a:extLst>
                        <a:ext uri="{28A0092B-C50C-407E-A947-70E740481C1C}">
                          <a14:useLocalDpi xmlns:a14="http://schemas.microsoft.com/office/drawing/2010/main" val="0"/>
                        </a:ext>
                      </a:extLst>
                    </a:blip>
                    <a:srcRect b="9193"/>
                    <a:stretch/>
                  </pic:blipFill>
                  <pic:spPr bwMode="auto">
                    <a:xfrm>
                      <a:off x="0" y="0"/>
                      <a:ext cx="5943600" cy="6949440"/>
                    </a:xfrm>
                    <a:prstGeom prst="rect">
                      <a:avLst/>
                    </a:prstGeom>
                    <a:ln>
                      <a:noFill/>
                    </a:ln>
                    <a:extLst>
                      <a:ext uri="{53640926-AAD7-44D8-BBD7-CCE9431645EC}">
                        <a14:shadowObscured xmlns:a14="http://schemas.microsoft.com/office/drawing/2010/main"/>
                      </a:ext>
                    </a:extLst>
                  </pic:spPr>
                </pic:pic>
              </a:graphicData>
            </a:graphic>
          </wp:inline>
        </w:drawing>
      </w:r>
    </w:p>
    <w:p w14:paraId="7BE5B43F" w14:textId="77777777" w:rsidR="00FA68A5" w:rsidRPr="009F01F5" w:rsidRDefault="00FA68A5" w:rsidP="00FA68A5">
      <w:pPr>
        <w:snapToGrid w:val="0"/>
        <w:spacing w:after="100" w:afterAutospacing="1"/>
        <w:rPr>
          <w:b/>
          <w:bCs/>
        </w:rPr>
      </w:pPr>
      <w:r>
        <w:rPr>
          <w:b/>
          <w:bCs/>
        </w:rPr>
        <w:t>Extended Data Figure</w:t>
      </w:r>
      <w:r w:rsidRPr="009F01F5">
        <w:rPr>
          <w:b/>
          <w:bCs/>
        </w:rPr>
        <w:t xml:space="preserve"> 3</w:t>
      </w:r>
    </w:p>
    <w:p w14:paraId="3640DAA2" w14:textId="77777777" w:rsidR="00FA68A5" w:rsidRPr="009F01F5" w:rsidRDefault="00FA68A5" w:rsidP="00FA68A5">
      <w:pPr>
        <w:snapToGrid w:val="0"/>
        <w:spacing w:after="100" w:afterAutospacing="1"/>
      </w:pPr>
      <w:r w:rsidRPr="009F01F5">
        <w:t>A. UMAP plot showing clusters identified based on RNA data. UMAP coordinates are the same as Figure 3B. Clustering was based on RNA data only.</w:t>
      </w:r>
    </w:p>
    <w:p w14:paraId="71105B88" w14:textId="77777777" w:rsidR="00FA68A5" w:rsidRPr="009F01F5" w:rsidRDefault="00FA68A5" w:rsidP="00FA68A5">
      <w:pPr>
        <w:snapToGrid w:val="0"/>
        <w:spacing w:after="100" w:afterAutospacing="1"/>
      </w:pPr>
      <w:r w:rsidRPr="009F01F5">
        <w:lastRenderedPageBreak/>
        <w:t xml:space="preserve">B. Number of cells in each cluster from different time points and stimulation conditions. Clusters are the same as </w:t>
      </w:r>
      <w:r>
        <w:t>Extended Data Figure</w:t>
      </w:r>
      <w:r w:rsidRPr="009F01F5">
        <w:t xml:space="preserve"> 3A.</w:t>
      </w:r>
    </w:p>
    <w:p w14:paraId="1B9452B7" w14:textId="77777777" w:rsidR="00FA68A5" w:rsidRPr="009F01F5" w:rsidRDefault="00FA68A5" w:rsidP="00FA68A5">
      <w:pPr>
        <w:snapToGrid w:val="0"/>
        <w:spacing w:after="100" w:afterAutospacing="1"/>
      </w:pPr>
      <w:r w:rsidRPr="009F01F5">
        <w:t>C. UMAP plot showing the cells of different time points. UMAP coordinates were computed using protein (ADT) data only.</w:t>
      </w:r>
    </w:p>
    <w:p w14:paraId="2435F5F2" w14:textId="77777777" w:rsidR="00FA68A5" w:rsidRPr="009F01F5" w:rsidRDefault="00FA68A5" w:rsidP="00FA68A5">
      <w:pPr>
        <w:snapToGrid w:val="0"/>
        <w:spacing w:after="100" w:afterAutospacing="1"/>
      </w:pPr>
      <w:r w:rsidRPr="009F01F5">
        <w:t xml:space="preserve">D. UMAP plot showing the cells of different time points. The UMAP coordinates are the same as </w:t>
      </w:r>
      <w:r>
        <w:t>Extended Data Figure</w:t>
      </w:r>
      <w:r w:rsidRPr="009F01F5">
        <w:t xml:space="preserve"> 3C.</w:t>
      </w:r>
    </w:p>
    <w:p w14:paraId="452918FC" w14:textId="77777777" w:rsidR="00FA68A5" w:rsidRPr="009F01F5" w:rsidRDefault="00FA68A5" w:rsidP="00FA68A5">
      <w:pPr>
        <w:snapToGrid w:val="0"/>
        <w:spacing w:after="100" w:afterAutospacing="1"/>
      </w:pPr>
      <w:r w:rsidRPr="009F01F5">
        <w:t xml:space="preserve">E. UMAP plot showing clusters identified based on RNA data. UMAP coordinates are the same as </w:t>
      </w:r>
      <w:r>
        <w:t>Extended Data Figure</w:t>
      </w:r>
      <w:r w:rsidRPr="009F01F5">
        <w:t xml:space="preserve"> 3C. Clustering was based on protein data only.</w:t>
      </w:r>
    </w:p>
    <w:p w14:paraId="54B04DBE" w14:textId="77777777" w:rsidR="00FA68A5" w:rsidRPr="000F6733" w:rsidRDefault="00FA68A5" w:rsidP="00FA68A5">
      <w:pPr>
        <w:snapToGrid w:val="0"/>
        <w:spacing w:after="100" w:afterAutospacing="1"/>
      </w:pPr>
      <w:r w:rsidRPr="009F01F5">
        <w:t xml:space="preserve">F. Number of cells in each cluster from different time points and stimulation conditions. Clusters are the same as </w:t>
      </w:r>
      <w:r>
        <w:t>Extended Data Figure</w:t>
      </w:r>
      <w:r w:rsidRPr="009F01F5">
        <w:t xml:space="preserve"> </w:t>
      </w:r>
      <w:r w:rsidRPr="000F6733">
        <w:t>3E.</w:t>
      </w:r>
    </w:p>
    <w:p w14:paraId="0AA355D5" w14:textId="77777777" w:rsidR="00FA68A5" w:rsidRPr="000F6733" w:rsidRDefault="00FA68A5" w:rsidP="00FA68A5">
      <w:pPr>
        <w:snapToGrid w:val="0"/>
        <w:spacing w:after="100" w:afterAutospacing="1"/>
      </w:pPr>
      <w:r w:rsidRPr="000F6733">
        <w:t xml:space="preserve">G. UMAP plots depicting the expression of </w:t>
      </w:r>
      <w:r w:rsidRPr="000F6733">
        <w:rPr>
          <w:i/>
          <w:iCs/>
        </w:rPr>
        <w:t>Foxo1</w:t>
      </w:r>
      <w:r w:rsidRPr="000F6733">
        <w:t xml:space="preserve"> RNA and </w:t>
      </w:r>
      <w:r w:rsidRPr="000F6733">
        <w:rPr>
          <w:rFonts w:hint="eastAsia"/>
        </w:rPr>
        <w:t>FOXO1</w:t>
      </w:r>
      <w:r w:rsidRPr="000F6733">
        <w:t>protein.</w:t>
      </w:r>
    </w:p>
    <w:p w14:paraId="37207DC2" w14:textId="77777777" w:rsidR="00FA68A5" w:rsidRPr="000F6733" w:rsidRDefault="00FA68A5" w:rsidP="00FA68A5">
      <w:pPr>
        <w:snapToGrid w:val="0"/>
        <w:spacing w:after="100" w:afterAutospacing="1"/>
      </w:pPr>
      <w:r w:rsidRPr="000F6733">
        <w:t xml:space="preserve">H. UMAP plots depicting the expression of </w:t>
      </w:r>
      <w:r w:rsidRPr="000F6733">
        <w:rPr>
          <w:i/>
          <w:iCs/>
        </w:rPr>
        <w:t>Ikzf3</w:t>
      </w:r>
      <w:r w:rsidRPr="000F6733">
        <w:t xml:space="preserve"> RNA and Aiolos protein.</w:t>
      </w:r>
    </w:p>
    <w:p w14:paraId="748549D9" w14:textId="77777777" w:rsidR="00FA68A5" w:rsidRPr="009F01F5" w:rsidRDefault="00FA68A5" w:rsidP="00FA68A5">
      <w:pPr>
        <w:snapToGrid w:val="0"/>
        <w:spacing w:after="100" w:afterAutospacing="1"/>
      </w:pPr>
      <w:r w:rsidRPr="000F6733">
        <w:t xml:space="preserve">I. UMAP plots depicting the expression of </w:t>
      </w:r>
      <w:r w:rsidRPr="000F6733">
        <w:rPr>
          <w:i/>
          <w:iCs/>
        </w:rPr>
        <w:t>Batf</w:t>
      </w:r>
      <w:r w:rsidRPr="000F6733">
        <w:t xml:space="preserve"> RNA and BATF protein.</w:t>
      </w:r>
    </w:p>
    <w:p w14:paraId="386F09E3" w14:textId="77777777" w:rsidR="00FA68A5" w:rsidRPr="009F01F5" w:rsidRDefault="00FA68A5" w:rsidP="00FA68A5">
      <w:pPr>
        <w:snapToGrid w:val="0"/>
        <w:spacing w:after="100" w:afterAutospacing="1"/>
      </w:pPr>
      <w:r w:rsidRPr="009F01F5">
        <w:t xml:space="preserve">J. UMAP plots depicting the </w:t>
      </w:r>
      <w:r w:rsidRPr="00F60BD2">
        <w:t xml:space="preserve">expression of </w:t>
      </w:r>
      <w:r w:rsidRPr="00F60BD2">
        <w:rPr>
          <w:i/>
          <w:iCs/>
        </w:rPr>
        <w:t>Rps6</w:t>
      </w:r>
      <w:r w:rsidRPr="00F60BD2">
        <w:t xml:space="preserve"> gene (RNA), total S6 protein, and</w:t>
      </w:r>
      <w:r w:rsidRPr="00F60BD2">
        <w:rPr>
          <w:rFonts w:hint="eastAsia"/>
        </w:rPr>
        <w:t xml:space="preserve"> p-S6-Ser235/236</w:t>
      </w:r>
      <w:r w:rsidRPr="00F60BD2">
        <w:t xml:space="preserve"> protein, and the ratio of </w:t>
      </w:r>
      <w:r w:rsidRPr="00F60BD2">
        <w:rPr>
          <w:rFonts w:hint="eastAsia"/>
        </w:rPr>
        <w:t xml:space="preserve">p-S6-Ser235/236 </w:t>
      </w:r>
      <w:r w:rsidRPr="00F60BD2">
        <w:t>to total S6 protein.</w:t>
      </w:r>
    </w:p>
    <w:p w14:paraId="16DB0D47" w14:textId="77777777" w:rsidR="00FA68A5" w:rsidRPr="009F01F5" w:rsidRDefault="00FA68A5" w:rsidP="00FA68A5">
      <w:pPr>
        <w:snapToGrid w:val="0"/>
        <w:spacing w:after="100" w:afterAutospacing="1"/>
      </w:pPr>
      <w:r w:rsidRPr="009F01F5">
        <w:t>K. Number of up- and down-regulated genes in npTh17 vs. Th0 at every time point. Differential expression test was performed using Wilcoxon rank-sum test, and threshold were set to FDR &lt; 0.05 and fold change &gt; 1.5.</w:t>
      </w:r>
    </w:p>
    <w:p w14:paraId="6C991F07" w14:textId="77777777" w:rsidR="00FA68A5" w:rsidRPr="009F01F5" w:rsidRDefault="00FA68A5" w:rsidP="00FA68A5">
      <w:pPr>
        <w:snapToGrid w:val="0"/>
        <w:spacing w:after="100" w:afterAutospacing="1"/>
      </w:pPr>
      <w:r w:rsidRPr="009F01F5">
        <w:t>L. Number of up- and down-regulated genes in npTh17 vs. pTh17 at every time point. Differential expression test was performed using Wilcoxon rank-sum test, and threshold were set to FDR &lt; 0.05 and fold change &gt; 1.5.</w:t>
      </w:r>
    </w:p>
    <w:p w14:paraId="49483F43" w14:textId="77777777" w:rsidR="00FA68A5" w:rsidRPr="00A47139" w:rsidRDefault="00FA68A5" w:rsidP="00FA68A5">
      <w:pPr>
        <w:snapToGrid w:val="0"/>
        <w:spacing w:after="100" w:afterAutospacing="1"/>
      </w:pPr>
      <w:r w:rsidRPr="009F01F5">
        <w:t xml:space="preserve">M. </w:t>
      </w:r>
      <w:r w:rsidRPr="00A47139">
        <w:t>Number of BATF-bound genes that are significantly up- or down-regulated in npTh17 compared to Th0 (top) or pTh17 (bottom) at every time point.</w:t>
      </w:r>
    </w:p>
    <w:p w14:paraId="73AFC095" w14:textId="77777777" w:rsidR="00FA68A5" w:rsidRPr="009F01F5" w:rsidRDefault="00FA68A5" w:rsidP="00FA68A5">
      <w:pPr>
        <w:snapToGrid w:val="0"/>
        <w:spacing w:after="100" w:afterAutospacing="1"/>
      </w:pPr>
      <w:r w:rsidRPr="00A47139">
        <w:t>N. Expression of BATF direct targets of interest at the 24-hour time point. BATF direct targets of interest were defined as the BATF-bound genes</w:t>
      </w:r>
      <w:r w:rsidRPr="009F01F5">
        <w:t xml:space="preserve"> that are both differentially expressed in npTh17 vs. Th0 at least one time point and are differentially expressed in npTh17 vs. pTh17 at least one time point. The color indicates the z-normalized average expression.</w:t>
      </w:r>
    </w:p>
    <w:p w14:paraId="387C0CC4" w14:textId="77777777" w:rsidR="00FA68A5" w:rsidRDefault="00FA68A5" w:rsidP="00FA68A5">
      <w:pPr>
        <w:snapToGrid w:val="0"/>
        <w:spacing w:after="100" w:afterAutospacing="1"/>
      </w:pPr>
    </w:p>
    <w:p w14:paraId="0A027FC4" w14:textId="77777777" w:rsidR="00FA68A5" w:rsidRDefault="00FA68A5" w:rsidP="00FA68A5">
      <w:pPr>
        <w:snapToGrid w:val="0"/>
        <w:spacing w:after="100" w:afterAutospacing="1"/>
      </w:pPr>
      <w:r>
        <w:rPr>
          <w:noProof/>
        </w:rPr>
        <w:lastRenderedPageBreak/>
        <w:drawing>
          <wp:inline distT="0" distB="0" distL="0" distR="0" wp14:anchorId="74DFABFF" wp14:editId="582006E6">
            <wp:extent cx="5941695" cy="4389120"/>
            <wp:effectExtent l="0" t="0" r="1905" b="5080"/>
            <wp:docPr id="126697443" name="Picture 10"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97443" name="Picture 10" descr="A screenshot of a diagram&#10;&#10;Description automatically generated"/>
                    <pic:cNvPicPr/>
                  </pic:nvPicPr>
                  <pic:blipFill rotWithShape="1">
                    <a:blip r:embed="rId7" cstate="print">
                      <a:extLst>
                        <a:ext uri="{28A0092B-C50C-407E-A947-70E740481C1C}">
                          <a14:useLocalDpi xmlns:a14="http://schemas.microsoft.com/office/drawing/2010/main" val="0"/>
                        </a:ext>
                      </a:extLst>
                    </a:blip>
                    <a:srcRect b="42919"/>
                    <a:stretch/>
                  </pic:blipFill>
                  <pic:spPr bwMode="auto">
                    <a:xfrm>
                      <a:off x="0" y="0"/>
                      <a:ext cx="5943600" cy="4390527"/>
                    </a:xfrm>
                    <a:prstGeom prst="rect">
                      <a:avLst/>
                    </a:prstGeom>
                    <a:ln>
                      <a:noFill/>
                    </a:ln>
                    <a:extLst>
                      <a:ext uri="{53640926-AAD7-44D8-BBD7-CCE9431645EC}">
                        <a14:shadowObscured xmlns:a14="http://schemas.microsoft.com/office/drawing/2010/main"/>
                      </a:ext>
                    </a:extLst>
                  </pic:spPr>
                </pic:pic>
              </a:graphicData>
            </a:graphic>
          </wp:inline>
        </w:drawing>
      </w:r>
    </w:p>
    <w:p w14:paraId="1CEC3D66" w14:textId="77777777" w:rsidR="00FA68A5" w:rsidRPr="00D06354" w:rsidRDefault="00FA68A5" w:rsidP="00FA68A5">
      <w:pPr>
        <w:snapToGrid w:val="0"/>
        <w:spacing w:after="100" w:afterAutospacing="1"/>
        <w:rPr>
          <w:b/>
          <w:bCs/>
        </w:rPr>
      </w:pPr>
      <w:r>
        <w:rPr>
          <w:b/>
          <w:bCs/>
        </w:rPr>
        <w:t>Extended Data Figu</w:t>
      </w:r>
      <w:r w:rsidRPr="00D06354">
        <w:rPr>
          <w:b/>
          <w:bCs/>
        </w:rPr>
        <w:t>re 4</w:t>
      </w:r>
    </w:p>
    <w:p w14:paraId="2DFC3890" w14:textId="77777777" w:rsidR="00FA68A5" w:rsidRPr="00D06354" w:rsidRDefault="00FA68A5" w:rsidP="00FA68A5">
      <w:pPr>
        <w:snapToGrid w:val="0"/>
        <w:spacing w:after="100" w:afterAutospacing="1"/>
      </w:pPr>
      <w:r w:rsidRPr="00D06354">
        <w:t xml:space="preserve">A. UMAP plots showing the expression of </w:t>
      </w:r>
      <w:r w:rsidRPr="00D06354">
        <w:rPr>
          <w:i/>
          <w:iCs/>
        </w:rPr>
        <w:t>Hist1h3a</w:t>
      </w:r>
      <w:r w:rsidRPr="00D06354">
        <w:t xml:space="preserve"> gene (RNA), total Histone H3 protein, and p</w:t>
      </w:r>
      <w:r w:rsidRPr="00D06354">
        <w:rPr>
          <w:rFonts w:hint="eastAsia"/>
        </w:rPr>
        <w:t>-</w:t>
      </w:r>
      <w:r w:rsidRPr="00D06354">
        <w:t>H3-Ser10 protein in npTh17 at 24 hours.</w:t>
      </w:r>
    </w:p>
    <w:p w14:paraId="4012C33B" w14:textId="77777777" w:rsidR="00FA68A5" w:rsidRPr="00D06354" w:rsidRDefault="00FA68A5" w:rsidP="00FA68A5">
      <w:pPr>
        <w:snapToGrid w:val="0"/>
        <w:spacing w:after="100" w:afterAutospacing="1"/>
      </w:pPr>
      <w:r w:rsidRPr="00D06354">
        <w:t xml:space="preserve">B. UMAP plots showing the expression of </w:t>
      </w:r>
      <w:r w:rsidRPr="00D06354">
        <w:rPr>
          <w:i/>
          <w:iCs/>
        </w:rPr>
        <w:t>Hist1h3a</w:t>
      </w:r>
      <w:r w:rsidRPr="00D06354">
        <w:t xml:space="preserve"> gene (RNA), total Histone H3 protein, and p</w:t>
      </w:r>
      <w:r w:rsidRPr="00D06354">
        <w:rPr>
          <w:rFonts w:hint="eastAsia"/>
        </w:rPr>
        <w:t>-</w:t>
      </w:r>
      <w:r w:rsidRPr="00D06354">
        <w:t>H3-Ser10 protein in pTh17 at 24 hours.</w:t>
      </w:r>
    </w:p>
    <w:p w14:paraId="2AD87CE3" w14:textId="77777777" w:rsidR="00FA68A5" w:rsidRPr="00D06354" w:rsidRDefault="00FA68A5" w:rsidP="00FA68A5">
      <w:pPr>
        <w:snapToGrid w:val="0"/>
        <w:spacing w:after="100" w:afterAutospacing="1"/>
      </w:pPr>
      <w:r w:rsidRPr="00D06354">
        <w:t>C. Distribution of p</w:t>
      </w:r>
      <w:r w:rsidRPr="00D06354">
        <w:rPr>
          <w:rFonts w:hint="eastAsia"/>
        </w:rPr>
        <w:t>-</w:t>
      </w:r>
      <w:r w:rsidRPr="00D06354">
        <w:t>H3-Ser10 to total</w:t>
      </w:r>
      <w:r w:rsidRPr="00D06354">
        <w:rPr>
          <w:rFonts w:hint="eastAsia"/>
        </w:rPr>
        <w:t xml:space="preserve"> Histone</w:t>
      </w:r>
      <w:r w:rsidRPr="00D06354">
        <w:t xml:space="preserve"> H3 protein ratios in cells at different cell cycle phases at 24 hours.</w:t>
      </w:r>
      <w:r w:rsidRPr="00D06354">
        <w:rPr>
          <w:rFonts w:hint="eastAsia"/>
        </w:rPr>
        <w:t xml:space="preserve"> </w:t>
      </w:r>
      <w:r w:rsidRPr="00D06354">
        <w:t>The unadjusted p-values were computed using Wilcoxon rank-sum tests</w:t>
      </w:r>
      <w:r w:rsidRPr="00D06354">
        <w:rPr>
          <w:rFonts w:hint="eastAsia"/>
        </w:rPr>
        <w:t>.</w:t>
      </w:r>
    </w:p>
    <w:p w14:paraId="4E3BCAC2" w14:textId="77777777" w:rsidR="00FA68A5" w:rsidRPr="00D06354" w:rsidRDefault="00FA68A5" w:rsidP="00FA68A5">
      <w:pPr>
        <w:snapToGrid w:val="0"/>
        <w:spacing w:after="100" w:afterAutospacing="1"/>
      </w:pPr>
      <w:r w:rsidRPr="00D06354">
        <w:t>D. UMAP plot showing the new cell cycle phase annotation using additional information from p</w:t>
      </w:r>
      <w:r w:rsidRPr="00D06354">
        <w:rPr>
          <w:rFonts w:hint="eastAsia"/>
        </w:rPr>
        <w:t>-</w:t>
      </w:r>
      <w:r w:rsidRPr="00D06354">
        <w:t>H3-Ser10 protein levels in npTh17 at 24 hours.</w:t>
      </w:r>
    </w:p>
    <w:p w14:paraId="66DE5A74" w14:textId="77777777" w:rsidR="00FA68A5" w:rsidRPr="009F01F5" w:rsidRDefault="00FA68A5" w:rsidP="00FA68A5">
      <w:pPr>
        <w:snapToGrid w:val="0"/>
        <w:spacing w:after="100" w:afterAutospacing="1"/>
      </w:pPr>
      <w:r w:rsidRPr="00D06354">
        <w:t>E. UMAP plot showing the new cell cycle phase annotation using additional information from p</w:t>
      </w:r>
      <w:r w:rsidRPr="00D06354">
        <w:rPr>
          <w:rFonts w:hint="eastAsia"/>
        </w:rPr>
        <w:t>-</w:t>
      </w:r>
      <w:r w:rsidRPr="00D06354">
        <w:t>H3-Ser10 protein</w:t>
      </w:r>
      <w:r w:rsidRPr="009F01F5">
        <w:t xml:space="preserve"> levels in pTh17 at 24 hours.</w:t>
      </w:r>
    </w:p>
    <w:p w14:paraId="7B40F625" w14:textId="77777777" w:rsidR="00FA68A5" w:rsidRPr="009F01F5" w:rsidRDefault="00FA68A5" w:rsidP="00FA68A5">
      <w:pPr>
        <w:snapToGrid w:val="0"/>
        <w:spacing w:after="100" w:afterAutospacing="1"/>
      </w:pPr>
    </w:p>
    <w:p w14:paraId="3D0A3DA0" w14:textId="77777777" w:rsidR="00755780" w:rsidRDefault="00755780"/>
    <w:p w14:paraId="07B3393E" w14:textId="77777777" w:rsidR="00A451B9" w:rsidRDefault="00A451B9"/>
    <w:p w14:paraId="74E66957" w14:textId="77777777" w:rsidR="00A451B9" w:rsidRPr="00221CF6" w:rsidRDefault="00A451B9" w:rsidP="00A451B9">
      <w:pPr>
        <w:snapToGrid w:val="0"/>
        <w:spacing w:after="100" w:afterAutospacing="1"/>
        <w:rPr>
          <w:b/>
          <w:bCs/>
        </w:rPr>
      </w:pPr>
      <w:r w:rsidRPr="00221CF6">
        <w:rPr>
          <w:rFonts w:hint="eastAsia"/>
          <w:b/>
          <w:bCs/>
        </w:rPr>
        <w:t xml:space="preserve">Supplementary </w:t>
      </w:r>
      <w:r>
        <w:rPr>
          <w:rFonts w:hint="eastAsia"/>
          <w:b/>
          <w:bCs/>
        </w:rPr>
        <w:t>information</w:t>
      </w:r>
    </w:p>
    <w:p w14:paraId="46641BF7" w14:textId="77777777" w:rsidR="00A451B9" w:rsidRDefault="00A451B9" w:rsidP="00A451B9">
      <w:pPr>
        <w:snapToGrid w:val="0"/>
        <w:spacing w:after="100" w:afterAutospacing="1"/>
      </w:pPr>
      <w:r>
        <w:rPr>
          <w:rFonts w:hint="eastAsia"/>
        </w:rPr>
        <w:t>Supplementary Table 1: Information for the antibodies used in the InTraSeq experiments.</w:t>
      </w:r>
    </w:p>
    <w:p w14:paraId="09919D70" w14:textId="77777777" w:rsidR="00A451B9" w:rsidRPr="009F01F5" w:rsidRDefault="00A451B9" w:rsidP="00A451B9">
      <w:pPr>
        <w:snapToGrid w:val="0"/>
        <w:spacing w:after="100" w:afterAutospacing="1"/>
      </w:pPr>
      <w:r>
        <w:rPr>
          <w:rFonts w:hint="eastAsia"/>
        </w:rPr>
        <w:t>Supplementary Table 2: Human PBMCs data summary metrics (related to Figure 1.)</w:t>
      </w:r>
    </w:p>
    <w:p w14:paraId="325188D6" w14:textId="77777777" w:rsidR="00A451B9" w:rsidRPr="009F01F5" w:rsidRDefault="00A451B9" w:rsidP="00A451B9">
      <w:pPr>
        <w:snapToGrid w:val="0"/>
        <w:spacing w:after="100" w:afterAutospacing="1"/>
      </w:pPr>
      <w:r>
        <w:rPr>
          <w:rFonts w:hint="eastAsia"/>
        </w:rPr>
        <w:t>Supplementary Table 3. Cluster differentially expressed genes for human PBMCs data (related to Figure 1.)</w:t>
      </w:r>
    </w:p>
    <w:p w14:paraId="7CFB4797" w14:textId="77777777" w:rsidR="00A451B9" w:rsidRPr="009F01F5" w:rsidRDefault="00A451B9" w:rsidP="00A451B9">
      <w:pPr>
        <w:snapToGrid w:val="0"/>
        <w:spacing w:after="100" w:afterAutospacing="1"/>
      </w:pPr>
      <w:r>
        <w:rPr>
          <w:rFonts w:hint="eastAsia"/>
        </w:rPr>
        <w:t>Supplementary Table 4. Cluster differentially expressed proteins for human PBMCs data (related to Figure 2.)</w:t>
      </w:r>
    </w:p>
    <w:p w14:paraId="4EF6617E" w14:textId="77777777" w:rsidR="00A451B9" w:rsidRPr="009F01F5" w:rsidRDefault="00A451B9" w:rsidP="00A451B9">
      <w:pPr>
        <w:snapToGrid w:val="0"/>
        <w:spacing w:after="100" w:afterAutospacing="1"/>
      </w:pPr>
      <w:r>
        <w:rPr>
          <w:rFonts w:hint="eastAsia"/>
        </w:rPr>
        <w:t>Supplementary Table 5: Mouse Th17 differentiation data summary metrics (related to Figure 3.)</w:t>
      </w:r>
    </w:p>
    <w:p w14:paraId="5D06FF81" w14:textId="77777777" w:rsidR="00A451B9" w:rsidRPr="009F01F5" w:rsidRDefault="00A451B9" w:rsidP="00A451B9">
      <w:pPr>
        <w:snapToGrid w:val="0"/>
        <w:spacing w:after="100" w:afterAutospacing="1"/>
      </w:pPr>
      <w:r>
        <w:rPr>
          <w:rFonts w:hint="eastAsia"/>
        </w:rPr>
        <w:t>Supplementary Table 6. Cluster differentially expressed genes for mouse Th17 differentiation data (related to Figure 3.)</w:t>
      </w:r>
    </w:p>
    <w:p w14:paraId="7084E4CE" w14:textId="77777777" w:rsidR="00A451B9" w:rsidRPr="00A47139" w:rsidRDefault="00A451B9" w:rsidP="00A451B9">
      <w:pPr>
        <w:snapToGrid w:val="0"/>
        <w:spacing w:after="100" w:afterAutospacing="1"/>
      </w:pPr>
      <w:r>
        <w:rPr>
          <w:rFonts w:hint="eastAsia"/>
        </w:rPr>
        <w:t xml:space="preserve">Supplementary Table 7. Cluster differentially expressed proteins for mouse Th17 differentiation data (related to </w:t>
      </w:r>
      <w:r w:rsidRPr="00A47139">
        <w:rPr>
          <w:rFonts w:hint="eastAsia"/>
        </w:rPr>
        <w:t>Figure 3.)</w:t>
      </w:r>
    </w:p>
    <w:p w14:paraId="354AB716" w14:textId="77777777" w:rsidR="00A451B9" w:rsidRPr="00A47139" w:rsidRDefault="00A451B9" w:rsidP="00A451B9">
      <w:pPr>
        <w:snapToGrid w:val="0"/>
        <w:spacing w:after="100" w:afterAutospacing="1"/>
      </w:pPr>
      <w:r w:rsidRPr="00A47139">
        <w:rPr>
          <w:rFonts w:hint="eastAsia"/>
        </w:rPr>
        <w:t>Supplementary Table 8. STAT3-bound genes according to ChIP-Seq data (Related to Figure 3.)</w:t>
      </w:r>
    </w:p>
    <w:p w14:paraId="0E5E9166" w14:textId="77777777" w:rsidR="00A451B9" w:rsidRPr="00A47139" w:rsidRDefault="00A451B9" w:rsidP="00A451B9">
      <w:pPr>
        <w:snapToGrid w:val="0"/>
        <w:spacing w:after="100" w:afterAutospacing="1"/>
      </w:pPr>
      <w:r w:rsidRPr="00A47139">
        <w:rPr>
          <w:rFonts w:hint="eastAsia"/>
        </w:rPr>
        <w:t>Supplementary Table 9. Differentially expressed genes between conditions at every time point (Related to Figure 3.)</w:t>
      </w:r>
    </w:p>
    <w:p w14:paraId="5CFCB7B1" w14:textId="77777777" w:rsidR="00A451B9" w:rsidRPr="009F01F5" w:rsidRDefault="00A451B9" w:rsidP="00A451B9">
      <w:pPr>
        <w:snapToGrid w:val="0"/>
        <w:spacing w:after="100" w:afterAutospacing="1"/>
      </w:pPr>
      <w:r w:rsidRPr="00A47139">
        <w:rPr>
          <w:rFonts w:hint="eastAsia"/>
        </w:rPr>
        <w:t>Supplementary Table 10. BATF-bound genes according to ChIP-Seq data (Related to Extended Data Figure 3.)</w:t>
      </w:r>
    </w:p>
    <w:p w14:paraId="18FB1F24" w14:textId="77777777" w:rsidR="00A451B9" w:rsidRDefault="00A451B9"/>
    <w:sectPr w:rsidR="00A451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8A5"/>
    <w:rsid w:val="00331A6B"/>
    <w:rsid w:val="00405976"/>
    <w:rsid w:val="00755780"/>
    <w:rsid w:val="00857596"/>
    <w:rsid w:val="00A451B9"/>
    <w:rsid w:val="00FA68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AFECF"/>
  <w15:chartTrackingRefBased/>
  <w15:docId w15:val="{B1848EF2-BB5A-49C5-98E4-DD8E42C33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8A5"/>
    <w:pPr>
      <w:spacing w:after="0" w:line="240" w:lineRule="auto"/>
    </w:pPr>
    <w:rPr>
      <w:rFonts w:ascii="Times New Roman" w:eastAsia="Times New Roman" w:hAnsi="Times New Roman" w:cs="Times New Roman"/>
      <w:kern w:val="0"/>
      <w:sz w:val="24"/>
      <w:szCs w:val="24"/>
      <w:lang w:eastAsia="zh-CN"/>
      <w14:ligatures w14:val="none"/>
    </w:rPr>
  </w:style>
  <w:style w:type="paragraph" w:styleId="Heading1">
    <w:name w:val="heading 1"/>
    <w:basedOn w:val="Normal"/>
    <w:next w:val="Normal"/>
    <w:link w:val="Heading1Char"/>
    <w:uiPriority w:val="9"/>
    <w:qFormat/>
    <w:rsid w:val="00FA68A5"/>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A68A5"/>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A68A5"/>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A68A5"/>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FA68A5"/>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FA68A5"/>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FA68A5"/>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FA68A5"/>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FA68A5"/>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6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6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6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6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6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6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6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68A5"/>
    <w:rPr>
      <w:rFonts w:eastAsiaTheme="majorEastAsia" w:cstheme="majorBidi"/>
      <w:color w:val="272727" w:themeColor="text1" w:themeTint="D8"/>
    </w:rPr>
  </w:style>
  <w:style w:type="paragraph" w:styleId="Title">
    <w:name w:val="Title"/>
    <w:basedOn w:val="Normal"/>
    <w:next w:val="Normal"/>
    <w:link w:val="TitleChar"/>
    <w:uiPriority w:val="10"/>
    <w:qFormat/>
    <w:rsid w:val="00FA68A5"/>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A6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68A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FA6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68A5"/>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FA68A5"/>
    <w:rPr>
      <w:i/>
      <w:iCs/>
      <w:color w:val="404040" w:themeColor="text1" w:themeTint="BF"/>
    </w:rPr>
  </w:style>
  <w:style w:type="paragraph" w:styleId="ListParagraph">
    <w:name w:val="List Paragraph"/>
    <w:basedOn w:val="Normal"/>
    <w:uiPriority w:val="34"/>
    <w:qFormat/>
    <w:rsid w:val="00FA68A5"/>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FA68A5"/>
    <w:rPr>
      <w:i/>
      <w:iCs/>
      <w:color w:val="0F4761" w:themeColor="accent1" w:themeShade="BF"/>
    </w:rPr>
  </w:style>
  <w:style w:type="paragraph" w:styleId="IntenseQuote">
    <w:name w:val="Intense Quote"/>
    <w:basedOn w:val="Normal"/>
    <w:next w:val="Normal"/>
    <w:link w:val="IntenseQuoteChar"/>
    <w:uiPriority w:val="30"/>
    <w:qFormat/>
    <w:rsid w:val="00FA68A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FA68A5"/>
    <w:rPr>
      <w:i/>
      <w:iCs/>
      <w:color w:val="0F4761" w:themeColor="accent1" w:themeShade="BF"/>
    </w:rPr>
  </w:style>
  <w:style w:type="character" w:styleId="IntenseReference">
    <w:name w:val="Intense Reference"/>
    <w:basedOn w:val="DefaultParagraphFont"/>
    <w:uiPriority w:val="32"/>
    <w:qFormat/>
    <w:rsid w:val="00FA68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1068</Words>
  <Characters>6094</Characters>
  <Application>Microsoft Office Word</Application>
  <DocSecurity>0</DocSecurity>
  <Lines>50</Lines>
  <Paragraphs>14</Paragraphs>
  <ScaleCrop>false</ScaleCrop>
  <Company>Springer Nature</Company>
  <LinksUpToDate>false</LinksUpToDate>
  <CharactersWithSpaces>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2024-12-09T09:24:00Z</dcterms:created>
  <dcterms:modified xsi:type="dcterms:W3CDTF">2024-12-09T10:05:00Z</dcterms:modified>
</cp:coreProperties>
</file>