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C5116B" w14:textId="77777777" w:rsidR="00AB2172" w:rsidRPr="002048F0" w:rsidRDefault="00AB2172" w:rsidP="00AB2172">
      <w:pPr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2048F0">
        <w:rPr>
          <w:rFonts w:ascii="Times New Roman" w:hAnsi="Times New Roman" w:cs="Times New Roman"/>
          <w:bCs/>
          <w:i/>
          <w:iCs/>
          <w:sz w:val="20"/>
          <w:szCs w:val="20"/>
        </w:rPr>
        <w:t>Research Article</w:t>
      </w:r>
    </w:p>
    <w:p w14:paraId="76E6D0AB" w14:textId="5164522B" w:rsidR="00AB2172" w:rsidRPr="002048F0" w:rsidRDefault="00AB2172" w:rsidP="00AB2172">
      <w:pPr>
        <w:rPr>
          <w:rFonts w:ascii="Times New Roman" w:hAnsi="Times New Roman" w:cs="Times New Roman"/>
          <w:bCs/>
          <w:i/>
          <w:iCs/>
          <w:sz w:val="20"/>
          <w:szCs w:val="20"/>
        </w:rPr>
      </w:pPr>
      <w:r w:rsidRPr="002048F0">
        <w:rPr>
          <w:rFonts w:ascii="Times New Roman" w:hAnsi="Times New Roman" w:cs="Times New Roman"/>
          <w:bCs/>
          <w:i/>
          <w:iCs/>
          <w:sz w:val="20"/>
          <w:szCs w:val="20"/>
        </w:rPr>
        <w:t>Discovery Oncology</w:t>
      </w:r>
    </w:p>
    <w:p w14:paraId="553A200B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2048F0">
        <w:rPr>
          <w:rFonts w:ascii="Times New Roman" w:hAnsi="Times New Roman" w:cs="Times New Roman"/>
          <w:b/>
          <w:sz w:val="20"/>
          <w:szCs w:val="20"/>
        </w:rPr>
        <w:t xml:space="preserve">Ki-67 expression in </w:t>
      </w:r>
      <w:r w:rsidRPr="002048F0">
        <w:rPr>
          <w:rFonts w:ascii="Times New Roman" w:hAnsi="Times New Roman" w:cs="Times New Roman"/>
          <w:b/>
          <w:color w:val="000000" w:themeColor="text1"/>
          <w:sz w:val="20"/>
          <w:szCs w:val="20"/>
        </w:rPr>
        <w:t>anti-programmed cell death protein-1 antibody-bound</w:t>
      </w:r>
      <w:r w:rsidRPr="002048F0">
        <w:rPr>
          <w:rFonts w:ascii="Times New Roman" w:hAnsi="Times New Roman" w:cs="Times New Roman"/>
          <w:b/>
          <w:sz w:val="20"/>
          <w:szCs w:val="20"/>
        </w:rPr>
        <w:t xml:space="preserve"> CD8</w:t>
      </w:r>
      <w:r w:rsidRPr="002048F0">
        <w:rPr>
          <w:rFonts w:ascii="Times New Roman" w:hAnsi="Times New Roman" w:cs="Times New Roman"/>
          <w:b/>
          <w:sz w:val="20"/>
          <w:szCs w:val="20"/>
          <w:vertAlign w:val="superscript"/>
        </w:rPr>
        <w:t>+</w:t>
      </w:r>
      <w:r w:rsidRPr="002048F0">
        <w:rPr>
          <w:rFonts w:ascii="Times New Roman" w:hAnsi="Times New Roman" w:cs="Times New Roman"/>
          <w:b/>
          <w:sz w:val="20"/>
          <w:szCs w:val="20"/>
        </w:rPr>
        <w:t xml:space="preserve"> T cells as a predictor of clinical benefit</w:t>
      </w:r>
    </w:p>
    <w:p w14:paraId="31EC2E99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bCs/>
          <w:sz w:val="20"/>
          <w:szCs w:val="20"/>
        </w:rPr>
      </w:pPr>
    </w:p>
    <w:p w14:paraId="4CC46CF0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sz w:val="20"/>
          <w:szCs w:val="20"/>
        </w:rPr>
        <w:t xml:space="preserve">Toshiaki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Tsurui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a,b,c,d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Masahiro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Hosonuma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a,b,d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Aya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Sasaki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a,b,d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Yuuki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Maruyama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a.b,d,e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Yasunobu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Amari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b,d,f,g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Eiji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Funayama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b,d,h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Kohei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Tajima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b,i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Hitoshi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Toyoda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a,b,d,j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Junya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Isobe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b,k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Yoshitaka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Yamazaki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d,l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Yuta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Baba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b,m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Midori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Shida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Yuko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Udaka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a,d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Emiko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Mura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Risako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Suzuki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Nana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Iriguchi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Tomoyuki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Ishiguro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Yuya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Hirasawa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Ryotaro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Ohkuma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Masahiro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Shimokawa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Hirotsugu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Ariizumi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Yutaro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Kubota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Atsushi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Horiike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Satoshi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Wada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n,o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Atsuo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Kuramasu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Mayumi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Tsuji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Yuji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Kiuchi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a,d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Takuya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Tsunoda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, Kiyoshi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Yoshimura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b,n</w:t>
      </w:r>
      <w:proofErr w:type="spellEnd"/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,*</w:t>
      </w:r>
    </w:p>
    <w:p w14:paraId="2694065C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17C4C2BA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a</w:t>
      </w:r>
      <w:r w:rsidRPr="002048F0">
        <w:rPr>
          <w:rFonts w:ascii="Times New Roman" w:hAnsi="Times New Roman" w:cs="Times New Roman"/>
          <w:sz w:val="20"/>
          <w:szCs w:val="20"/>
        </w:rPr>
        <w:t>Division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of Medical Pharmacology, Showa University Graduate School of Medicine, Tokyo, Japan</w:t>
      </w:r>
    </w:p>
    <w:p w14:paraId="726F2219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b</w:t>
      </w:r>
      <w:r w:rsidRPr="002048F0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of Clinical Immuno-Oncology, Clinical Research Institute for Clinical Pharmacology and Therapeutics, Showa University, Tokyo, Japan</w:t>
      </w:r>
    </w:p>
    <w:p w14:paraId="2C7C12B1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c</w:t>
      </w:r>
      <w:r w:rsidRPr="002048F0">
        <w:rPr>
          <w:rFonts w:ascii="Times New Roman" w:hAnsi="Times New Roman" w:cs="Times New Roman"/>
          <w:sz w:val="20"/>
          <w:szCs w:val="20"/>
        </w:rPr>
        <w:t>Division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of Medical Oncology, Department of Medicine, Showa University School of Medicine, Tokyo, Japan</w:t>
      </w:r>
    </w:p>
    <w:p w14:paraId="2EE5E2A6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d</w:t>
      </w:r>
      <w:r w:rsidRPr="002048F0">
        <w:rPr>
          <w:rFonts w:ascii="Times New Roman" w:hAnsi="Times New Roman" w:cs="Times New Roman"/>
          <w:sz w:val="20"/>
          <w:szCs w:val="20"/>
        </w:rPr>
        <w:t>Pharmacological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Research Center, Showa University, Tokyo, Japan</w:t>
      </w:r>
    </w:p>
    <w:p w14:paraId="4434C5AF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e</w:t>
      </w:r>
      <w:r w:rsidRPr="002048F0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of Otorhinolaryngology-Head and Neck Surgery, Showa University School of Medicine, Tokyo, Japan</w:t>
      </w:r>
    </w:p>
    <w:p w14:paraId="37909A13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f</w:t>
      </w:r>
      <w:r w:rsidRPr="002048F0">
        <w:rPr>
          <w:rFonts w:ascii="Times New Roman" w:hAnsi="Times New Roman" w:cs="Times New Roman"/>
          <w:sz w:val="20"/>
          <w:szCs w:val="20"/>
        </w:rPr>
        <w:t>Division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of Clinical Pharmacology, Showa University Graduate School of Medicine, Tokyo, Japan</w:t>
      </w:r>
    </w:p>
    <w:p w14:paraId="41739A07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g</w:t>
      </w:r>
      <w:r w:rsidRPr="002048F0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of Otorhinolaryngology, Showa University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Fujigaoka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Hospital, Kanagawa, Japan</w:t>
      </w:r>
    </w:p>
    <w:p w14:paraId="0AE8D131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h</w:t>
      </w:r>
      <w:r w:rsidRPr="002048F0">
        <w:rPr>
          <w:rFonts w:ascii="Times New Roman" w:hAnsi="Times New Roman" w:cs="Times New Roman"/>
          <w:sz w:val="20"/>
          <w:szCs w:val="20"/>
        </w:rPr>
        <w:t>Division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of Pharmacology, Showa University Graduate School of Pharmacy, Tokyo, Japan</w:t>
      </w:r>
    </w:p>
    <w:p w14:paraId="20AE05B1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i</w:t>
      </w:r>
      <w:r w:rsidRPr="002048F0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of Gastroenterological Surgery, Tokai University School of Medicine, Kanagawa, Japan</w:t>
      </w:r>
    </w:p>
    <w:p w14:paraId="4F1D1651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j</w:t>
      </w:r>
      <w:r w:rsidRPr="002048F0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of Orthopedic Surgery, Showa University School of Medicine, Tokyo, Japan</w:t>
      </w:r>
    </w:p>
    <w:p w14:paraId="29EDF20D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k</w:t>
      </w:r>
      <w:r w:rsidRPr="002048F0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of Hospital Pharmaceutics, Showa University School of Pharmacy, Tokyo, Japan</w:t>
      </w:r>
    </w:p>
    <w:p w14:paraId="286BA149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l</w:t>
      </w:r>
      <w:r w:rsidRPr="002048F0">
        <w:rPr>
          <w:rFonts w:ascii="Times New Roman" w:hAnsi="Times New Roman" w:cs="Times New Roman"/>
          <w:sz w:val="20"/>
          <w:szCs w:val="20"/>
        </w:rPr>
        <w:t>Division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of Toxicology, Showa University Graduate School of Pharmacy, Tokyo, Japan</w:t>
      </w:r>
    </w:p>
    <w:p w14:paraId="441728B7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m</w:t>
      </w:r>
      <w:r w:rsidRPr="002048F0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of Hematology, Showa University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Fujigaoka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Hospital, Kanagawa, Japan</w:t>
      </w:r>
    </w:p>
    <w:p w14:paraId="4781BAFD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n</w:t>
      </w:r>
      <w:r w:rsidRPr="002048F0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of Medical Oncology, Showa University Graduate School of Medicine, Tokyo, Japan</w:t>
      </w:r>
    </w:p>
    <w:p w14:paraId="56EF52D3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proofErr w:type="spellStart"/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o</w:t>
      </w:r>
      <w:r w:rsidRPr="002048F0">
        <w:rPr>
          <w:rFonts w:ascii="Times New Roman" w:hAnsi="Times New Roman" w:cs="Times New Roman"/>
          <w:sz w:val="20"/>
          <w:szCs w:val="20"/>
        </w:rPr>
        <w:t>Department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 xml:space="preserve"> of Clinical Diagnostic Oncology, Clinical Research Institute for Clinical Pharmacology and Therapeutics, Showa University, Tokyo, Japan</w:t>
      </w:r>
    </w:p>
    <w:p w14:paraId="36495D77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</w:p>
    <w:p w14:paraId="37937EE4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b/>
          <w:bCs/>
          <w:sz w:val="20"/>
          <w:szCs w:val="20"/>
        </w:rPr>
      </w:pPr>
      <w:r w:rsidRPr="002048F0">
        <w:rPr>
          <w:rFonts w:ascii="Times New Roman" w:hAnsi="Times New Roman" w:cs="Times New Roman"/>
          <w:b/>
          <w:bCs/>
          <w:sz w:val="20"/>
          <w:szCs w:val="20"/>
        </w:rPr>
        <w:t>* Corresponding author:</w:t>
      </w:r>
    </w:p>
    <w:p w14:paraId="3077B072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bookmarkStart w:id="0" w:name="_Hlk174916548"/>
      <w:r w:rsidRPr="002048F0">
        <w:rPr>
          <w:rFonts w:ascii="Times New Roman" w:hAnsi="Times New Roman" w:cs="Times New Roman"/>
          <w:sz w:val="20"/>
          <w:szCs w:val="20"/>
        </w:rPr>
        <w:t>Kiyoshi Yoshimura, M.D., Ph.D., M.O.T.</w:t>
      </w:r>
    </w:p>
    <w:p w14:paraId="7AB8C10E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sz w:val="20"/>
          <w:szCs w:val="20"/>
        </w:rPr>
        <w:t xml:space="preserve">Department of Clinical Immuno-Oncology, Clinical Research Institute for Clinical Pharmacology and Therapeutics, Showa University, 6-11-11 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Kitakarasuyama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>, Setagaya-Ku, Tokyo 157-8577, Japan</w:t>
      </w:r>
    </w:p>
    <w:p w14:paraId="1CD32668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sz w:val="20"/>
          <w:szCs w:val="20"/>
        </w:rPr>
        <w:t xml:space="preserve">Tel: +81-3-3300-5256 </w:t>
      </w:r>
    </w:p>
    <w:p w14:paraId="6B75220B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sz w:val="20"/>
          <w:szCs w:val="20"/>
        </w:rPr>
        <w:t>Fax: +81-3-3300-1653</w:t>
      </w:r>
    </w:p>
    <w:p w14:paraId="07A7FE07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sz w:val="20"/>
          <w:szCs w:val="20"/>
        </w:rPr>
        <w:t xml:space="preserve">Email: </w:t>
      </w:r>
      <w:hyperlink r:id="rId7" w:history="1">
        <w:r w:rsidRPr="002048F0">
          <w:rPr>
            <w:rStyle w:val="ad"/>
            <w:rFonts w:ascii="Times New Roman" w:hAnsi="Times New Roman" w:cs="Times New Roman"/>
            <w:sz w:val="20"/>
            <w:szCs w:val="20"/>
          </w:rPr>
          <w:t>kyoshim1@med.showa-u.ac.jp</w:t>
        </w:r>
      </w:hyperlink>
    </w:p>
    <w:p w14:paraId="52C91A19" w14:textId="77777777" w:rsidR="00AB2172" w:rsidRPr="002048F0" w:rsidRDefault="00AB2172" w:rsidP="00AB2172">
      <w:pPr>
        <w:spacing w:after="0"/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sz w:val="20"/>
          <w:szCs w:val="20"/>
        </w:rPr>
        <w:t>ORCID ID: 0000-0003-4816-1826</w:t>
      </w:r>
      <w:bookmarkEnd w:id="0"/>
    </w:p>
    <w:p w14:paraId="49E9B0AF" w14:textId="77777777" w:rsidR="00AB2172" w:rsidRPr="002048F0" w:rsidRDefault="00AB2172" w:rsidP="0014630E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081C7B2" w14:textId="77777777" w:rsidR="00AB2172" w:rsidRDefault="00AB2172" w:rsidP="0014630E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33785186" w14:textId="77777777" w:rsidR="002048F0" w:rsidRPr="002048F0" w:rsidRDefault="002048F0" w:rsidP="0014630E">
      <w:pPr>
        <w:spacing w:line="240" w:lineRule="auto"/>
        <w:rPr>
          <w:rFonts w:ascii="Times New Roman" w:eastAsia="Times New Roman" w:hAnsi="Times New Roman" w:cs="Times New Roman" w:hint="eastAsia"/>
          <w:b/>
          <w:sz w:val="20"/>
          <w:szCs w:val="20"/>
        </w:rPr>
      </w:pPr>
    </w:p>
    <w:p w14:paraId="4EF312CC" w14:textId="20F19F87" w:rsidR="004F40D6" w:rsidRPr="002048F0" w:rsidRDefault="00000000" w:rsidP="0014630E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Supplementary information</w:t>
      </w:r>
    </w:p>
    <w:p w14:paraId="4DEBCA0D" w14:textId="5EC97D95" w:rsidR="00BA1978" w:rsidRPr="002048F0" w:rsidRDefault="0047054F" w:rsidP="0014630E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b/>
          <w:sz w:val="20"/>
          <w:szCs w:val="20"/>
        </w:rPr>
        <w:t>Supplementary f</w:t>
      </w:r>
      <w:r w:rsidR="00BA1978" w:rsidRPr="002048F0">
        <w:rPr>
          <w:rFonts w:ascii="Times New Roman" w:eastAsia="Times New Roman" w:hAnsi="Times New Roman" w:cs="Times New Roman"/>
          <w:b/>
          <w:sz w:val="20"/>
          <w:szCs w:val="20"/>
        </w:rPr>
        <w:t>igures</w:t>
      </w:r>
    </w:p>
    <w:p w14:paraId="600C6775" w14:textId="77777777" w:rsidR="00BA1978" w:rsidRPr="002048F0" w:rsidRDefault="00BA1978" w:rsidP="00D701D4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7D7B47B6" w14:textId="0638084B" w:rsidR="00207FED" w:rsidRPr="002048F0" w:rsidRDefault="00250483" w:rsidP="00D701D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noProof/>
          <w:sz w:val="20"/>
          <w:szCs w:val="20"/>
        </w:rPr>
        <w:drawing>
          <wp:inline distT="0" distB="0" distL="0" distR="0" wp14:anchorId="13A5CCBC" wp14:editId="2EA2D73A">
            <wp:extent cx="4772967" cy="5074854"/>
            <wp:effectExtent l="0" t="0" r="2540" b="5715"/>
            <wp:docPr id="1739883742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9883742" name="図 1739883742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81091" cy="508349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6BC9F4" w14:textId="5D987615" w:rsidR="00207FED" w:rsidRPr="002048F0" w:rsidRDefault="00000000" w:rsidP="00D701D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b/>
          <w:bCs/>
          <w:sz w:val="20"/>
          <w:szCs w:val="20"/>
        </w:rPr>
        <w:t>Fig. S1</w:t>
      </w:r>
      <w:r w:rsidR="0014630E" w:rsidRPr="002048F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048F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048F0">
        <w:rPr>
          <w:rFonts w:ascii="Times New Roman" w:hAnsi="Times New Roman" w:cs="Times New Roman"/>
          <w:sz w:val="20"/>
          <w:szCs w:val="20"/>
        </w:rPr>
        <w:t>Gating strategy for the analysis of T cell subset</w:t>
      </w:r>
      <w:r w:rsidR="00DF01DA" w:rsidRPr="002048F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048F0">
        <w:rPr>
          <w:rFonts w:ascii="Times New Roman" w:hAnsi="Times New Roman" w:cs="Times New Roman"/>
          <w:sz w:val="20"/>
          <w:szCs w:val="20"/>
        </w:rPr>
        <w:t xml:space="preserve"> Memory T cell subsets were gated as follows: n</w:t>
      </w:r>
      <w:r w:rsidRPr="002048F0">
        <w:rPr>
          <w:rFonts w:ascii="Times New Roman" w:eastAsia="ＭＳ Ｐゴシック" w:hAnsi="Times New Roman" w:cs="Times New Roman"/>
          <w:color w:val="000000"/>
          <w:kern w:val="24"/>
          <w:sz w:val="20"/>
          <w:szCs w:val="20"/>
        </w:rPr>
        <w:t>aïve memory T cell</w:t>
      </w:r>
      <w:r w:rsidRPr="002048F0">
        <w:rPr>
          <w:rFonts w:ascii="Times New Roman" w:eastAsia="ＭＳ 明朝" w:hAnsi="Times New Roman" w:cs="Times New Roman"/>
          <w:sz w:val="20"/>
          <w:szCs w:val="20"/>
        </w:rPr>
        <w:t>s</w:t>
      </w:r>
      <w:r w:rsidRPr="002048F0">
        <w:rPr>
          <w:rFonts w:ascii="Times New Roman" w:hAnsi="Times New Roman" w:cs="Times New Roman"/>
          <w:sz w:val="20"/>
          <w:szCs w:val="20"/>
        </w:rPr>
        <w:t xml:space="preserve"> (T</w:t>
      </w:r>
      <w:r w:rsidRPr="002048F0">
        <w:rPr>
          <w:rFonts w:ascii="Times New Roman" w:hAnsi="Times New Roman" w:cs="Times New Roman"/>
          <w:sz w:val="20"/>
          <w:szCs w:val="20"/>
          <w:vertAlign w:val="subscript"/>
        </w:rPr>
        <w:t>N</w:t>
      </w:r>
      <w:r w:rsidRPr="002048F0">
        <w:rPr>
          <w:rFonts w:ascii="Times New Roman" w:hAnsi="Times New Roman" w:cs="Times New Roman"/>
          <w:sz w:val="20"/>
          <w:szCs w:val="20"/>
        </w:rPr>
        <w:t>), CCR7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Pr="002048F0">
        <w:rPr>
          <w:rFonts w:ascii="Times New Roman" w:hAnsi="Times New Roman" w:cs="Times New Roman"/>
          <w:sz w:val="20"/>
          <w:szCs w:val="20"/>
        </w:rPr>
        <w:t>CD45RA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Pr="002048F0">
        <w:rPr>
          <w:rFonts w:ascii="Times New Roman" w:hAnsi="Times New Roman" w:cs="Times New Roman"/>
          <w:sz w:val="20"/>
          <w:szCs w:val="20"/>
        </w:rPr>
        <w:t xml:space="preserve">; </w:t>
      </w:r>
      <w:r w:rsidRPr="002048F0">
        <w:rPr>
          <w:rFonts w:ascii="Times New Roman" w:eastAsia="ＭＳ Ｐゴシック" w:hAnsi="Times New Roman" w:cs="Times New Roman"/>
          <w:color w:val="000000"/>
          <w:kern w:val="24"/>
          <w:sz w:val="20"/>
          <w:szCs w:val="20"/>
        </w:rPr>
        <w:t>central memory T cell</w:t>
      </w:r>
      <w:r w:rsidRPr="002048F0">
        <w:rPr>
          <w:rFonts w:ascii="Times New Roman" w:eastAsia="ＭＳ 明朝" w:hAnsi="Times New Roman" w:cs="Times New Roman"/>
          <w:sz w:val="20"/>
          <w:szCs w:val="20"/>
        </w:rPr>
        <w:t>s</w:t>
      </w:r>
      <w:r w:rsidRPr="002048F0">
        <w:rPr>
          <w:rFonts w:ascii="Times New Roman" w:hAnsi="Times New Roman" w:cs="Times New Roman"/>
          <w:sz w:val="20"/>
          <w:szCs w:val="20"/>
        </w:rPr>
        <w:t xml:space="preserve"> (T</w:t>
      </w:r>
      <w:r w:rsidRPr="002048F0">
        <w:rPr>
          <w:rFonts w:ascii="Times New Roman" w:hAnsi="Times New Roman" w:cs="Times New Roman"/>
          <w:sz w:val="20"/>
          <w:szCs w:val="20"/>
          <w:vertAlign w:val="subscript"/>
        </w:rPr>
        <w:t>CM</w:t>
      </w:r>
      <w:r w:rsidRPr="002048F0">
        <w:rPr>
          <w:rFonts w:ascii="Times New Roman" w:hAnsi="Times New Roman" w:cs="Times New Roman"/>
          <w:sz w:val="20"/>
          <w:szCs w:val="20"/>
        </w:rPr>
        <w:t>), CCR7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Pr="002048F0">
        <w:rPr>
          <w:rFonts w:ascii="Times New Roman" w:hAnsi="Times New Roman" w:cs="Times New Roman"/>
          <w:sz w:val="20"/>
          <w:szCs w:val="20"/>
        </w:rPr>
        <w:t>CD45RA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 w:rsidRPr="002048F0">
        <w:rPr>
          <w:rFonts w:ascii="Times New Roman" w:hAnsi="Times New Roman" w:cs="Times New Roman"/>
          <w:sz w:val="20"/>
          <w:szCs w:val="20"/>
        </w:rPr>
        <w:t xml:space="preserve">; </w:t>
      </w:r>
      <w:r w:rsidRPr="002048F0">
        <w:rPr>
          <w:rFonts w:ascii="Times New Roman" w:eastAsia="ＭＳ Ｐゴシック" w:hAnsi="Times New Roman" w:cs="Times New Roman"/>
          <w:color w:val="000000"/>
          <w:kern w:val="24"/>
          <w:sz w:val="20"/>
          <w:szCs w:val="20"/>
        </w:rPr>
        <w:t>effector memory T cells (</w:t>
      </w:r>
      <w:r w:rsidRPr="002048F0">
        <w:rPr>
          <w:rFonts w:ascii="Times New Roman" w:hAnsi="Times New Roman" w:cs="Times New Roman"/>
          <w:sz w:val="20"/>
          <w:szCs w:val="20"/>
        </w:rPr>
        <w:t>T</w:t>
      </w:r>
      <w:r w:rsidRPr="002048F0">
        <w:rPr>
          <w:rFonts w:ascii="Times New Roman" w:hAnsi="Times New Roman" w:cs="Times New Roman"/>
          <w:sz w:val="20"/>
          <w:szCs w:val="20"/>
          <w:vertAlign w:val="subscript"/>
        </w:rPr>
        <w:t>EM</w:t>
      </w:r>
      <w:r w:rsidRPr="002048F0">
        <w:rPr>
          <w:rFonts w:ascii="Times New Roman" w:hAnsi="Times New Roman" w:cs="Times New Roman"/>
          <w:sz w:val="20"/>
          <w:szCs w:val="20"/>
        </w:rPr>
        <w:t>), CCR7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 w:rsidRPr="002048F0">
        <w:rPr>
          <w:rFonts w:ascii="Times New Roman" w:hAnsi="Times New Roman" w:cs="Times New Roman"/>
          <w:sz w:val="20"/>
          <w:szCs w:val="20"/>
        </w:rPr>
        <w:t>CD45RA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 w:rsidRPr="002048F0">
        <w:rPr>
          <w:rFonts w:ascii="Times New Roman" w:hAnsi="Times New Roman" w:cs="Times New Roman"/>
          <w:sz w:val="20"/>
          <w:szCs w:val="20"/>
        </w:rPr>
        <w:t xml:space="preserve">; </w:t>
      </w:r>
      <w:r w:rsidRPr="002048F0">
        <w:rPr>
          <w:rFonts w:ascii="Times New Roman" w:eastAsia="ＭＳ 明朝" w:hAnsi="Times New Roman" w:cs="Times New Roman"/>
          <w:sz w:val="20"/>
          <w:szCs w:val="20"/>
        </w:rPr>
        <w:t>and terminally differentiated effector memory T cells re-expressing CD45RA</w:t>
      </w:r>
      <w:r w:rsidRPr="002048F0">
        <w:rPr>
          <w:rFonts w:ascii="Times New Roman" w:hAnsi="Times New Roman" w:cs="Times New Roman"/>
          <w:sz w:val="20"/>
          <w:szCs w:val="20"/>
        </w:rPr>
        <w:t xml:space="preserve"> (T</w:t>
      </w:r>
      <w:r w:rsidRPr="002048F0">
        <w:rPr>
          <w:rFonts w:ascii="Times New Roman" w:hAnsi="Times New Roman" w:cs="Times New Roman"/>
          <w:sz w:val="20"/>
          <w:szCs w:val="20"/>
          <w:vertAlign w:val="subscript"/>
        </w:rPr>
        <w:t>EMRA</w:t>
      </w:r>
      <w:r w:rsidRPr="002048F0">
        <w:rPr>
          <w:rFonts w:ascii="Times New Roman" w:hAnsi="Times New Roman" w:cs="Times New Roman"/>
          <w:sz w:val="20"/>
          <w:szCs w:val="20"/>
        </w:rPr>
        <w:t>), (CCR7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 w:rsidRPr="002048F0">
        <w:rPr>
          <w:rFonts w:ascii="Times New Roman" w:hAnsi="Times New Roman" w:cs="Times New Roman"/>
          <w:sz w:val="20"/>
          <w:szCs w:val="20"/>
        </w:rPr>
        <w:t>CD45RA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Pr="002048F0">
        <w:rPr>
          <w:rFonts w:ascii="Times New Roman" w:hAnsi="Times New Roman" w:cs="Times New Roman"/>
          <w:sz w:val="20"/>
          <w:szCs w:val="20"/>
        </w:rPr>
        <w:t>). Effector regulatory T cell</w:t>
      </w:r>
      <w:r w:rsidRPr="002048F0">
        <w:rPr>
          <w:rFonts w:ascii="Times New Roman" w:eastAsia="ＭＳ 明朝" w:hAnsi="Times New Roman" w:cs="Times New Roman"/>
          <w:sz w:val="20"/>
          <w:szCs w:val="20"/>
        </w:rPr>
        <w:t>s</w:t>
      </w:r>
      <w:r w:rsidRPr="002048F0">
        <w:rPr>
          <w:rFonts w:ascii="Times New Roman" w:hAnsi="Times New Roman" w:cs="Times New Roman"/>
          <w:sz w:val="20"/>
          <w:szCs w:val="20"/>
        </w:rPr>
        <w:t xml:space="preserve"> (</w:t>
      </w:r>
      <w:proofErr w:type="spellStart"/>
      <w:r w:rsidRPr="002048F0">
        <w:rPr>
          <w:rFonts w:ascii="Times New Roman" w:hAnsi="Times New Roman" w:cs="Times New Roman"/>
          <w:sz w:val="20"/>
          <w:szCs w:val="20"/>
        </w:rPr>
        <w:t>eTreg</w:t>
      </w:r>
      <w:r w:rsidRPr="002048F0">
        <w:rPr>
          <w:rFonts w:ascii="Times New Roman" w:eastAsia="ＭＳ 明朝" w:hAnsi="Times New Roman" w:cs="Times New Roman"/>
          <w:sz w:val="20"/>
          <w:szCs w:val="20"/>
        </w:rPr>
        <w:t>s</w:t>
      </w:r>
      <w:proofErr w:type="spellEnd"/>
      <w:r w:rsidRPr="002048F0">
        <w:rPr>
          <w:rFonts w:ascii="Times New Roman" w:hAnsi="Times New Roman" w:cs="Times New Roman"/>
          <w:sz w:val="20"/>
          <w:szCs w:val="20"/>
        </w:rPr>
        <w:t>) were gated against CD4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Pr="002048F0">
        <w:rPr>
          <w:rFonts w:ascii="Times New Roman" w:hAnsi="Times New Roman" w:cs="Times New Roman"/>
          <w:sz w:val="20"/>
          <w:szCs w:val="20"/>
        </w:rPr>
        <w:t>CD45RA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–</w:t>
      </w:r>
      <w:r w:rsidRPr="002048F0">
        <w:rPr>
          <w:rFonts w:ascii="Times New Roman" w:hAnsi="Times New Roman" w:cs="Times New Roman"/>
          <w:sz w:val="20"/>
          <w:szCs w:val="20"/>
        </w:rPr>
        <w:t>Foxp3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hi</w:t>
      </w:r>
      <w:r w:rsidR="00DF01DA" w:rsidRPr="002048F0">
        <w:rPr>
          <w:rFonts w:ascii="Times New Roman" w:hAnsi="Times New Roman" w:cs="Times New Roman"/>
          <w:sz w:val="20"/>
          <w:szCs w:val="20"/>
        </w:rPr>
        <w:t>.</w:t>
      </w:r>
    </w:p>
    <w:p w14:paraId="5294D5D5" w14:textId="5496C1FE" w:rsidR="00207FED" w:rsidRPr="002048F0" w:rsidRDefault="006E45FC" w:rsidP="00D701D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5A85664B" wp14:editId="554B19E9">
            <wp:extent cx="5938113" cy="1898073"/>
            <wp:effectExtent l="0" t="0" r="5715" b="0"/>
            <wp:docPr id="1349936094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49936094" name="図 1349936094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5677" cy="190368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48F0">
        <w:rPr>
          <w:rFonts w:ascii="Times New Roman" w:hAnsi="Times New Roman" w:cs="Times New Roman"/>
          <w:b/>
          <w:bCs/>
          <w:sz w:val="20"/>
          <w:szCs w:val="20"/>
        </w:rPr>
        <w:t>Fig. S2</w:t>
      </w:r>
      <w:r w:rsidR="0014630E" w:rsidRPr="002048F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048F0">
        <w:rPr>
          <w:rFonts w:ascii="Times New Roman" w:hAnsi="Times New Roman" w:cs="Times New Roman"/>
          <w:sz w:val="20"/>
          <w:szCs w:val="20"/>
        </w:rPr>
        <w:t xml:space="preserve"> Detection of </w:t>
      </w:r>
      <w:r w:rsidR="00CA714E" w:rsidRPr="002048F0">
        <w:rPr>
          <w:rFonts w:ascii="Times New Roman" w:hAnsi="Times New Roman" w:cs="Times New Roman"/>
          <w:sz w:val="20"/>
          <w:szCs w:val="20"/>
        </w:rPr>
        <w:t>p</w:t>
      </w:r>
      <w:r w:rsidRPr="002048F0">
        <w:rPr>
          <w:rFonts w:ascii="Times New Roman" w:hAnsi="Times New Roman" w:cs="Times New Roman"/>
          <w:sz w:val="20"/>
          <w:szCs w:val="20"/>
        </w:rPr>
        <w:t>embrolizumab-bound (PB) cells and gating of Ki-67 and Tim-3 of T cells</w:t>
      </w:r>
      <w:r w:rsidR="00DF01DA" w:rsidRPr="002048F0">
        <w:rPr>
          <w:rFonts w:ascii="Times New Roman" w:hAnsi="Times New Roman" w:cs="Times New Roman"/>
          <w:sz w:val="20"/>
          <w:szCs w:val="20"/>
        </w:rPr>
        <w:t>.</w:t>
      </w:r>
      <w:r w:rsidRPr="002048F0">
        <w:rPr>
          <w:rFonts w:ascii="Times New Roman" w:hAnsi="Times New Roman" w:cs="Times New Roman"/>
          <w:sz w:val="20"/>
          <w:szCs w:val="20"/>
        </w:rPr>
        <w:t xml:space="preserve"> IgG4-positive cells were gated as </w:t>
      </w:r>
      <w:r w:rsidR="0047054F" w:rsidRPr="002048F0">
        <w:rPr>
          <w:rFonts w:ascii="Times New Roman" w:hAnsi="Times New Roman" w:cs="Times New Roman"/>
          <w:sz w:val="20"/>
          <w:szCs w:val="20"/>
        </w:rPr>
        <w:t>a </w:t>
      </w:r>
      <w:r w:rsidRPr="002048F0">
        <w:rPr>
          <w:rFonts w:ascii="Times New Roman" w:hAnsi="Times New Roman" w:cs="Times New Roman"/>
          <w:sz w:val="20"/>
          <w:szCs w:val="20"/>
        </w:rPr>
        <w:t>pembrolizumab-bound (PB) population</w:t>
      </w:r>
      <w:r w:rsidRPr="002048F0">
        <w:rPr>
          <w:rFonts w:ascii="Times New Roman" w:eastAsia="ＭＳ 明朝" w:hAnsi="Times New Roman" w:cs="Times New Roman"/>
          <w:sz w:val="20"/>
          <w:szCs w:val="20"/>
        </w:rPr>
        <w:t>.</w:t>
      </w:r>
      <w:r w:rsidRPr="002048F0">
        <w:rPr>
          <w:rFonts w:ascii="Times New Roman" w:hAnsi="Times New Roman" w:cs="Times New Roman"/>
          <w:sz w:val="20"/>
          <w:szCs w:val="20"/>
        </w:rPr>
        <w:t xml:space="preserve"> Cells positive for Ki-67 and TIM-3 were gated as described, respectively</w:t>
      </w:r>
      <w:r w:rsidR="00033731" w:rsidRPr="002048F0">
        <w:rPr>
          <w:rFonts w:ascii="Times New Roman" w:hAnsi="Times New Roman" w:cs="Times New Roman"/>
          <w:sz w:val="20"/>
          <w:szCs w:val="20"/>
        </w:rPr>
        <w:t>.</w:t>
      </w:r>
    </w:p>
    <w:p w14:paraId="32DC3F3F" w14:textId="76AFACF4" w:rsidR="00BA1978" w:rsidRPr="002048F0" w:rsidRDefault="00BA1978">
      <w:pPr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sz w:val="20"/>
          <w:szCs w:val="20"/>
        </w:rPr>
        <w:br w:type="page"/>
      </w:r>
    </w:p>
    <w:p w14:paraId="3DBD41EC" w14:textId="77777777" w:rsidR="00082433" w:rsidRPr="002048F0" w:rsidRDefault="00082433" w:rsidP="00D701D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14311BA9" wp14:editId="42FAC043">
            <wp:extent cx="4953000" cy="3225800"/>
            <wp:effectExtent l="0" t="0" r="0" b="0"/>
            <wp:docPr id="1179133699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79133699" name="図 1179133699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53000" cy="3225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74667" w14:textId="07662295" w:rsidR="00207FED" w:rsidRPr="002048F0" w:rsidRDefault="00000000" w:rsidP="00D701D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b/>
          <w:sz w:val="20"/>
          <w:szCs w:val="20"/>
        </w:rPr>
        <w:t>Fig. S3</w:t>
      </w:r>
      <w:r w:rsidR="0014630E" w:rsidRPr="002048F0">
        <w:rPr>
          <w:rFonts w:ascii="Times New Roman" w:hAnsi="Times New Roman" w:cs="Times New Roman"/>
          <w:b/>
          <w:sz w:val="20"/>
          <w:szCs w:val="20"/>
        </w:rPr>
        <w:t>.</w:t>
      </w:r>
      <w:r w:rsidRPr="002048F0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2048F0">
        <w:rPr>
          <w:rFonts w:ascii="Times New Roman" w:hAnsi="Times New Roman" w:cs="Times New Roman"/>
          <w:bCs/>
          <w:sz w:val="20"/>
          <w:szCs w:val="20"/>
        </w:rPr>
        <w:t xml:space="preserve">Flow diagram of </w:t>
      </w:r>
      <w:r w:rsidR="0014630E" w:rsidRPr="002048F0">
        <w:rPr>
          <w:rFonts w:ascii="Times New Roman" w:hAnsi="Times New Roman" w:cs="Times New Roman"/>
          <w:bCs/>
          <w:sz w:val="20"/>
          <w:szCs w:val="20"/>
        </w:rPr>
        <w:t xml:space="preserve">patient </w:t>
      </w:r>
      <w:r w:rsidRPr="002048F0">
        <w:rPr>
          <w:rFonts w:ascii="Times New Roman" w:hAnsi="Times New Roman" w:cs="Times New Roman"/>
          <w:bCs/>
          <w:sz w:val="20"/>
          <w:szCs w:val="20"/>
        </w:rPr>
        <w:t>enrollment</w:t>
      </w:r>
      <w:r w:rsidR="00DF01DA" w:rsidRPr="002048F0">
        <w:rPr>
          <w:rFonts w:ascii="Times New Roman" w:hAnsi="Times New Roman" w:cs="Times New Roman"/>
          <w:b/>
          <w:sz w:val="20"/>
          <w:szCs w:val="20"/>
        </w:rPr>
        <w:t>.</w:t>
      </w:r>
      <w:r w:rsidRPr="002048F0">
        <w:rPr>
          <w:rFonts w:ascii="Times New Roman" w:hAnsi="Times New Roman" w:cs="Times New Roman"/>
          <w:sz w:val="20"/>
          <w:szCs w:val="20"/>
        </w:rPr>
        <w:t xml:space="preserve"> NSCLC, non-small cell lung cancer; ESCC, esophageal squamous cell carcinoma</w:t>
      </w:r>
      <w:r w:rsidR="00DF01DA" w:rsidRPr="002048F0">
        <w:rPr>
          <w:rFonts w:ascii="Times New Roman" w:hAnsi="Times New Roman" w:cs="Times New Roman"/>
          <w:sz w:val="20"/>
          <w:szCs w:val="20"/>
        </w:rPr>
        <w:t>.</w:t>
      </w:r>
    </w:p>
    <w:p w14:paraId="4224BA41" w14:textId="2049EB03" w:rsidR="00BA1978" w:rsidRPr="002048F0" w:rsidRDefault="00BA1978">
      <w:pPr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sz w:val="20"/>
          <w:szCs w:val="20"/>
        </w:rPr>
        <w:br w:type="page"/>
      </w:r>
    </w:p>
    <w:p w14:paraId="71A54E33" w14:textId="77777777" w:rsidR="00A01134" w:rsidRPr="002048F0" w:rsidRDefault="00A01134" w:rsidP="00D701D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noProof/>
          <w:sz w:val="20"/>
          <w:szCs w:val="20"/>
        </w:rPr>
        <w:lastRenderedPageBreak/>
        <w:drawing>
          <wp:inline distT="0" distB="0" distL="0" distR="0" wp14:anchorId="3D889CD8" wp14:editId="1C0D293D">
            <wp:extent cx="3623388" cy="3492708"/>
            <wp:effectExtent l="0" t="0" r="0" b="0"/>
            <wp:docPr id="205830993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830993" name="図 20583099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28562" cy="349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793E822" w14:textId="09DAEFC6" w:rsidR="00207FED" w:rsidRPr="002048F0" w:rsidRDefault="00000000" w:rsidP="00D701D4">
      <w:pPr>
        <w:spacing w:line="240" w:lineRule="auto"/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b/>
          <w:bCs/>
          <w:sz w:val="20"/>
          <w:szCs w:val="20"/>
        </w:rPr>
        <w:t>Fig. S4</w:t>
      </w:r>
      <w:r w:rsidR="0014630E" w:rsidRPr="002048F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048F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="006C4CBF" w:rsidRPr="002048F0">
        <w:rPr>
          <w:rFonts w:ascii="Times New Roman" w:hAnsi="Times New Roman" w:cs="Times New Roman"/>
          <w:sz w:val="20"/>
          <w:szCs w:val="20"/>
        </w:rPr>
        <w:t>R</w:t>
      </w:r>
      <w:r w:rsidRPr="002048F0">
        <w:rPr>
          <w:rFonts w:ascii="Times New Roman" w:hAnsi="Times New Roman" w:cs="Times New Roman"/>
          <w:sz w:val="20"/>
          <w:szCs w:val="20"/>
        </w:rPr>
        <w:t xml:space="preserve">eceiver operating characteristic (ROC) curve of 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</w:rPr>
        <w:t>Ki-67 for PB-CD8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+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</w:rPr>
        <w:t>CD45RA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-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 cells (T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CM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T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EM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</w:rPr>
        <w:t>) with disease control as the outcome</w:t>
      </w:r>
      <w:r w:rsidR="00DF01DA" w:rsidRPr="002048F0">
        <w:rPr>
          <w:rFonts w:ascii="Times New Roman" w:hAnsi="Times New Roman" w:cs="Times New Roman"/>
          <w:color w:val="000000" w:themeColor="text1"/>
          <w:sz w:val="20"/>
          <w:szCs w:val="20"/>
        </w:rPr>
        <w:t>.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 cutoff value of Ki-67 for PB-CD8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+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</w:rPr>
        <w:t>CD45RA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-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 cells (T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CM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and T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  <w:vertAlign w:val="subscript"/>
        </w:rPr>
        <w:t>EM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</w:rPr>
        <w:t>) was estimated as 8.49 % with</w:t>
      </w:r>
      <w:r w:rsidR="0014630E" w:rsidRPr="002048F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the</w:t>
      </w:r>
      <w:r w:rsidRPr="002048F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Youden index. The area under the curve (AUC) was 0.904. The specificity and sensitivity were 100% and 84.6%, </w:t>
      </w:r>
      <w:r w:rsidR="00772CB8" w:rsidRPr="002048F0">
        <w:rPr>
          <w:rFonts w:ascii="Times New Roman" w:hAnsi="Times New Roman" w:cs="Times New Roman"/>
          <w:color w:val="000000" w:themeColor="text1"/>
          <w:sz w:val="20"/>
          <w:szCs w:val="20"/>
        </w:rPr>
        <w:t>respectively.</w:t>
      </w:r>
    </w:p>
    <w:p w14:paraId="503D0BA9" w14:textId="1DD8C15A" w:rsidR="00BA1978" w:rsidRPr="002048F0" w:rsidRDefault="00BA1978">
      <w:pPr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sz w:val="20"/>
          <w:szCs w:val="20"/>
        </w:rPr>
        <w:br w:type="page"/>
      </w:r>
    </w:p>
    <w:p w14:paraId="2B616174" w14:textId="3B9D5A19" w:rsidR="00207FED" w:rsidRPr="002048F0" w:rsidRDefault="00BB7E50" w:rsidP="00D701D4">
      <w:pPr>
        <w:spacing w:line="24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2048F0">
        <w:rPr>
          <w:rFonts w:ascii="Times New Roman" w:hAnsi="Times New Roman" w:cs="Times New Roman"/>
          <w:b/>
          <w:bCs/>
          <w:noProof/>
          <w:sz w:val="20"/>
          <w:szCs w:val="20"/>
        </w:rPr>
        <w:lastRenderedPageBreak/>
        <w:drawing>
          <wp:inline distT="0" distB="0" distL="0" distR="0" wp14:anchorId="5CED28E4" wp14:editId="6B18AE51">
            <wp:extent cx="6077092" cy="2140528"/>
            <wp:effectExtent l="0" t="0" r="0" b="6350"/>
            <wp:docPr id="1475952541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75952541" name="図 1475952541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081332" cy="21420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048F0">
        <w:rPr>
          <w:rFonts w:ascii="Times New Roman" w:hAnsi="Times New Roman" w:cs="Times New Roman"/>
          <w:b/>
          <w:bCs/>
          <w:sz w:val="20"/>
          <w:szCs w:val="20"/>
        </w:rPr>
        <w:t>Fig. S5</w:t>
      </w:r>
      <w:r w:rsidR="0014630E" w:rsidRPr="002048F0">
        <w:rPr>
          <w:rFonts w:ascii="Times New Roman" w:hAnsi="Times New Roman" w:cs="Times New Roman"/>
          <w:b/>
          <w:bCs/>
          <w:sz w:val="20"/>
          <w:szCs w:val="20"/>
        </w:rPr>
        <w:t>.</w:t>
      </w:r>
      <w:r w:rsidRPr="002048F0">
        <w:rPr>
          <w:rFonts w:ascii="Times New Roman" w:hAnsi="Times New Roman" w:cs="Times New Roman"/>
          <w:b/>
          <w:bCs/>
          <w:sz w:val="20"/>
          <w:szCs w:val="20"/>
        </w:rPr>
        <w:t xml:space="preserve"> </w:t>
      </w:r>
      <w:r w:rsidRPr="002048F0">
        <w:rPr>
          <w:rFonts w:ascii="Times New Roman" w:hAnsi="Times New Roman" w:cs="Times New Roman"/>
          <w:sz w:val="20"/>
          <w:szCs w:val="20"/>
        </w:rPr>
        <w:t>Detection of apoptosis with Annexin V and 7-ADD</w:t>
      </w:r>
      <w:r w:rsidR="00DF01DA" w:rsidRPr="002048F0">
        <w:rPr>
          <w:rFonts w:ascii="Times New Roman" w:hAnsi="Times New Roman" w:cs="Times New Roman"/>
          <w:sz w:val="20"/>
          <w:szCs w:val="20"/>
        </w:rPr>
        <w:t>.</w:t>
      </w:r>
      <w:r w:rsidRPr="002048F0">
        <w:rPr>
          <w:rFonts w:ascii="Times New Roman" w:hAnsi="Times New Roman" w:cs="Times New Roman"/>
          <w:sz w:val="20"/>
          <w:szCs w:val="20"/>
        </w:rPr>
        <w:t xml:space="preserve"> Annexin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-</w:t>
      </w:r>
      <w:r w:rsidRPr="002048F0">
        <w:rPr>
          <w:rFonts w:ascii="Times New Roman" w:hAnsi="Times New Roman" w:cs="Times New Roman"/>
          <w:sz w:val="20"/>
          <w:szCs w:val="20"/>
        </w:rPr>
        <w:t>7-ADD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-</w:t>
      </w:r>
      <w:r w:rsidRPr="002048F0">
        <w:rPr>
          <w:rFonts w:ascii="Times New Roman" w:hAnsi="Times New Roman" w:cs="Times New Roman"/>
          <w:sz w:val="20"/>
          <w:szCs w:val="20"/>
        </w:rPr>
        <w:t xml:space="preserve"> cells were gated as live cells and Annexin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+</w:t>
      </w:r>
      <w:r w:rsidRPr="002048F0">
        <w:rPr>
          <w:rFonts w:ascii="Times New Roman" w:hAnsi="Times New Roman" w:cs="Times New Roman"/>
          <w:sz w:val="20"/>
          <w:szCs w:val="20"/>
        </w:rPr>
        <w:t>7-ADD</w:t>
      </w:r>
      <w:r w:rsidRPr="002048F0">
        <w:rPr>
          <w:rFonts w:ascii="Times New Roman" w:hAnsi="Times New Roman" w:cs="Times New Roman"/>
          <w:sz w:val="20"/>
          <w:szCs w:val="20"/>
          <w:vertAlign w:val="superscript"/>
        </w:rPr>
        <w:t>-</w:t>
      </w:r>
      <w:r w:rsidRPr="002048F0">
        <w:rPr>
          <w:rFonts w:ascii="Times New Roman" w:hAnsi="Times New Roman" w:cs="Times New Roman"/>
          <w:sz w:val="20"/>
          <w:szCs w:val="20"/>
        </w:rPr>
        <w:t xml:space="preserve"> cells as early apoptotic cells; 7-ADD, 7-amino-actinomycin D. Live cells and early apoptotic cells were gated according to Ki-67</w:t>
      </w:r>
      <w:r w:rsidR="00BF230D" w:rsidRPr="002048F0">
        <w:rPr>
          <w:rFonts w:ascii="Times New Roman" w:hAnsi="Times New Roman" w:cs="Times New Roman"/>
          <w:sz w:val="20"/>
          <w:szCs w:val="20"/>
        </w:rPr>
        <w:t>.</w:t>
      </w:r>
    </w:p>
    <w:p w14:paraId="51E46FEA" w14:textId="77777777" w:rsidR="00207FED" w:rsidRPr="002048F0" w:rsidRDefault="00207FED" w:rsidP="00D701D4">
      <w:pPr>
        <w:spacing w:line="240" w:lineRule="auto"/>
        <w:rPr>
          <w:rFonts w:ascii="Times New Roman" w:hAnsi="Times New Roman" w:cs="Times New Roman"/>
          <w:sz w:val="20"/>
          <w:szCs w:val="20"/>
        </w:rPr>
      </w:pPr>
    </w:p>
    <w:p w14:paraId="43A63681" w14:textId="78E9F0A7" w:rsidR="0014630E" w:rsidRPr="002048F0" w:rsidRDefault="0014630E">
      <w:pPr>
        <w:rPr>
          <w:rFonts w:ascii="Times New Roman" w:hAnsi="Times New Roman" w:cs="Times New Roman"/>
          <w:sz w:val="20"/>
          <w:szCs w:val="20"/>
        </w:rPr>
      </w:pPr>
      <w:r w:rsidRPr="002048F0">
        <w:rPr>
          <w:rFonts w:ascii="Times New Roman" w:hAnsi="Times New Roman" w:cs="Times New Roman"/>
          <w:sz w:val="20"/>
          <w:szCs w:val="20"/>
        </w:rPr>
        <w:br w:type="page"/>
      </w:r>
    </w:p>
    <w:p w14:paraId="1AE17AA9" w14:textId="588B0F9C" w:rsidR="00CA714E" w:rsidRPr="002048F0" w:rsidRDefault="0047054F" w:rsidP="00D701D4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Supplementary t</w:t>
      </w:r>
      <w:r w:rsidR="0014630E" w:rsidRPr="002048F0">
        <w:rPr>
          <w:rFonts w:ascii="Times New Roman" w:eastAsia="Times New Roman" w:hAnsi="Times New Roman" w:cs="Times New Roman"/>
          <w:b/>
          <w:sz w:val="20"/>
          <w:szCs w:val="20"/>
        </w:rPr>
        <w:t>ables</w:t>
      </w:r>
    </w:p>
    <w:p w14:paraId="5E250229" w14:textId="0F0BF5E9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b/>
          <w:sz w:val="20"/>
          <w:szCs w:val="20"/>
        </w:rPr>
        <w:t>Table S1</w:t>
      </w:r>
      <w:r w:rsidR="00677CE4" w:rsidRPr="002048F0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Pr="002048F0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="006C4CBF" w:rsidRPr="002048F0">
        <w:rPr>
          <w:rFonts w:ascii="Times New Roman" w:eastAsia="Times New Roman" w:hAnsi="Times New Roman" w:cs="Times New Roman"/>
          <w:b/>
          <w:sz w:val="20"/>
          <w:szCs w:val="20"/>
        </w:rPr>
        <w:t>R</w:t>
      </w:r>
      <w:r w:rsidRPr="002048F0">
        <w:rPr>
          <w:rFonts w:ascii="Times New Roman" w:eastAsia="Times New Roman" w:hAnsi="Times New Roman" w:cs="Times New Roman"/>
          <w:b/>
          <w:sz w:val="20"/>
          <w:szCs w:val="20"/>
        </w:rPr>
        <w:t>atio of each T cell subset and each PD-1 receptor occupancy</w:t>
      </w:r>
      <w:r w:rsidR="0014630E" w:rsidRPr="002048F0">
        <w:rPr>
          <w:rFonts w:ascii="Times New Roman" w:eastAsia="Times New Roman" w:hAnsi="Times New Roman" w:cs="Times New Roman"/>
          <w:b/>
          <w:sz w:val="20"/>
          <w:szCs w:val="20"/>
        </w:rPr>
        <w:t>.</w:t>
      </w:r>
    </w:p>
    <w:p w14:paraId="4CD0C7DE" w14:textId="41410CF1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sz w:val="20"/>
          <w:szCs w:val="20"/>
        </w:rPr>
        <w:t>(a) The ratio of each T cell subset</w:t>
      </w:r>
      <w:r w:rsidR="0014630E" w:rsidRPr="002048F0">
        <w:rPr>
          <w:rFonts w:ascii="Times New Roman" w:eastAsia="Times New Roman" w:hAnsi="Times New Roman" w:cs="Times New Roman"/>
          <w:sz w:val="20"/>
          <w:szCs w:val="20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4111"/>
        <w:gridCol w:w="4727"/>
      </w:tblGrid>
      <w:tr w:rsidR="009E056F" w:rsidRPr="002048F0" w14:paraId="2178C02F" w14:textId="77777777" w:rsidTr="002B040E">
        <w:trPr>
          <w:trHeight w:val="379"/>
        </w:trPr>
        <w:tc>
          <w:tcPr>
            <w:tcW w:w="4111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00907BD9" w14:textId="77777777" w:rsidR="004F40D6" w:rsidRPr="002048F0" w:rsidRDefault="004F40D6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727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BF003C" w14:textId="7E5F012E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Frequency (%), mean (range)</w:t>
            </w:r>
          </w:p>
        </w:tc>
      </w:tr>
      <w:tr w:rsidR="009E056F" w:rsidRPr="002048F0" w14:paraId="3D0BBA51" w14:textId="77777777" w:rsidTr="002B040E">
        <w:trPr>
          <w:trHeight w:val="379"/>
        </w:trPr>
        <w:tc>
          <w:tcPr>
            <w:tcW w:w="4111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71A25E" w14:textId="77777777" w:rsidR="004F40D6" w:rsidRPr="002048F0" w:rsidRDefault="00000000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4727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EBB14" w14:textId="77777777" w:rsidR="004F40D6" w:rsidRPr="002048F0" w:rsidRDefault="004F40D6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E056F" w:rsidRPr="002048F0" w14:paraId="0F2496D2" w14:textId="77777777" w:rsidTr="002B040E">
        <w:trPr>
          <w:trHeight w:val="37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F79D48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4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97D32" w14:textId="1DBD2E49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16.7 (7.81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38.5)</w:t>
            </w:r>
          </w:p>
        </w:tc>
      </w:tr>
      <w:tr w:rsidR="009E056F" w:rsidRPr="002048F0" w14:paraId="37AC6677" w14:textId="77777777" w:rsidTr="002B040E">
        <w:trPr>
          <w:trHeight w:val="37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BABDD9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4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11F337" w14:textId="7DA561A2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20.6 (7.29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35.6)</w:t>
            </w:r>
          </w:p>
        </w:tc>
      </w:tr>
      <w:tr w:rsidR="009E056F" w:rsidRPr="002048F0" w14:paraId="661D1A75" w14:textId="77777777" w:rsidTr="002B040E">
        <w:trPr>
          <w:trHeight w:val="37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3A2C4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4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E83A9B" w14:textId="4C9F901E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39.2 (16.4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56.0)</w:t>
            </w:r>
          </w:p>
        </w:tc>
      </w:tr>
      <w:tr w:rsidR="009E056F" w:rsidRPr="002048F0" w14:paraId="515DCAB6" w14:textId="77777777" w:rsidTr="002B040E">
        <w:trPr>
          <w:trHeight w:val="37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8CE5A8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4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307C5" w14:textId="2068A9F0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23.5 (6.33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52.1)</w:t>
            </w:r>
          </w:p>
        </w:tc>
      </w:tr>
      <w:tr w:rsidR="009E056F" w:rsidRPr="002048F0" w14:paraId="6CC389DC" w14:textId="77777777" w:rsidTr="002B040E">
        <w:trPr>
          <w:trHeight w:val="37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368029" w14:textId="77777777" w:rsidR="004F40D6" w:rsidRPr="002048F0" w:rsidRDefault="00000000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4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DF68C8" w14:textId="77777777" w:rsidR="004F40D6" w:rsidRPr="002048F0" w:rsidRDefault="004F40D6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9E056F" w:rsidRPr="002048F0" w14:paraId="3531EB11" w14:textId="77777777" w:rsidTr="002B040E">
        <w:trPr>
          <w:trHeight w:val="37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8CA885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4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29C9DD" w14:textId="6A4C2A43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26.5 (4.32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65.8)</w:t>
            </w:r>
          </w:p>
        </w:tc>
      </w:tr>
      <w:tr w:rsidR="009E056F" w:rsidRPr="002048F0" w14:paraId="7470AC5B" w14:textId="77777777" w:rsidTr="002B040E">
        <w:trPr>
          <w:trHeight w:val="37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13C577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4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8B3B5A" w14:textId="06FE3086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25.9 (13.0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42.8)</w:t>
            </w:r>
          </w:p>
        </w:tc>
      </w:tr>
      <w:tr w:rsidR="009E056F" w:rsidRPr="002048F0" w14:paraId="1E7B9AE4" w14:textId="77777777" w:rsidTr="002B040E">
        <w:trPr>
          <w:trHeight w:val="37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9115E6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4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01CF54" w14:textId="60983289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39.2 (12.6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60.0)</w:t>
            </w:r>
          </w:p>
        </w:tc>
      </w:tr>
      <w:tr w:rsidR="009E056F" w:rsidRPr="002048F0" w14:paraId="79881D76" w14:textId="77777777" w:rsidTr="002B040E">
        <w:trPr>
          <w:trHeight w:val="379"/>
        </w:trPr>
        <w:tc>
          <w:tcPr>
            <w:tcW w:w="41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F1DA59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47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5240AF" w14:textId="49D791E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8.43 (1.98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22.1)</w:t>
            </w:r>
          </w:p>
        </w:tc>
      </w:tr>
      <w:tr w:rsidR="009E056F" w:rsidRPr="002048F0" w14:paraId="28C3DA7F" w14:textId="77777777" w:rsidTr="002B040E">
        <w:trPr>
          <w:trHeight w:val="379"/>
        </w:trPr>
        <w:tc>
          <w:tcPr>
            <w:tcW w:w="4111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5DF384B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eTreg</w:t>
            </w:r>
            <w:proofErr w:type="spellEnd"/>
          </w:p>
        </w:tc>
        <w:tc>
          <w:tcPr>
            <w:tcW w:w="472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F7F7BFA" w14:textId="6E05267A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1.14 (0.19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1.98)</w:t>
            </w:r>
          </w:p>
        </w:tc>
      </w:tr>
    </w:tbl>
    <w:p w14:paraId="7CA20835" w14:textId="79366C0C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N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naïve memory T cell; 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CM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central memory T cell; 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EM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effector memory T cell; 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EMRA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terminally differentiated effector memory T cell re-expressing CD45RA; </w:t>
      </w:r>
      <w:proofErr w:type="spellStart"/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eTreg</w:t>
      </w:r>
      <w:proofErr w:type="spellEnd"/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effector regulatory T cell.</w:t>
      </w:r>
    </w:p>
    <w:p w14:paraId="526BAC98" w14:textId="77777777" w:rsidR="00CA714E" w:rsidRPr="002048F0" w:rsidRDefault="00CA714E" w:rsidP="00D701D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E369F99" w14:textId="12C03D0B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sz w:val="20"/>
          <w:szCs w:val="20"/>
        </w:rPr>
        <w:t>(b) PD-1 receptor occupancy on each T cell subset</w:t>
      </w:r>
      <w:r w:rsidR="0014630E" w:rsidRPr="002048F0">
        <w:rPr>
          <w:rFonts w:ascii="Times New Roman" w:eastAsia="Times New Roman" w:hAnsi="Times New Roman" w:cs="Times New Roman"/>
          <w:sz w:val="20"/>
          <w:szCs w:val="20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3332"/>
        <w:gridCol w:w="5506"/>
      </w:tblGrid>
      <w:tr w:rsidR="009E056F" w:rsidRPr="002048F0" w14:paraId="3269E348" w14:textId="77777777">
        <w:trPr>
          <w:trHeight w:val="379"/>
        </w:trPr>
        <w:tc>
          <w:tcPr>
            <w:tcW w:w="3332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609568A1" w14:textId="77777777" w:rsidR="004F40D6" w:rsidRPr="002048F0" w:rsidRDefault="004F40D6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5506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EDBD43C" w14:textId="7777777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PD-1 receptor occupancy (%), mean (range)</w:t>
            </w:r>
          </w:p>
        </w:tc>
      </w:tr>
      <w:tr w:rsidR="009E056F" w:rsidRPr="002048F0" w14:paraId="0196D278" w14:textId="77777777">
        <w:trPr>
          <w:trHeight w:val="379"/>
        </w:trPr>
        <w:tc>
          <w:tcPr>
            <w:tcW w:w="3332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4100B3" w14:textId="77777777" w:rsidR="004F40D6" w:rsidRPr="002048F0" w:rsidRDefault="00000000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5506" w:type="dxa"/>
            <w:tcBorders>
              <w:top w:val="single" w:sz="4" w:space="0" w:color="000000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C487B5" w14:textId="56A2152C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67.0 (41.0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98.2)</w:t>
            </w:r>
          </w:p>
        </w:tc>
      </w:tr>
      <w:tr w:rsidR="009E056F" w:rsidRPr="002048F0" w14:paraId="2491866C" w14:textId="77777777">
        <w:trPr>
          <w:trHeight w:val="379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15036A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5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30A75D" w14:textId="231326C2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82.7 (41.9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100)</w:t>
            </w:r>
          </w:p>
        </w:tc>
      </w:tr>
      <w:tr w:rsidR="009E056F" w:rsidRPr="002048F0" w14:paraId="56711FE7" w14:textId="77777777">
        <w:trPr>
          <w:trHeight w:val="379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DEA11E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5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7EB77" w14:textId="30C297ED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69.6 (43.8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100)</w:t>
            </w:r>
          </w:p>
        </w:tc>
      </w:tr>
      <w:tr w:rsidR="009E056F" w:rsidRPr="002048F0" w14:paraId="5B292235" w14:textId="77777777">
        <w:trPr>
          <w:trHeight w:val="379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1BB6E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5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E054FD" w14:textId="344B2276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68.4 (43.7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97.5)</w:t>
            </w:r>
          </w:p>
        </w:tc>
      </w:tr>
      <w:tr w:rsidR="009E056F" w:rsidRPr="002048F0" w14:paraId="0CF0ACC5" w14:textId="77777777">
        <w:trPr>
          <w:trHeight w:val="379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124337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5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A96766" w14:textId="4175C7A8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64.7 (33.1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100)</w:t>
            </w:r>
          </w:p>
        </w:tc>
      </w:tr>
      <w:tr w:rsidR="009E056F" w:rsidRPr="002048F0" w14:paraId="044AFC9E" w14:textId="77777777">
        <w:trPr>
          <w:trHeight w:val="379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20A696" w14:textId="77777777" w:rsidR="004F40D6" w:rsidRPr="002048F0" w:rsidRDefault="00000000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5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371A0" w14:textId="5E795A1C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64.8 (42.9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94.1)</w:t>
            </w:r>
          </w:p>
        </w:tc>
      </w:tr>
      <w:tr w:rsidR="009E056F" w:rsidRPr="002048F0" w14:paraId="2BF9333F" w14:textId="77777777">
        <w:trPr>
          <w:trHeight w:val="379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C9E5AE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5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7D2B77" w14:textId="7082DB74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100 (31.3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100)</w:t>
            </w:r>
          </w:p>
        </w:tc>
      </w:tr>
      <w:tr w:rsidR="009E056F" w:rsidRPr="002048F0" w14:paraId="0B27A95D" w14:textId="77777777">
        <w:trPr>
          <w:trHeight w:val="379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2FC883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5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2C0E26" w14:textId="6729F7EF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65.3 (42.0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100)</w:t>
            </w:r>
          </w:p>
        </w:tc>
      </w:tr>
      <w:tr w:rsidR="009E056F" w:rsidRPr="002048F0" w14:paraId="4EEF90B5" w14:textId="77777777">
        <w:trPr>
          <w:trHeight w:val="379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991B4C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5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B8E32B" w14:textId="50198356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65.1 (44.2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99.3)</w:t>
            </w:r>
          </w:p>
        </w:tc>
      </w:tr>
      <w:tr w:rsidR="009E056F" w:rsidRPr="002048F0" w14:paraId="721A3144" w14:textId="77777777">
        <w:trPr>
          <w:trHeight w:val="379"/>
        </w:trPr>
        <w:tc>
          <w:tcPr>
            <w:tcW w:w="33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F5069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5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0CB220" w14:textId="7DD0493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100 (28.1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100)</w:t>
            </w:r>
          </w:p>
        </w:tc>
      </w:tr>
      <w:tr w:rsidR="009E056F" w:rsidRPr="002048F0" w14:paraId="00BB5F29" w14:textId="77777777">
        <w:trPr>
          <w:trHeight w:val="379"/>
        </w:trPr>
        <w:tc>
          <w:tcPr>
            <w:tcW w:w="333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1E0EE05" w14:textId="77777777" w:rsidR="004F40D6" w:rsidRPr="002048F0" w:rsidRDefault="00000000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eTreg</w:t>
            </w:r>
            <w:proofErr w:type="spellEnd"/>
          </w:p>
        </w:tc>
        <w:tc>
          <w:tcPr>
            <w:tcW w:w="550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D181A72" w14:textId="3A95AE0E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55.4 (18.7</w:t>
            </w:r>
            <w:r w:rsidR="00CA714E"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–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100)</w:t>
            </w:r>
          </w:p>
        </w:tc>
      </w:tr>
    </w:tbl>
    <w:p w14:paraId="2F3E4FE8" w14:textId="1B43184B" w:rsidR="004F40D6" w:rsidRPr="002048F0" w:rsidRDefault="00000000" w:rsidP="00D701D4">
      <w:pPr>
        <w:spacing w:line="240" w:lineRule="auto"/>
        <w:ind w:left="110" w:hanging="110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Measured value</w:t>
      </w:r>
      <w:r w:rsidR="00CA714E"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s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above 100 % </w:t>
      </w:r>
      <w:r w:rsidR="00CA714E"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were 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described as 100%.</w:t>
      </w:r>
    </w:p>
    <w:p w14:paraId="048C50FA" w14:textId="02C2613A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N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naïve memory T cell; 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CM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central memory T cell; 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EM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effector memory T cell; 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EMRA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terminally differentiated effector memory T cell re-expressing CD45RA; </w:t>
      </w:r>
      <w:proofErr w:type="spellStart"/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eTreg</w:t>
      </w:r>
      <w:proofErr w:type="spellEnd"/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effector regulatory T cell.</w:t>
      </w:r>
    </w:p>
    <w:p w14:paraId="160B2FB2" w14:textId="0F5C34F7" w:rsidR="00677CE4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sz w:val="20"/>
          <w:szCs w:val="20"/>
        </w:rPr>
        <w:br w:type="page"/>
      </w:r>
    </w:p>
    <w:p w14:paraId="098B001A" w14:textId="2BB99747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S2</w:t>
      </w:r>
      <w:r w:rsidR="00677CE4" w:rsidRPr="002048F0">
        <w:rPr>
          <w:rFonts w:ascii="Times New Roman" w:eastAsia="Times New Roman" w:hAnsi="Times New Roman" w:cs="Times New Roman"/>
          <w:b/>
          <w:sz w:val="20"/>
          <w:szCs w:val="20"/>
        </w:rPr>
        <w:t xml:space="preserve">. </w:t>
      </w:r>
      <w:r w:rsidRPr="002048F0">
        <w:rPr>
          <w:rFonts w:ascii="Times New Roman" w:eastAsia="Times New Roman" w:hAnsi="Times New Roman" w:cs="Times New Roman"/>
          <w:bCs/>
          <w:sz w:val="20"/>
          <w:szCs w:val="20"/>
        </w:rPr>
        <w:t>Multivariable</w:t>
      </w:r>
      <w:r w:rsidRPr="002048F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logistic regression models for the disease control ratio and Ki-67 of all T cells</w:t>
      </w:r>
      <w:r w:rsidR="00677CE4" w:rsidRPr="002048F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.</w:t>
      </w:r>
    </w:p>
    <w:tbl>
      <w:tblPr>
        <w:tblW w:w="0" w:type="auto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507"/>
        <w:gridCol w:w="1866"/>
        <w:gridCol w:w="2196"/>
        <w:gridCol w:w="434"/>
        <w:gridCol w:w="2196"/>
        <w:gridCol w:w="639"/>
      </w:tblGrid>
      <w:tr w:rsidR="009E056F" w:rsidRPr="002048F0" w14:paraId="72F31D70" w14:textId="77777777" w:rsidTr="0014630E">
        <w:trPr>
          <w:trHeight w:val="382"/>
        </w:trPr>
        <w:tc>
          <w:tcPr>
            <w:tcW w:w="1508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348F8D29" w14:textId="77777777" w:rsidR="004F40D6" w:rsidRPr="002048F0" w:rsidRDefault="004F40D6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02271BB7" w14:textId="77777777" w:rsidR="004F40D6" w:rsidRPr="002048F0" w:rsidRDefault="004F40D6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620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15EE956" w14:textId="7777777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Univariable analysis</w:t>
            </w:r>
          </w:p>
        </w:tc>
        <w:tc>
          <w:tcPr>
            <w:tcW w:w="2840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2A6861" w14:textId="7777777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Multivariable analysis</w:t>
            </w:r>
          </w:p>
        </w:tc>
      </w:tr>
      <w:tr w:rsidR="0014630E" w:rsidRPr="002048F0" w14:paraId="39A9C969" w14:textId="77777777" w:rsidTr="0014630E">
        <w:trPr>
          <w:trHeight w:val="382"/>
        </w:trPr>
        <w:tc>
          <w:tcPr>
            <w:tcW w:w="1508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73BD4779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70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3F6BDB7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Ki-67 (%), mean (range)</w:t>
            </w:r>
          </w:p>
        </w:tc>
        <w:tc>
          <w:tcPr>
            <w:tcW w:w="220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7CFAE2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 (95% CI)</w:t>
            </w:r>
          </w:p>
        </w:tc>
        <w:tc>
          <w:tcPr>
            <w:tcW w:w="42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655948BD" w14:textId="69E2BDB1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p-</w:t>
            </w:r>
            <w:r w:rsidRPr="002048F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220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D485F71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 (95% CI)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C82314A" w14:textId="3A943054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p-</w:t>
            </w:r>
            <w:r w:rsidRPr="002048F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</w:tr>
      <w:tr w:rsidR="0014630E" w:rsidRPr="002048F0" w14:paraId="317BF467" w14:textId="77777777" w:rsidTr="0014630E">
        <w:trPr>
          <w:trHeight w:val="382"/>
        </w:trPr>
        <w:tc>
          <w:tcPr>
            <w:tcW w:w="1508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41A09FB4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87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4A1B9F12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0B257D9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74E0DF4B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71E33AAD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354EF78F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630E" w:rsidRPr="002048F0" w14:paraId="27D7E41C" w14:textId="77777777" w:rsidTr="0014630E">
        <w:trPr>
          <w:trHeight w:val="382"/>
        </w:trPr>
        <w:tc>
          <w:tcPr>
            <w:tcW w:w="1508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5BE9E2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187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287479" w14:textId="7807BA7A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1.39 (0.36–3.72)</w:t>
            </w:r>
          </w:p>
        </w:tc>
        <w:tc>
          <w:tcPr>
            <w:tcW w:w="220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08F2B0" w14:textId="5B89D43A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0.71 (0.28–1.80)</w:t>
            </w:r>
          </w:p>
        </w:tc>
        <w:tc>
          <w:tcPr>
            <w:tcW w:w="420" w:type="dxa"/>
            <w:tcBorders>
              <w:left w:val="nil"/>
              <w:bottom w:val="nil"/>
              <w:right w:val="nil"/>
            </w:tcBorders>
            <w:vAlign w:val="center"/>
          </w:tcPr>
          <w:p w14:paraId="215334A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220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71DDF" w14:textId="519FA34A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0.69 (0.27–1.78)</w:t>
            </w:r>
          </w:p>
        </w:tc>
        <w:tc>
          <w:tcPr>
            <w:tcW w:w="640" w:type="dxa"/>
            <w:tcBorders>
              <w:left w:val="nil"/>
              <w:bottom w:val="nil"/>
              <w:right w:val="nil"/>
            </w:tcBorders>
            <w:vAlign w:val="center"/>
          </w:tcPr>
          <w:p w14:paraId="61E1A084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0.44</w:t>
            </w:r>
          </w:p>
        </w:tc>
      </w:tr>
      <w:tr w:rsidR="0014630E" w:rsidRPr="002048F0" w14:paraId="65FC16EA" w14:textId="77777777" w:rsidTr="0014630E">
        <w:trPr>
          <w:trHeight w:val="382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56DF30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BD062F" w14:textId="74482F23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3.79 (1.17–10.4)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A3196E" w14:textId="10454914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0.14 (0.02–0.97)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3816D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92516" w14:textId="4D114561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0.10 (0.01–1.73)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0ABD1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0.11</w:t>
            </w:r>
          </w:p>
        </w:tc>
      </w:tr>
      <w:tr w:rsidR="0014630E" w:rsidRPr="002048F0" w14:paraId="44F798F9" w14:textId="77777777" w:rsidTr="0014630E">
        <w:trPr>
          <w:trHeight w:val="382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07EC60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03CF6E" w14:textId="2A9F6E29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6.10 (1.81–17.0)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397D69" w14:textId="4151DF28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0.22 (0.05–1.01)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D05CD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246F73" w14:textId="7CEAC736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0.19 (0.03–1.29)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470C8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</w:tr>
      <w:tr w:rsidR="0014630E" w:rsidRPr="002048F0" w14:paraId="5EA821A5" w14:textId="77777777" w:rsidTr="0014630E">
        <w:trPr>
          <w:trHeight w:val="382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B46D02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9C6DCCA" w14:textId="55E95FF9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2.13 (0.53–6.02)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10FCE8" w14:textId="7513A8F3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0.71 (0.38–1.33)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C35415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37D7096" w14:textId="0E4555C9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0.70 (0.37–1.31)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504DB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0.26</w:t>
            </w:r>
          </w:p>
        </w:tc>
      </w:tr>
      <w:tr w:rsidR="0014630E" w:rsidRPr="002048F0" w14:paraId="5AE26CD6" w14:textId="77777777" w:rsidTr="0014630E">
        <w:trPr>
          <w:trHeight w:val="382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F99D8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E5DEAAF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0EEC1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D417E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A62F85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9CE0D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630E" w:rsidRPr="002048F0" w14:paraId="5BCAA15A" w14:textId="77777777" w:rsidTr="0014630E">
        <w:trPr>
          <w:trHeight w:val="382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763CB6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03EC55" w14:textId="14F8BBE4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0.36 (0.07–0.90)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8E4708" w14:textId="254CD253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2.72×10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(11.5–6.47×10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11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47C2B2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04D066" w14:textId="0F2D9259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3.22×10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6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(8.14–1.28×10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12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BBB99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0.02</w:t>
            </w:r>
          </w:p>
        </w:tc>
      </w:tr>
      <w:tr w:rsidR="0014630E" w:rsidRPr="002048F0" w14:paraId="2136CC58" w14:textId="77777777" w:rsidTr="0014630E">
        <w:trPr>
          <w:trHeight w:val="382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9CE3F3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1841F" w14:textId="62540BCA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2.66 (1.14–4.33)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965E7E" w14:textId="4D552BB5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1.59 (0.59–4.26)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B401AF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B15E6F" w14:textId="1802D0F3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1.64 (0.999–1.003)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808339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14630E" w:rsidRPr="002048F0" w14:paraId="047F7657" w14:textId="77777777" w:rsidTr="0014630E">
        <w:trPr>
          <w:trHeight w:val="382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A0D02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E1D2AE" w14:textId="3F16BF36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4.59 (2.00–8.46)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5C2598" w14:textId="66B258A6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0.71 (0.41–1.21)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AFD87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7CFE8E" w14:textId="62FFD6EF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0.70 (0.41–1.21)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E779B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</w:tr>
      <w:tr w:rsidR="0014630E" w:rsidRPr="002048F0" w14:paraId="7F72640F" w14:textId="77777777" w:rsidTr="0014630E">
        <w:trPr>
          <w:trHeight w:val="382"/>
        </w:trPr>
        <w:tc>
          <w:tcPr>
            <w:tcW w:w="1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EB92FE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1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72D444" w14:textId="0BE5679E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1.03 (0–2.62)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46252D" w14:textId="7AC4D53D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1.49 (0.38–5.78)</w:t>
            </w: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CD53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0.57</w:t>
            </w:r>
          </w:p>
        </w:tc>
        <w:tc>
          <w:tcPr>
            <w:tcW w:w="2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5B61DC" w14:textId="6C3571E1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1.81 (0.38–8.67)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C631D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</w:tr>
      <w:tr w:rsidR="0014630E" w:rsidRPr="002048F0" w14:paraId="3089E12F" w14:textId="77777777" w:rsidTr="0014630E">
        <w:trPr>
          <w:trHeight w:val="382"/>
        </w:trPr>
        <w:tc>
          <w:tcPr>
            <w:tcW w:w="1508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2758FAE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eTreg</w:t>
            </w:r>
            <w:proofErr w:type="spellEnd"/>
          </w:p>
        </w:tc>
        <w:tc>
          <w:tcPr>
            <w:tcW w:w="187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315E658" w14:textId="595EB428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11.5 (2.74–19.8)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A329989" w14:textId="21324045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0.94 (0.78–1.13)</w:t>
            </w:r>
          </w:p>
        </w:tc>
        <w:tc>
          <w:tcPr>
            <w:tcW w:w="42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5238CEE5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2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86614E2" w14:textId="1FD85376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0.94 (0.78–1.15)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2F3C1F4F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0.55</w:t>
            </w:r>
          </w:p>
        </w:tc>
      </w:tr>
    </w:tbl>
    <w:p w14:paraId="3490867E" w14:textId="05A7DB27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sz w:val="20"/>
          <w:szCs w:val="20"/>
        </w:rPr>
        <w:t xml:space="preserve">The 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odds ratio in </w:t>
      </w:r>
      <w:r w:rsidR="0047054F"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the </w:t>
      </w:r>
      <w:r w:rsidRPr="002048F0">
        <w:rPr>
          <w:rFonts w:ascii="Times New Roman" w:eastAsia="Times New Roman" w:hAnsi="Times New Roman" w:cs="Times New Roman"/>
          <w:sz w:val="20"/>
          <w:szCs w:val="20"/>
        </w:rPr>
        <w:t>multivariable analysis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was adjusted for the total lymphocyte count.</w:t>
      </w:r>
    </w:p>
    <w:p w14:paraId="19D80B9F" w14:textId="4E117915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sz w:val="20"/>
          <w:szCs w:val="20"/>
        </w:rPr>
        <w:t xml:space="preserve">OR, odds ratio; CI, confidence interval; PB, pembrolizumab-bound; 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N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naïve memory T cell; 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CM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central memory T cell; 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EM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effector memory T cell; 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EMRA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terminally differentiated effector memory T cell re-expressing CD45RA; </w:t>
      </w:r>
      <w:proofErr w:type="spellStart"/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eTreg</w:t>
      </w:r>
      <w:proofErr w:type="spellEnd"/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effector regulatory T cell.</w:t>
      </w:r>
    </w:p>
    <w:p w14:paraId="10428AF6" w14:textId="77777777" w:rsidR="004F40D6" w:rsidRPr="002048F0" w:rsidRDefault="004F40D6" w:rsidP="00D701D4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54055CD3" w14:textId="77777777" w:rsidR="00677CE4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b/>
          <w:sz w:val="20"/>
          <w:szCs w:val="20"/>
        </w:rPr>
        <w:br w:type="page"/>
      </w:r>
    </w:p>
    <w:p w14:paraId="63D9BBAF" w14:textId="24F97204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b/>
          <w:color w:val="000000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S3</w:t>
      </w:r>
      <w:r w:rsidR="00677CE4" w:rsidRPr="002048F0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Pr="002048F0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2048F0">
        <w:rPr>
          <w:rFonts w:ascii="Times New Roman" w:eastAsia="Times New Roman" w:hAnsi="Times New Roman" w:cs="Times New Roman"/>
          <w:bCs/>
          <w:sz w:val="20"/>
          <w:szCs w:val="20"/>
        </w:rPr>
        <w:t>Multivariable</w:t>
      </w:r>
      <w:r w:rsidRPr="002048F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 xml:space="preserve"> logistic regression models for the disease control ratio and TIM-3 of T cells</w:t>
      </w:r>
      <w:r w:rsidR="00677CE4" w:rsidRPr="002048F0">
        <w:rPr>
          <w:rFonts w:ascii="Times New Roman" w:eastAsia="Times New Roman" w:hAnsi="Times New Roman" w:cs="Times New Roman"/>
          <w:bCs/>
          <w:color w:val="000000"/>
          <w:sz w:val="20"/>
          <w:szCs w:val="20"/>
        </w:rPr>
        <w:t>.</w:t>
      </w:r>
    </w:p>
    <w:p w14:paraId="33020AE2" w14:textId="6A26EB8C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(a) TIM-3 of PB-T cells</w:t>
      </w:r>
      <w:r w:rsidR="0014630E"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867"/>
        <w:gridCol w:w="2463"/>
        <w:gridCol w:w="1653"/>
        <w:gridCol w:w="640"/>
        <w:gridCol w:w="1781"/>
        <w:gridCol w:w="434"/>
      </w:tblGrid>
      <w:tr w:rsidR="009E056F" w:rsidRPr="002048F0" w14:paraId="6FBA6558" w14:textId="77777777" w:rsidTr="0014630E">
        <w:trPr>
          <w:trHeight w:val="382"/>
        </w:trPr>
        <w:tc>
          <w:tcPr>
            <w:tcW w:w="186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70683F90" w14:textId="77777777" w:rsidR="004F40D6" w:rsidRPr="002048F0" w:rsidRDefault="004F40D6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A5B71BE" w14:textId="77777777" w:rsidR="004F40D6" w:rsidRPr="002048F0" w:rsidRDefault="004F40D6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294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1277EBB" w14:textId="7777777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Univariable analysis</w:t>
            </w:r>
          </w:p>
        </w:tc>
        <w:tc>
          <w:tcPr>
            <w:tcW w:w="2210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335BDAC" w14:textId="7777777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Multivariable analysis</w:t>
            </w:r>
          </w:p>
        </w:tc>
      </w:tr>
      <w:tr w:rsidR="0014630E" w:rsidRPr="002048F0" w14:paraId="61BA7284" w14:textId="77777777" w:rsidTr="0014630E">
        <w:trPr>
          <w:trHeight w:val="382"/>
        </w:trPr>
        <w:tc>
          <w:tcPr>
            <w:tcW w:w="1869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CCED688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465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0608F919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TIM-3 (%), mean (range)</w:t>
            </w:r>
          </w:p>
        </w:tc>
        <w:tc>
          <w:tcPr>
            <w:tcW w:w="1654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2148F7D2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 (95% CI)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0757EE90" w14:textId="620ED81C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p-</w:t>
            </w:r>
            <w:r w:rsidRPr="002048F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1782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67B16D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 (95% CI)</w:t>
            </w:r>
          </w:p>
        </w:tc>
        <w:tc>
          <w:tcPr>
            <w:tcW w:w="428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4C0E7565" w14:textId="6E85A2F4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p-</w:t>
            </w:r>
            <w:r w:rsidRPr="002048F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</w:tr>
      <w:tr w:rsidR="0014630E" w:rsidRPr="002048F0" w14:paraId="5CF925DD" w14:textId="77777777" w:rsidTr="0014630E">
        <w:trPr>
          <w:trHeight w:val="382"/>
        </w:trPr>
        <w:tc>
          <w:tcPr>
            <w:tcW w:w="1869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48C80F17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246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DF7B6B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329E17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58BAD77C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2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12E9A0AB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27C573D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630E" w:rsidRPr="002048F0" w14:paraId="0B09410B" w14:textId="77777777" w:rsidTr="0014630E">
        <w:trPr>
          <w:trHeight w:val="382"/>
        </w:trPr>
        <w:tc>
          <w:tcPr>
            <w:tcW w:w="186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2E82AC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246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57F632" w14:textId="490698C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0.41 (0–3.57)</w:t>
            </w:r>
          </w:p>
        </w:tc>
        <w:tc>
          <w:tcPr>
            <w:tcW w:w="165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8CC3B7" w14:textId="1D1FEC00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2.73 (0.38–19.8)</w:t>
            </w:r>
          </w:p>
        </w:tc>
        <w:tc>
          <w:tcPr>
            <w:tcW w:w="640" w:type="dxa"/>
            <w:tcBorders>
              <w:left w:val="nil"/>
              <w:bottom w:val="nil"/>
              <w:right w:val="nil"/>
            </w:tcBorders>
            <w:vAlign w:val="center"/>
          </w:tcPr>
          <w:p w14:paraId="743D1E5E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178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C2E2A6" w14:textId="6CAD9071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2.69 (0.39–18.8)</w:t>
            </w:r>
          </w:p>
        </w:tc>
        <w:tc>
          <w:tcPr>
            <w:tcW w:w="428" w:type="dxa"/>
            <w:tcBorders>
              <w:left w:val="nil"/>
              <w:bottom w:val="nil"/>
              <w:right w:val="nil"/>
            </w:tcBorders>
            <w:vAlign w:val="center"/>
          </w:tcPr>
          <w:p w14:paraId="3A7DE6B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</w:tr>
      <w:tr w:rsidR="0014630E" w:rsidRPr="002048F0" w14:paraId="1494D957" w14:textId="77777777" w:rsidTr="0014630E">
        <w:trPr>
          <w:trHeight w:val="382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1103CE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CBFA9D" w14:textId="598B3416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0.19 (0–0.99)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5A076A" w14:textId="4C5A25B4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0.98 (0.03–37.5)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B580F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CDF651" w14:textId="396551F1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0.92 (0.02–36.2)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6F441D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0.97</w:t>
            </w:r>
          </w:p>
        </w:tc>
      </w:tr>
      <w:tr w:rsidR="0014630E" w:rsidRPr="002048F0" w14:paraId="08972AAA" w14:textId="77777777" w:rsidTr="0014630E">
        <w:trPr>
          <w:trHeight w:val="382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62990D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965546" w14:textId="7F05656F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0.37 (0–1.00)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523832" w14:textId="0D116031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0.20 (0.01–3.75)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2A0DE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22422A" w14:textId="6EA3FDDB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0.21 (0.01–3.96)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0ECBF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0.30</w:t>
            </w:r>
          </w:p>
        </w:tc>
      </w:tr>
      <w:tr w:rsidR="0014630E" w:rsidRPr="002048F0" w14:paraId="47223302" w14:textId="77777777" w:rsidTr="0014630E">
        <w:trPr>
          <w:trHeight w:val="382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4C75FB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6D6D4" w14:textId="244EB465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0.60 (0–1.63)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7C6924" w14:textId="7A6B47A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0.84 (0.16–4.39)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A7A06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0.83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87F9E4" w14:textId="00A8BE05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0.93 (0.16–5.51)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8A8521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0.94</w:t>
            </w:r>
          </w:p>
        </w:tc>
      </w:tr>
      <w:tr w:rsidR="0014630E" w:rsidRPr="002048F0" w14:paraId="59D98822" w14:textId="77777777" w:rsidTr="0014630E">
        <w:trPr>
          <w:trHeight w:val="382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0B9C7C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7F02D6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9C91A6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8C793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1288F1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C89A6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630E" w:rsidRPr="002048F0" w14:paraId="05DD1538" w14:textId="77777777" w:rsidTr="0014630E">
        <w:trPr>
          <w:trHeight w:val="382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487099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B1454CE" w14:textId="648E6C1A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2.07 (0–12.8)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0637A8" w14:textId="46D61AAE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1.30 (0.76–2.24)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1F33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2B3309" w14:textId="1ECA6678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1.30 (0.76–2.24)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519564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14630E" w:rsidRPr="002048F0" w14:paraId="1164971A" w14:textId="77777777" w:rsidTr="0014630E">
        <w:trPr>
          <w:trHeight w:val="382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83AA70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2E3ACB" w14:textId="55C9DA9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0.44 (0–1.50)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9248BF" w14:textId="3BD3BA42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5.38 (0.30–96.7)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FDC0C6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0.25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D9294B" w14:textId="449D42EE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5.16 (0.28–95.7)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121962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0.27</w:t>
            </w:r>
          </w:p>
        </w:tc>
      </w:tr>
      <w:tr w:rsidR="0014630E" w:rsidRPr="002048F0" w14:paraId="702E799D" w14:textId="77777777" w:rsidTr="0014630E">
        <w:trPr>
          <w:trHeight w:val="382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057365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28D74F" w14:textId="601D6CD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0.65 (0.10–2.18)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D8E7EF" w14:textId="63E55FC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1.44 (0.23–9.24)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46ADF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0.70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68BC288" w14:textId="71982FCE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1.50 (0.22–10.0)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B295ED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0.68</w:t>
            </w:r>
          </w:p>
        </w:tc>
      </w:tr>
      <w:tr w:rsidR="0014630E" w:rsidRPr="002048F0" w14:paraId="45F9F476" w14:textId="77777777" w:rsidTr="0014630E">
        <w:trPr>
          <w:trHeight w:val="382"/>
        </w:trPr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FC780B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24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960927" w14:textId="766EDBDB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2.80 (0–11.9)</w:t>
            </w:r>
          </w:p>
        </w:tc>
        <w:tc>
          <w:tcPr>
            <w:tcW w:w="16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E9D7C3" w14:textId="15F561AA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1.24 (0.88–1.76)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72F5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AF7B0B" w14:textId="01B0690A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1.24 (0.87–1.75)</w:t>
            </w:r>
          </w:p>
        </w:tc>
        <w:tc>
          <w:tcPr>
            <w:tcW w:w="42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0FFA15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14630E" w:rsidRPr="002048F0" w14:paraId="1F289D3E" w14:textId="77777777" w:rsidTr="0014630E">
        <w:trPr>
          <w:trHeight w:val="382"/>
        </w:trPr>
        <w:tc>
          <w:tcPr>
            <w:tcW w:w="18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1241E06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</w:t>
            </w:r>
            <w:proofErr w:type="spellStart"/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eTreg</w:t>
            </w:r>
            <w:proofErr w:type="spellEnd"/>
          </w:p>
        </w:tc>
        <w:tc>
          <w:tcPr>
            <w:tcW w:w="246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1A086C7" w14:textId="67BA5389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9.48 (0–100)</w:t>
            </w:r>
          </w:p>
        </w:tc>
        <w:tc>
          <w:tcPr>
            <w:tcW w:w="165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65F356C" w14:textId="7223A3BB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1.03 (0.93–1.14)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D911B66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0.54</w:t>
            </w:r>
          </w:p>
        </w:tc>
        <w:tc>
          <w:tcPr>
            <w:tcW w:w="17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2D4C8A5" w14:textId="5C4D4288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1.03 (0.93–1.14)</w:t>
            </w:r>
          </w:p>
        </w:tc>
        <w:tc>
          <w:tcPr>
            <w:tcW w:w="428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822191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0.56</w:t>
            </w:r>
          </w:p>
        </w:tc>
      </w:tr>
    </w:tbl>
    <w:p w14:paraId="0EBC5808" w14:textId="77777777" w:rsidR="004F40D6" w:rsidRPr="002048F0" w:rsidRDefault="004F40D6" w:rsidP="00D701D4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p w14:paraId="6A89D816" w14:textId="0252FEA9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(b) TIM-3 of all T cells</w:t>
      </w:r>
      <w:r w:rsidR="0014630E"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1605"/>
        <w:gridCol w:w="2569"/>
        <w:gridCol w:w="1723"/>
        <w:gridCol w:w="640"/>
        <w:gridCol w:w="1856"/>
        <w:gridCol w:w="445"/>
      </w:tblGrid>
      <w:tr w:rsidR="009E056F" w:rsidRPr="002048F0" w14:paraId="055CD9AB" w14:textId="77777777" w:rsidTr="0014630E">
        <w:trPr>
          <w:trHeight w:val="382"/>
        </w:trPr>
        <w:tc>
          <w:tcPr>
            <w:tcW w:w="1605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533B223" w14:textId="77777777" w:rsidR="004F40D6" w:rsidRPr="002048F0" w:rsidRDefault="004F40D6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9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6B45C300" w14:textId="77777777" w:rsidR="004F40D6" w:rsidRPr="002048F0" w:rsidRDefault="004F40D6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2363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6E56D27B" w14:textId="7777777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Univariable analysis</w:t>
            </w:r>
          </w:p>
        </w:tc>
        <w:tc>
          <w:tcPr>
            <w:tcW w:w="2301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13D59FB7" w14:textId="7777777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Multivariable analysis</w:t>
            </w:r>
          </w:p>
        </w:tc>
      </w:tr>
      <w:tr w:rsidR="0014630E" w:rsidRPr="002048F0" w14:paraId="3EC9EDE0" w14:textId="77777777" w:rsidTr="0014630E">
        <w:trPr>
          <w:trHeight w:val="382"/>
        </w:trPr>
        <w:tc>
          <w:tcPr>
            <w:tcW w:w="1605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</w:tcPr>
          <w:p w14:paraId="561732B6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569" w:type="dxa"/>
            <w:tcBorders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530155CB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TIM-3 (%), mean (range)</w:t>
            </w:r>
          </w:p>
        </w:tc>
        <w:tc>
          <w:tcPr>
            <w:tcW w:w="1723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545393D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 (95% CI)</w:t>
            </w:r>
          </w:p>
        </w:tc>
        <w:tc>
          <w:tcPr>
            <w:tcW w:w="640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7BB1D9F5" w14:textId="17C9635A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p-</w:t>
            </w:r>
            <w:r w:rsidRPr="002048F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1856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14:paraId="7103957F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OR (95% CI)</w:t>
            </w:r>
          </w:p>
        </w:tc>
        <w:tc>
          <w:tcPr>
            <w:tcW w:w="445" w:type="dxa"/>
            <w:tcBorders>
              <w:top w:val="single" w:sz="8" w:space="0" w:color="000000"/>
              <w:left w:val="nil"/>
              <w:bottom w:val="single" w:sz="4" w:space="0" w:color="000000"/>
              <w:right w:val="nil"/>
            </w:tcBorders>
            <w:vAlign w:val="center"/>
          </w:tcPr>
          <w:p w14:paraId="318B0EF7" w14:textId="23F53F26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p-</w:t>
            </w:r>
            <w:r w:rsidRPr="002048F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</w:tr>
      <w:tr w:rsidR="0014630E" w:rsidRPr="002048F0" w14:paraId="234A4A45" w14:textId="77777777" w:rsidTr="0014630E">
        <w:trPr>
          <w:trHeight w:val="382"/>
        </w:trPr>
        <w:tc>
          <w:tcPr>
            <w:tcW w:w="1605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3B7838A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2569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123E24D2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3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75173E0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17B3F6D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E11CE5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tcBorders>
              <w:top w:val="single" w:sz="4" w:space="0" w:color="000000"/>
              <w:left w:val="nil"/>
              <w:right w:val="nil"/>
            </w:tcBorders>
            <w:vAlign w:val="center"/>
          </w:tcPr>
          <w:p w14:paraId="3C2645A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630E" w:rsidRPr="002048F0" w14:paraId="08952606" w14:textId="77777777" w:rsidTr="0014630E">
        <w:trPr>
          <w:trHeight w:val="382"/>
        </w:trPr>
        <w:tc>
          <w:tcPr>
            <w:tcW w:w="1605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0FFA8D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2569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0BE9FC" w14:textId="1AFE302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0.33 (0–1.11)</w:t>
            </w:r>
          </w:p>
        </w:tc>
        <w:tc>
          <w:tcPr>
            <w:tcW w:w="172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1C3EA3" w14:textId="248A0C5B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3.94 (0.13–120)</w:t>
            </w:r>
          </w:p>
        </w:tc>
        <w:tc>
          <w:tcPr>
            <w:tcW w:w="640" w:type="dxa"/>
            <w:tcBorders>
              <w:left w:val="nil"/>
              <w:bottom w:val="nil"/>
              <w:right w:val="nil"/>
            </w:tcBorders>
            <w:vAlign w:val="center"/>
          </w:tcPr>
          <w:p w14:paraId="6E9BE81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185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E241512" w14:textId="5F08BDC6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3.60 (0.12–110)</w:t>
            </w:r>
          </w:p>
        </w:tc>
        <w:tc>
          <w:tcPr>
            <w:tcW w:w="445" w:type="dxa"/>
            <w:tcBorders>
              <w:left w:val="nil"/>
              <w:bottom w:val="nil"/>
              <w:right w:val="nil"/>
            </w:tcBorders>
            <w:vAlign w:val="center"/>
          </w:tcPr>
          <w:p w14:paraId="79493578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</w:tr>
      <w:tr w:rsidR="0014630E" w:rsidRPr="002048F0" w14:paraId="066B658C" w14:textId="77777777" w:rsidTr="0014630E">
        <w:trPr>
          <w:trHeight w:val="382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CE0572B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57D0628" w14:textId="6D65300A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0.25 (0–0.70)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61F7D6" w14:textId="5DF0EB0A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1.01 (0.01–80.4)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6D9545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1.00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0471AE" w14:textId="7E75BEC3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0.82 (0.01–77.3)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9CC3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0.93</w:t>
            </w:r>
          </w:p>
        </w:tc>
      </w:tr>
      <w:tr w:rsidR="0014630E" w:rsidRPr="002048F0" w14:paraId="1C3BA255" w14:textId="77777777" w:rsidTr="0014630E">
        <w:trPr>
          <w:trHeight w:val="382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2354FE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38089C3" w14:textId="062440C5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0.42 (0–1.10)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31D07D" w14:textId="37D577D8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1.96 (0.08–50.2)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80C4D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0.68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9CA4FD" w14:textId="13636EBD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1.84 (0.07–51.4)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724E88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0.72</w:t>
            </w:r>
          </w:p>
        </w:tc>
      </w:tr>
      <w:tr w:rsidR="0014630E" w:rsidRPr="002048F0" w14:paraId="1D1B8B1E" w14:textId="77777777" w:rsidTr="0014630E">
        <w:trPr>
          <w:trHeight w:val="382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CF5213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8C6969" w14:textId="689C1742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0.47 (0–1.45)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B4B811" w14:textId="47352D92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0.14 (0.01–3.17)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60C4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0.22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1146FF" w14:textId="5E2217C6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0.14 (0.01–3.47)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DD8A9E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14630E" w:rsidRPr="002048F0" w14:paraId="4B515766" w14:textId="77777777" w:rsidTr="0014630E">
        <w:trPr>
          <w:trHeight w:val="382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B4CED2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6F2EB8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604048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ED22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215E16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23611C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630E" w:rsidRPr="002048F0" w14:paraId="6564C8F6" w14:textId="77777777" w:rsidTr="0014630E">
        <w:trPr>
          <w:trHeight w:val="382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2B0EF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9A823D" w14:textId="5CF6E9AF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0.98 (0.16–2.68)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A832798" w14:textId="076FC7DA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0.31 (0.08–1.18)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2A5FF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F6EED1" w14:textId="6652B189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0.25 (0.05–1.19)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4B732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</w:tr>
      <w:tr w:rsidR="0014630E" w:rsidRPr="002048F0" w14:paraId="279E47CB" w14:textId="77777777" w:rsidTr="0014630E">
        <w:trPr>
          <w:trHeight w:val="382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E705D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A98850" w14:textId="0D71CF95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0.54 (0.16–1.64)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1DF2773" w14:textId="62352F70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0.39 (0.04–4.06)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93E11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0.43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CF0379" w14:textId="2D69D140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0.26 (0.02–3.51)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4DEA5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</w:tr>
      <w:tr w:rsidR="0014630E" w:rsidRPr="002048F0" w14:paraId="0E2AF644" w14:textId="77777777" w:rsidTr="0014630E">
        <w:trPr>
          <w:trHeight w:val="382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35074A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65AC33" w14:textId="4F8D5DDD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1.02 (0.23–3.97)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8C065A" w14:textId="7D56CA69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0.91 (0.33–2.52)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CA52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0.86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B7B556" w14:textId="05A02A44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0.84 (0.28–2.45)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B46F9E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0.74</w:t>
            </w:r>
          </w:p>
        </w:tc>
      </w:tr>
      <w:tr w:rsidR="0014630E" w:rsidRPr="002048F0" w14:paraId="444848CE" w14:textId="77777777" w:rsidTr="0014630E">
        <w:trPr>
          <w:trHeight w:val="382"/>
        </w:trPr>
        <w:tc>
          <w:tcPr>
            <w:tcW w:w="160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36378B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25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FD82BF" w14:textId="6C82199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2.05 (0.27–12.1)</w:t>
            </w:r>
          </w:p>
        </w:tc>
        <w:tc>
          <w:tcPr>
            <w:tcW w:w="17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8DBC85" w14:textId="561C9A1C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0.84 (0.55–1.27)</w:t>
            </w:r>
          </w:p>
        </w:tc>
        <w:tc>
          <w:tcPr>
            <w:tcW w:w="64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5F9B5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0.41</w:t>
            </w:r>
          </w:p>
        </w:tc>
        <w:tc>
          <w:tcPr>
            <w:tcW w:w="1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C961DC" w14:textId="2250FF83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0.81 (0.52–1.26)</w:t>
            </w:r>
          </w:p>
        </w:tc>
        <w:tc>
          <w:tcPr>
            <w:tcW w:w="445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BE4DF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14630E" w:rsidRPr="002048F0" w14:paraId="2CCD6C1A" w14:textId="77777777" w:rsidTr="0014630E">
        <w:trPr>
          <w:trHeight w:val="382"/>
        </w:trPr>
        <w:tc>
          <w:tcPr>
            <w:tcW w:w="1605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41DE22D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proofErr w:type="spellStart"/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eTreg</w:t>
            </w:r>
            <w:proofErr w:type="spellEnd"/>
          </w:p>
        </w:tc>
        <w:tc>
          <w:tcPr>
            <w:tcW w:w="256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97A9BEF" w14:textId="1867082E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1.83 (0–10.5)</w:t>
            </w:r>
          </w:p>
        </w:tc>
        <w:tc>
          <w:tcPr>
            <w:tcW w:w="172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FBCF384" w14:textId="43B17A0B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1.21 (0.71–2.08)</w:t>
            </w:r>
          </w:p>
        </w:tc>
        <w:tc>
          <w:tcPr>
            <w:tcW w:w="640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6ED70B08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0.48</w:t>
            </w:r>
          </w:p>
        </w:tc>
        <w:tc>
          <w:tcPr>
            <w:tcW w:w="185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ACF2A51" w14:textId="0AA3CDB8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1.20 (0.67–2.13)</w:t>
            </w:r>
          </w:p>
        </w:tc>
        <w:tc>
          <w:tcPr>
            <w:tcW w:w="445" w:type="dxa"/>
            <w:tcBorders>
              <w:top w:val="nil"/>
              <w:left w:val="nil"/>
              <w:bottom w:val="single" w:sz="8" w:space="0" w:color="000000"/>
              <w:right w:val="nil"/>
            </w:tcBorders>
            <w:vAlign w:val="center"/>
          </w:tcPr>
          <w:p w14:paraId="08973B5F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0.54</w:t>
            </w:r>
          </w:p>
        </w:tc>
      </w:tr>
    </w:tbl>
    <w:p w14:paraId="5FB8EAF3" w14:textId="5E3D4F04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sz w:val="20"/>
          <w:szCs w:val="20"/>
        </w:rPr>
        <w:lastRenderedPageBreak/>
        <w:t xml:space="preserve">The 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odds ratio in </w:t>
      </w:r>
      <w:r w:rsidR="0014630E"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the </w:t>
      </w:r>
      <w:r w:rsidRPr="002048F0">
        <w:rPr>
          <w:rFonts w:ascii="Times New Roman" w:eastAsia="Times New Roman" w:hAnsi="Times New Roman" w:cs="Times New Roman"/>
          <w:sz w:val="20"/>
          <w:szCs w:val="20"/>
        </w:rPr>
        <w:t>multivariable analysis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was adjusted for the total lymphocyte count.</w:t>
      </w:r>
    </w:p>
    <w:p w14:paraId="541A4D62" w14:textId="0ECA7342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sz w:val="20"/>
          <w:szCs w:val="20"/>
        </w:rPr>
        <w:t xml:space="preserve">OR, odds ratio; CI, confidence interval; PB, pembrolizumab-bound; 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N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naïve memory T cell; 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CM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central memory T cell; 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EM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effector memory T cell; 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EMRA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terminally differentiated effector memory T cell re-expressing CD45RA; </w:t>
      </w:r>
      <w:proofErr w:type="spellStart"/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eTreg</w:t>
      </w:r>
      <w:proofErr w:type="spellEnd"/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effector regulatory T cell.</w:t>
      </w:r>
    </w:p>
    <w:p w14:paraId="10179207" w14:textId="0AD210DA" w:rsidR="00677CE4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b/>
          <w:sz w:val="20"/>
          <w:szCs w:val="20"/>
        </w:rPr>
        <w:br w:type="page"/>
      </w:r>
    </w:p>
    <w:p w14:paraId="01AF3A10" w14:textId="08587DB9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b/>
          <w:sz w:val="20"/>
          <w:szCs w:val="20"/>
        </w:rPr>
        <w:lastRenderedPageBreak/>
        <w:t>Table S4</w:t>
      </w:r>
      <w:r w:rsidR="00677CE4" w:rsidRPr="002048F0">
        <w:rPr>
          <w:rFonts w:ascii="Times New Roman" w:eastAsia="Times New Roman" w:hAnsi="Times New Roman" w:cs="Times New Roman"/>
          <w:b/>
          <w:sz w:val="20"/>
          <w:szCs w:val="20"/>
        </w:rPr>
        <w:t>.</w:t>
      </w:r>
      <w:r w:rsidRPr="002048F0">
        <w:rPr>
          <w:rFonts w:ascii="Times New Roman" w:eastAsia="Times New Roman" w:hAnsi="Times New Roman" w:cs="Times New Roman"/>
          <w:b/>
          <w:sz w:val="20"/>
          <w:szCs w:val="20"/>
        </w:rPr>
        <w:t xml:space="preserve"> </w:t>
      </w:r>
      <w:r w:rsidRPr="002048F0">
        <w:rPr>
          <w:rFonts w:ascii="Times New Roman" w:eastAsia="Times New Roman" w:hAnsi="Times New Roman" w:cs="Times New Roman"/>
          <w:bCs/>
          <w:sz w:val="20"/>
          <w:szCs w:val="20"/>
        </w:rPr>
        <w:t>Cox proportional hazard analysis of progression-free survival (PFS) and overall survival (OS)</w:t>
      </w:r>
      <w:r w:rsidR="00677CE4" w:rsidRPr="002048F0">
        <w:rPr>
          <w:rFonts w:ascii="Times New Roman" w:eastAsia="Times New Roman" w:hAnsi="Times New Roman" w:cs="Times New Roman"/>
          <w:bCs/>
          <w:sz w:val="20"/>
          <w:szCs w:val="20"/>
        </w:rPr>
        <w:t>.</w:t>
      </w:r>
    </w:p>
    <w:p w14:paraId="3A5320A6" w14:textId="341152DD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sz w:val="20"/>
          <w:szCs w:val="20"/>
        </w:rPr>
        <w:t>(a) PFS of all the patients</w:t>
      </w:r>
      <w:r w:rsidR="0014630E" w:rsidRPr="002048F0">
        <w:rPr>
          <w:rFonts w:ascii="Times New Roman" w:eastAsia="Times New Roman" w:hAnsi="Times New Roman" w:cs="Times New Roman"/>
          <w:sz w:val="20"/>
          <w:szCs w:val="20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82"/>
        <w:gridCol w:w="2360"/>
        <w:gridCol w:w="997"/>
        <w:gridCol w:w="2102"/>
        <w:gridCol w:w="997"/>
      </w:tblGrid>
      <w:tr w:rsidR="009E056F" w:rsidRPr="002048F0" w14:paraId="441EF226" w14:textId="77777777">
        <w:trPr>
          <w:trHeight w:val="379"/>
        </w:trPr>
        <w:tc>
          <w:tcPr>
            <w:tcW w:w="23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221859EC" w14:textId="77777777" w:rsidR="004F40D6" w:rsidRPr="002048F0" w:rsidRDefault="004F40D6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B3E8682" w14:textId="7777777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Univariable analysis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8BADF8D" w14:textId="7777777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Multivariable analysis</w:t>
            </w:r>
          </w:p>
        </w:tc>
      </w:tr>
      <w:tr w:rsidR="0014630E" w:rsidRPr="002048F0" w14:paraId="5451DF65" w14:textId="77777777">
        <w:trPr>
          <w:trHeight w:val="379"/>
        </w:trPr>
        <w:tc>
          <w:tcPr>
            <w:tcW w:w="2382" w:type="dxa"/>
            <w:tcBorders>
              <w:left w:val="nil"/>
              <w:right w:val="nil"/>
            </w:tcBorders>
            <w:shd w:val="clear" w:color="auto" w:fill="auto"/>
          </w:tcPr>
          <w:p w14:paraId="723C720B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13F012D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C0EE1D2" w14:textId="12846B46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p-</w:t>
            </w:r>
            <w:r w:rsidRPr="002048F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21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FA25D4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48A2FA0" w14:textId="7D14276E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p-</w:t>
            </w:r>
            <w:r w:rsidRPr="002048F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</w:tr>
      <w:tr w:rsidR="0014630E" w:rsidRPr="002048F0" w14:paraId="369E76C4" w14:textId="77777777">
        <w:trPr>
          <w:trHeight w:val="379"/>
        </w:trPr>
        <w:tc>
          <w:tcPr>
            <w:tcW w:w="2382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3F41076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236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52878D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1CB111F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500A4715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3555C62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630E" w:rsidRPr="002048F0" w14:paraId="2C8603EF" w14:textId="77777777">
        <w:trPr>
          <w:trHeight w:val="379"/>
        </w:trPr>
        <w:tc>
          <w:tcPr>
            <w:tcW w:w="238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3F1F6E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23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8A5C42F" w14:textId="4917B78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1.19 (0.96–1.43)</w:t>
            </w:r>
          </w:p>
        </w:tc>
        <w:tc>
          <w:tcPr>
            <w:tcW w:w="99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641769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0.08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E31D44" w14:textId="2DE88BEA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1.25 (1.00–1.54)</w:t>
            </w:r>
          </w:p>
        </w:tc>
        <w:tc>
          <w:tcPr>
            <w:tcW w:w="99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E698EF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14630E" w:rsidRPr="002048F0" w14:paraId="7F5F8F93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51AC03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40ADCE" w14:textId="4D4C49A1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1.18 (1.06–1.30)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05892F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A4951" w14:textId="02B1731E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1.19 (1.06–1.34)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ABAED9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</w:t>
            </w:r>
          </w:p>
        </w:tc>
      </w:tr>
      <w:tr w:rsidR="0014630E" w:rsidRPr="002048F0" w14:paraId="6E0EF146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13E4F4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432381" w14:textId="6C9A0044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1.14 (1.06–1.23)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8B5F4E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8181CF" w14:textId="6B091DA6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1.15 (1.06–1.26)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5DC301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</w:t>
            </w:r>
          </w:p>
        </w:tc>
      </w:tr>
      <w:tr w:rsidR="0014630E" w:rsidRPr="002048F0" w14:paraId="57609C59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B0AA2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3BA9A" w14:textId="57C35E44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1.13 (0.94–1.30)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7A5FF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BF6AA8" w14:textId="7D04455E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1.11 (0.93–1.29)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B7B29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</w:tr>
      <w:tr w:rsidR="0014630E" w:rsidRPr="002048F0" w14:paraId="494A9BC5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5AF4F9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74CAD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96D13C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E59B94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E39C1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630E" w:rsidRPr="002048F0" w14:paraId="06AA50A3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6BBBE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9D4670" w14:textId="27E63238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0.76 (0.43–1.20)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A3E511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97A7BA" w14:textId="4521469D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0.64 (0.36–1.05)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A4949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14630E" w:rsidRPr="002048F0" w14:paraId="2F3A478B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E4375C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42C9C77" w14:textId="289EDEB0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1.14 (0.94–1.35)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E7B451D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17591B" w14:textId="71D1BDC2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1.12 (0.92–1.36)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C2260B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</w:tr>
      <w:tr w:rsidR="0014630E" w:rsidRPr="002048F0" w14:paraId="3D21752C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D76746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A1E916" w14:textId="1669A1AE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1.07 (0.96–1.19)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9779FBF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0.23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8496A" w14:textId="6D6C60C2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1.06 (0.94–1.19)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537FB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0.34</w:t>
            </w:r>
          </w:p>
        </w:tc>
      </w:tr>
      <w:tr w:rsidR="0014630E" w:rsidRPr="002048F0" w14:paraId="07447131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8DC6B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4CE0FE" w14:textId="71C8D66E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1.07 (0.91–1.23)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604E3B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0.36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7A62518" w14:textId="40D71FCA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1.09 (0.92–1.26)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E9E6B4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0.31</w:t>
            </w:r>
          </w:p>
        </w:tc>
      </w:tr>
      <w:tr w:rsidR="0014630E" w:rsidRPr="002048F0" w14:paraId="4EB1C1CC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7B72A8F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</w:t>
            </w:r>
            <w:proofErr w:type="spellStart"/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eTreg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8E88DE8" w14:textId="17EB5C88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0.96 (0.91–1.01)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C98F4F2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0.14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2F99E89" w14:textId="3B498035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0.94 (0.88–1.00)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D43D792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</w:tr>
    </w:tbl>
    <w:p w14:paraId="1FB9A25F" w14:textId="77777777" w:rsidR="00CA714E" w:rsidRPr="002048F0" w:rsidRDefault="00CA714E" w:rsidP="00D701D4">
      <w:pPr>
        <w:spacing w:line="240" w:lineRule="auto"/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149E2079" w14:textId="150715B0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sz w:val="20"/>
          <w:szCs w:val="20"/>
        </w:rPr>
        <w:t>(b) OS of all the patients</w:t>
      </w:r>
      <w:r w:rsidR="0014630E" w:rsidRPr="002048F0">
        <w:rPr>
          <w:rFonts w:ascii="Times New Roman" w:eastAsia="Times New Roman" w:hAnsi="Times New Roman" w:cs="Times New Roman"/>
          <w:sz w:val="20"/>
          <w:szCs w:val="20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82"/>
        <w:gridCol w:w="2360"/>
        <w:gridCol w:w="997"/>
        <w:gridCol w:w="2102"/>
        <w:gridCol w:w="997"/>
      </w:tblGrid>
      <w:tr w:rsidR="009E056F" w:rsidRPr="002048F0" w14:paraId="192E3ED8" w14:textId="77777777">
        <w:trPr>
          <w:trHeight w:val="379"/>
        </w:trPr>
        <w:tc>
          <w:tcPr>
            <w:tcW w:w="2382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11508D1D" w14:textId="77777777" w:rsidR="004F40D6" w:rsidRPr="002048F0" w:rsidRDefault="004F40D6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57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A424C21" w14:textId="7777777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Univariable analysis</w:t>
            </w:r>
          </w:p>
        </w:tc>
        <w:tc>
          <w:tcPr>
            <w:tcW w:w="309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C6F697A" w14:textId="7777777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Multivariable analysis</w:t>
            </w:r>
          </w:p>
        </w:tc>
      </w:tr>
      <w:tr w:rsidR="0014630E" w:rsidRPr="002048F0" w14:paraId="0176FA1C" w14:textId="77777777">
        <w:trPr>
          <w:trHeight w:val="379"/>
        </w:trPr>
        <w:tc>
          <w:tcPr>
            <w:tcW w:w="2382" w:type="dxa"/>
            <w:tcBorders>
              <w:left w:val="nil"/>
              <w:right w:val="nil"/>
            </w:tcBorders>
            <w:shd w:val="clear" w:color="auto" w:fill="auto"/>
          </w:tcPr>
          <w:p w14:paraId="1E2DAFED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6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9C2C73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060E0E5" w14:textId="0939A059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p-</w:t>
            </w:r>
            <w:r w:rsidRPr="002048F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21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FA08436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9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BFCEF5A" w14:textId="02C933B4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p-</w:t>
            </w:r>
            <w:r w:rsidRPr="002048F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</w:tr>
      <w:tr w:rsidR="0014630E" w:rsidRPr="002048F0" w14:paraId="04B213C0" w14:textId="77777777">
        <w:trPr>
          <w:trHeight w:val="379"/>
        </w:trPr>
        <w:tc>
          <w:tcPr>
            <w:tcW w:w="2382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4C65B04E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2360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742979A6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762CCE6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FF69A3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285DE68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630E" w:rsidRPr="002048F0" w14:paraId="2BA311CF" w14:textId="77777777">
        <w:trPr>
          <w:trHeight w:val="379"/>
        </w:trPr>
        <w:tc>
          <w:tcPr>
            <w:tcW w:w="238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EAC69AB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2360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5E9272" w14:textId="0DC850F1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1.19 (0.96–1.43)</w:t>
            </w:r>
          </w:p>
        </w:tc>
        <w:tc>
          <w:tcPr>
            <w:tcW w:w="99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250AA4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210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15E65B" w14:textId="58D5DF4D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1.25 (1.00–1.54)</w:t>
            </w:r>
          </w:p>
        </w:tc>
        <w:tc>
          <w:tcPr>
            <w:tcW w:w="997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33146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</w:tr>
      <w:tr w:rsidR="0014630E" w:rsidRPr="002048F0" w14:paraId="7F2644FF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EEE9DF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D8EE847" w14:textId="1FE47E31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1.18 (1.06–1.30)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71C494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8F6B55" w14:textId="1BC9E2E3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1.19 (1.06–1.34)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15889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</w:t>
            </w:r>
          </w:p>
        </w:tc>
      </w:tr>
      <w:tr w:rsidR="0014630E" w:rsidRPr="002048F0" w14:paraId="5817AC38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31EEA8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9DA554" w14:textId="2B11E413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1.14 (1.06–1.23)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DC82ED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9777CA" w14:textId="68677CEC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1.15 (1.06–1.26)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DB7B58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</w:t>
            </w:r>
          </w:p>
        </w:tc>
      </w:tr>
      <w:tr w:rsidR="0014630E" w:rsidRPr="002048F0" w14:paraId="3E3C0A62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36C49A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320FCC6" w14:textId="653069A3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1.13 (0.94–1.30)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8DED9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E022B4" w14:textId="0D516E61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1.11 (0.93–1.29)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A0286E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0.05</w:t>
            </w:r>
          </w:p>
        </w:tc>
      </w:tr>
      <w:tr w:rsidR="0014630E" w:rsidRPr="002048F0" w14:paraId="1D6A62FB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672659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036E885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582F508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BFF0F05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F007DD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630E" w:rsidRPr="002048F0" w14:paraId="739DD41B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640BC8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24ADE8" w14:textId="080442C1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0.76 (0.43–1.20)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30643D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0.32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7825286" w14:textId="26818C7A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0.64 (0.36–1.05)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A4BAC4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0.16</w:t>
            </w:r>
          </w:p>
        </w:tc>
      </w:tr>
      <w:tr w:rsidR="0014630E" w:rsidRPr="002048F0" w14:paraId="7BE84A28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DF0706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1D245A" w14:textId="52F6FE29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1.14 (0.94–1.35)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089338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04B55F" w14:textId="68813C90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1.12 (0.92–1.36)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AEB1D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0.10</w:t>
            </w:r>
          </w:p>
        </w:tc>
      </w:tr>
      <w:tr w:rsidR="0014630E" w:rsidRPr="002048F0" w14:paraId="6196645F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971E72E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BE92EC" w14:textId="40FD6011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1.07 (0.96–1.19)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173EF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0.03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D6DA99" w14:textId="535B3A66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1.06 (0.94–1.19)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8D161F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0.04</w:t>
            </w:r>
          </w:p>
        </w:tc>
      </w:tr>
      <w:tr w:rsidR="0014630E" w:rsidRPr="002048F0" w14:paraId="06ECACD1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958ACB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2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FA785F" w14:textId="6DDC4D2B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1.07 (0.91–1.23)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89A31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0.66</w:t>
            </w:r>
          </w:p>
        </w:tc>
        <w:tc>
          <w:tcPr>
            <w:tcW w:w="2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704727" w14:textId="37895CF6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1.09 (0.92–1.26)</w:t>
            </w:r>
          </w:p>
        </w:tc>
        <w:tc>
          <w:tcPr>
            <w:tcW w:w="9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7669EF4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0.61</w:t>
            </w:r>
          </w:p>
        </w:tc>
      </w:tr>
      <w:tr w:rsidR="0014630E" w:rsidRPr="002048F0" w14:paraId="3BABEA9B" w14:textId="77777777">
        <w:trPr>
          <w:trHeight w:val="379"/>
        </w:trPr>
        <w:tc>
          <w:tcPr>
            <w:tcW w:w="238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0AE8DEA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</w:t>
            </w:r>
            <w:proofErr w:type="spellStart"/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eTreg</w:t>
            </w:r>
            <w:proofErr w:type="spellEnd"/>
          </w:p>
        </w:tc>
        <w:tc>
          <w:tcPr>
            <w:tcW w:w="23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387287F" w14:textId="2BC02A6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0.96 (0.91–1.01)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7329457C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  <w:tc>
          <w:tcPr>
            <w:tcW w:w="210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15B8C7A" w14:textId="06276D84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0.94 (0.88–1.00)</w:t>
            </w:r>
          </w:p>
        </w:tc>
        <w:tc>
          <w:tcPr>
            <w:tcW w:w="997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028E37D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0.12</w:t>
            </w:r>
          </w:p>
        </w:tc>
      </w:tr>
    </w:tbl>
    <w:p w14:paraId="5ADDFC63" w14:textId="77777777" w:rsidR="00CA714E" w:rsidRPr="002048F0" w:rsidRDefault="00CA714E" w:rsidP="00D701D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36758B1B" w14:textId="03984A13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sz w:val="20"/>
          <w:szCs w:val="20"/>
        </w:rPr>
        <w:lastRenderedPageBreak/>
        <w:t>(c) PFS of the patients with NSCLC</w:t>
      </w:r>
      <w:r w:rsidR="0014630E" w:rsidRPr="002048F0">
        <w:rPr>
          <w:rFonts w:ascii="Times New Roman" w:eastAsia="Times New Roman" w:hAnsi="Times New Roman" w:cs="Times New Roman"/>
          <w:sz w:val="20"/>
          <w:szCs w:val="20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74"/>
        <w:gridCol w:w="2386"/>
        <w:gridCol w:w="993"/>
        <w:gridCol w:w="2093"/>
        <w:gridCol w:w="992"/>
      </w:tblGrid>
      <w:tr w:rsidR="009E056F" w:rsidRPr="002048F0" w14:paraId="67F43575" w14:textId="77777777">
        <w:trPr>
          <w:trHeight w:val="379"/>
        </w:trPr>
        <w:tc>
          <w:tcPr>
            <w:tcW w:w="23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56665FB4" w14:textId="77777777" w:rsidR="004F40D6" w:rsidRPr="002048F0" w:rsidRDefault="004F40D6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9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30724E83" w14:textId="7777777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Univariable analysis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C3AD46D" w14:textId="7777777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Multivariable analysis</w:t>
            </w:r>
          </w:p>
        </w:tc>
      </w:tr>
      <w:tr w:rsidR="0014630E" w:rsidRPr="002048F0" w14:paraId="1F1DBC3F" w14:textId="77777777">
        <w:trPr>
          <w:trHeight w:val="379"/>
        </w:trPr>
        <w:tc>
          <w:tcPr>
            <w:tcW w:w="2374" w:type="dxa"/>
            <w:tcBorders>
              <w:left w:val="nil"/>
              <w:right w:val="nil"/>
            </w:tcBorders>
            <w:shd w:val="clear" w:color="auto" w:fill="auto"/>
          </w:tcPr>
          <w:p w14:paraId="1EB3BDDF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087CADB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247E3244" w14:textId="7BD12ACC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p-</w:t>
            </w:r>
            <w:r w:rsidRPr="002048F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20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5B142D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21C209" w14:textId="2263CCF9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p-</w:t>
            </w:r>
            <w:r w:rsidRPr="002048F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</w:tr>
      <w:tr w:rsidR="0014630E" w:rsidRPr="002048F0" w14:paraId="78B19215" w14:textId="77777777">
        <w:trPr>
          <w:trHeight w:val="379"/>
        </w:trPr>
        <w:tc>
          <w:tcPr>
            <w:tcW w:w="237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52CB82CB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238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46591A4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2791300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07EB274D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34F6A65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630E" w:rsidRPr="002048F0" w14:paraId="4B67A335" w14:textId="77777777">
        <w:trPr>
          <w:trHeight w:val="379"/>
        </w:trPr>
        <w:tc>
          <w:tcPr>
            <w:tcW w:w="237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3E3753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238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DD4332" w14:textId="31A107FE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1.27 (0.95–1.69)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67990C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0.09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86750EE" w14:textId="09BC671B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1.33 (0.98–1.87)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987FB2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</w:tr>
      <w:tr w:rsidR="0014630E" w:rsidRPr="002048F0" w14:paraId="3BE438BD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ED1666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812157" w14:textId="1BCC2365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1.32 (1.11–1.64)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7E90216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01ED05" w14:textId="01769018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1.32 (1.10–1.67)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EA95E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</w:t>
            </w:r>
          </w:p>
        </w:tc>
      </w:tr>
      <w:tr w:rsidR="0014630E" w:rsidRPr="002048F0" w14:paraId="7EF410DF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D619057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2EB36BD" w14:textId="3C829740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2.02 (1.36–3.92)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9FE865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A34E92" w14:textId="78F1445F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1.99 (1.35–3.93)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A15D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0.01</w:t>
            </w:r>
          </w:p>
        </w:tc>
      </w:tr>
      <w:tr w:rsidR="0014630E" w:rsidRPr="002048F0" w14:paraId="4C767B1A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383751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BAF0574" w14:textId="5AD8D8D0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1.40 (1.05–2.30)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47103B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A75AE5" w14:textId="4C027768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1.43 (1.06–2.51)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56C2A7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14630E" w:rsidRPr="002048F0" w14:paraId="0EB80222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85D66A3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78562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04D858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EC7658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84E7A9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630E" w:rsidRPr="002048F0" w14:paraId="300A024D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368D9F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BE3DA3C" w14:textId="15ABB470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0.83 (0.42–1.45)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3828F4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0.53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880DE7" w14:textId="7735F67D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0.70 (0.34–1.30)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68A3B18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</w:tr>
      <w:tr w:rsidR="0014630E" w:rsidRPr="002048F0" w14:paraId="21C542B6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07241C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00FB5F" w14:textId="6C3E1663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1.02 (0.76–1.33)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CB84401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0.87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15A1B3" w14:textId="24EDD345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0.98 (0.68–1.31)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E90081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0.92</w:t>
            </w:r>
          </w:p>
        </w:tc>
      </w:tr>
      <w:tr w:rsidR="0014630E" w:rsidRPr="002048F0" w14:paraId="402F4111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79CFE89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CDD8D02" w14:textId="52CEC8EB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1.05 (0.89–1.22)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776B41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0.56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A7B2D" w14:textId="61FECAD1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1.04 (0.86–1.23)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3429A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0.66</w:t>
            </w:r>
          </w:p>
        </w:tc>
      </w:tr>
      <w:tr w:rsidR="0014630E" w:rsidRPr="002048F0" w14:paraId="3A46B283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FDFFFA4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F5F27F1" w14:textId="06B79FE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1.07 (0.88–1.26)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08C4204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CD3180" w14:textId="4D7E0A94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1.09 (0.89–1.32)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DF0CF2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0.39</w:t>
            </w:r>
          </w:p>
        </w:tc>
      </w:tr>
      <w:tr w:rsidR="0014630E" w:rsidRPr="002048F0" w14:paraId="2E9341F3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453B3068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</w:t>
            </w:r>
            <w:proofErr w:type="spellStart"/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eTreg</w:t>
            </w:r>
            <w:proofErr w:type="spellEnd"/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ABCDBA7" w14:textId="7768A94D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0.95 (0.88–1.02)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0A434F4B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0.13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53459782" w14:textId="0533F180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0.93 (0.84–1.00)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FD236F6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0.06</w:t>
            </w:r>
          </w:p>
        </w:tc>
      </w:tr>
    </w:tbl>
    <w:p w14:paraId="6255E529" w14:textId="77777777" w:rsidR="004F40D6" w:rsidRPr="002048F0" w:rsidRDefault="004F40D6" w:rsidP="00D701D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</w:p>
    <w:p w14:paraId="0C08CA9C" w14:textId="3590513F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sz w:val="20"/>
          <w:szCs w:val="20"/>
        </w:rPr>
        <w:t>(d) OS of the patients with NSCLC</w:t>
      </w:r>
      <w:r w:rsidR="0014630E" w:rsidRPr="002048F0">
        <w:rPr>
          <w:rFonts w:ascii="Times New Roman" w:eastAsia="Times New Roman" w:hAnsi="Times New Roman" w:cs="Times New Roman"/>
          <w:sz w:val="20"/>
          <w:szCs w:val="20"/>
        </w:rPr>
        <w:t>.</w:t>
      </w:r>
    </w:p>
    <w:tbl>
      <w:tblPr>
        <w:tblW w:w="5000" w:type="pct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374"/>
        <w:gridCol w:w="2386"/>
        <w:gridCol w:w="993"/>
        <w:gridCol w:w="2093"/>
        <w:gridCol w:w="992"/>
      </w:tblGrid>
      <w:tr w:rsidR="009E056F" w:rsidRPr="002048F0" w14:paraId="44351DF9" w14:textId="77777777">
        <w:trPr>
          <w:trHeight w:val="379"/>
        </w:trPr>
        <w:tc>
          <w:tcPr>
            <w:tcW w:w="2374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</w:tcPr>
          <w:p w14:paraId="48517194" w14:textId="77777777" w:rsidR="004F40D6" w:rsidRPr="002048F0" w:rsidRDefault="004F40D6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379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777F095D" w14:textId="7777777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Univariable analysis</w:t>
            </w:r>
          </w:p>
        </w:tc>
        <w:tc>
          <w:tcPr>
            <w:tcW w:w="308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F972361" w14:textId="77777777" w:rsidR="004F40D6" w:rsidRPr="002048F0" w:rsidRDefault="00000000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Multivariable analysis</w:t>
            </w:r>
          </w:p>
        </w:tc>
      </w:tr>
      <w:tr w:rsidR="0014630E" w:rsidRPr="002048F0" w14:paraId="76CDDC3A" w14:textId="77777777">
        <w:trPr>
          <w:trHeight w:val="379"/>
        </w:trPr>
        <w:tc>
          <w:tcPr>
            <w:tcW w:w="2374" w:type="dxa"/>
            <w:tcBorders>
              <w:left w:val="nil"/>
              <w:right w:val="nil"/>
            </w:tcBorders>
            <w:shd w:val="clear" w:color="auto" w:fill="auto"/>
          </w:tcPr>
          <w:p w14:paraId="44CBBC36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386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57004CE4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993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vAlign w:val="center"/>
          </w:tcPr>
          <w:p w14:paraId="4192A889" w14:textId="69BB3669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p-</w:t>
            </w:r>
            <w:r w:rsidRPr="002048F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  <w:tc>
          <w:tcPr>
            <w:tcW w:w="209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2586437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HR (95% CI)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40960A9" w14:textId="2DAAFDFF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i/>
                <w:color w:val="000000"/>
                <w:sz w:val="20"/>
                <w:szCs w:val="20"/>
              </w:rPr>
              <w:t>p-</w:t>
            </w:r>
            <w:r w:rsidRPr="002048F0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value</w:t>
            </w:r>
          </w:p>
        </w:tc>
      </w:tr>
      <w:tr w:rsidR="0014630E" w:rsidRPr="002048F0" w14:paraId="71DF0E08" w14:textId="77777777">
        <w:trPr>
          <w:trHeight w:val="379"/>
        </w:trPr>
        <w:tc>
          <w:tcPr>
            <w:tcW w:w="2374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52869D0C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2386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1143B87E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6E097929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7C7A0D5B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000000"/>
              <w:left w:val="nil"/>
              <w:right w:val="nil"/>
            </w:tcBorders>
            <w:shd w:val="clear" w:color="auto" w:fill="auto"/>
            <w:vAlign w:val="center"/>
          </w:tcPr>
          <w:p w14:paraId="715F58D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630E" w:rsidRPr="002048F0" w14:paraId="3E0633DF" w14:textId="77777777">
        <w:trPr>
          <w:trHeight w:val="379"/>
        </w:trPr>
        <w:tc>
          <w:tcPr>
            <w:tcW w:w="2374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A4D75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2386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EA416C" w14:textId="34C47F29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1.27 (0.95–1.69)</w:t>
            </w:r>
          </w:p>
        </w:tc>
        <w:tc>
          <w:tcPr>
            <w:tcW w:w="99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DC7D6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0.28</w:t>
            </w:r>
          </w:p>
        </w:tc>
        <w:tc>
          <w:tcPr>
            <w:tcW w:w="2093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C31ECD" w14:textId="714F228E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1.33 (0.98–1.87)</w:t>
            </w:r>
          </w:p>
        </w:tc>
        <w:tc>
          <w:tcPr>
            <w:tcW w:w="992" w:type="dxa"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0815E29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0.24</w:t>
            </w:r>
          </w:p>
        </w:tc>
      </w:tr>
      <w:tr w:rsidR="0014630E" w:rsidRPr="002048F0" w14:paraId="3C50FDCE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F00B7D9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999BE66" w14:textId="03ED998D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1.32 (1.11–1.64)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A1C3C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89E0B9" w14:textId="4D28625B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1.32 (1.10–1.67)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7ED228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</w:t>
            </w:r>
          </w:p>
        </w:tc>
      </w:tr>
      <w:tr w:rsidR="0014630E" w:rsidRPr="002048F0" w14:paraId="6B794825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A25A74C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8FD1D1" w14:textId="21521660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2.02 (1.36–3.92)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5713C81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2B0B30" w14:textId="65312821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1.99 (1.35–3.93)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259009C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&lt; 0.01</w:t>
            </w:r>
          </w:p>
        </w:tc>
      </w:tr>
      <w:tr w:rsidR="0014630E" w:rsidRPr="002048F0" w14:paraId="7503CB26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6D1ADBA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PB-CD8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027CD4" w14:textId="29DD703A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1.40 (1.05–2.30)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B7BBD1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510E5CE" w14:textId="2F272CAD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1.43 (1.06–2.51)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44CE541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14630E" w:rsidRPr="002048F0" w14:paraId="1C808FE0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955728" w14:textId="77777777" w:rsidR="0014630E" w:rsidRPr="002048F0" w:rsidRDefault="0014630E" w:rsidP="0014630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3D782A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237CCE8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1BCBE78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E3C16E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14630E" w:rsidRPr="002048F0" w14:paraId="5D9BEA10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1C41F8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N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1B8668" w14:textId="0CE9A6E4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0.83 (0.42–1.45)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9003046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48EE3C" w14:textId="7AB43B96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0.70 (0.34–1.30)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3E8309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0.07</w:t>
            </w:r>
          </w:p>
        </w:tc>
      </w:tr>
      <w:tr w:rsidR="0014630E" w:rsidRPr="002048F0" w14:paraId="64B1C29C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16F5B47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CM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80D891C" w14:textId="6F5EE39F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1.02 (0.76–1.33)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51DA99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3C2135" w14:textId="264F4DF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0.98 (0.68–1.31)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AD2D13C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0.33</w:t>
            </w:r>
          </w:p>
        </w:tc>
      </w:tr>
      <w:tr w:rsidR="0014630E" w:rsidRPr="002048F0" w14:paraId="027267FF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83D662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C41CCE" w14:textId="4B6EB24E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1.05 (0.89–1.22)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91F55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0.18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67CB5CF" w14:textId="70BB2F4D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1.04 (0.86–1.23)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957A570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0.20</w:t>
            </w:r>
          </w:p>
        </w:tc>
      </w:tr>
      <w:tr w:rsidR="0014630E" w:rsidRPr="002048F0" w14:paraId="5BBC8524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A0C5EDA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PB-CD4</w:t>
            </w: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T</w:t>
            </w: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EMRA</w:t>
            </w:r>
          </w:p>
        </w:tc>
        <w:tc>
          <w:tcPr>
            <w:tcW w:w="2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9FBA66" w14:textId="58129C6D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1.07 (0.88–1.26)</w:t>
            </w:r>
          </w:p>
        </w:tc>
        <w:tc>
          <w:tcPr>
            <w:tcW w:w="9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EA682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0.49</w:t>
            </w:r>
          </w:p>
        </w:tc>
        <w:tc>
          <w:tcPr>
            <w:tcW w:w="20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069FB2" w14:textId="5D07DA63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1.09 (0.89–1.32)</w:t>
            </w:r>
          </w:p>
        </w:tc>
        <w:tc>
          <w:tcPr>
            <w:tcW w:w="9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F293AAB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0.46</w:t>
            </w:r>
          </w:p>
        </w:tc>
      </w:tr>
      <w:tr w:rsidR="0014630E" w:rsidRPr="002048F0" w14:paraId="51624536" w14:textId="77777777">
        <w:trPr>
          <w:trHeight w:val="379"/>
        </w:trPr>
        <w:tc>
          <w:tcPr>
            <w:tcW w:w="2374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6A4C99CE" w14:textId="77777777" w:rsidR="0014630E" w:rsidRPr="002048F0" w:rsidRDefault="0014630E" w:rsidP="0014630E">
            <w:pPr>
              <w:spacing w:after="0" w:line="240" w:lineRule="auto"/>
              <w:ind w:firstLine="22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PB-</w:t>
            </w:r>
            <w:proofErr w:type="spellStart"/>
            <w:r w:rsidRPr="002048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eTreg</w:t>
            </w:r>
            <w:proofErr w:type="spellEnd"/>
          </w:p>
        </w:tc>
        <w:tc>
          <w:tcPr>
            <w:tcW w:w="2386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7B56AFA" w14:textId="1151EB2C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0.95 (0.88–1.02)</w:t>
            </w:r>
          </w:p>
        </w:tc>
        <w:tc>
          <w:tcPr>
            <w:tcW w:w="9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25D5A4F4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0.29</w:t>
            </w:r>
          </w:p>
        </w:tc>
        <w:tc>
          <w:tcPr>
            <w:tcW w:w="209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025FDF5" w14:textId="0EB7BD58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0.93 (0.84–1.00)</w:t>
            </w:r>
          </w:p>
        </w:tc>
        <w:tc>
          <w:tcPr>
            <w:tcW w:w="99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vAlign w:val="center"/>
          </w:tcPr>
          <w:p w14:paraId="1C8C6743" w14:textId="77777777" w:rsidR="0014630E" w:rsidRPr="002048F0" w:rsidRDefault="0014630E" w:rsidP="0014630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2048F0">
              <w:rPr>
                <w:rFonts w:ascii="Times New Roman" w:eastAsia="Times New Roman" w:hAnsi="Times New Roman" w:cs="Times New Roman"/>
                <w:sz w:val="20"/>
                <w:szCs w:val="20"/>
              </w:rPr>
              <w:t>0.19</w:t>
            </w:r>
          </w:p>
        </w:tc>
      </w:tr>
    </w:tbl>
    <w:p w14:paraId="42061A95" w14:textId="77777777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sz w:val="20"/>
          <w:szCs w:val="20"/>
        </w:rPr>
        <w:t xml:space="preserve">The 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hazard ratio in </w:t>
      </w:r>
      <w:r w:rsidRPr="002048F0">
        <w:rPr>
          <w:rFonts w:ascii="Times New Roman" w:eastAsia="Times New Roman" w:hAnsi="Times New Roman" w:cs="Times New Roman"/>
          <w:sz w:val="20"/>
          <w:szCs w:val="20"/>
        </w:rPr>
        <w:t>multivariable analysis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was adjusted for the total lymphocyte count.</w:t>
      </w:r>
    </w:p>
    <w:p w14:paraId="7F36AA87" w14:textId="420D6911" w:rsidR="004F40D6" w:rsidRPr="002048F0" w:rsidRDefault="00000000" w:rsidP="00D701D4">
      <w:pPr>
        <w:spacing w:line="240" w:lineRule="auto"/>
        <w:rPr>
          <w:rFonts w:ascii="Times New Roman" w:eastAsia="Times New Roman" w:hAnsi="Times New Roman" w:cs="Times New Roman"/>
          <w:sz w:val="20"/>
          <w:szCs w:val="20"/>
        </w:rPr>
      </w:pPr>
      <w:r w:rsidRPr="002048F0">
        <w:rPr>
          <w:rFonts w:ascii="Times New Roman" w:eastAsia="Times New Roman" w:hAnsi="Times New Roman" w:cs="Times New Roman"/>
          <w:sz w:val="20"/>
          <w:szCs w:val="20"/>
        </w:rPr>
        <w:t xml:space="preserve">PFS, progression-free survival; OS, overall survival; HR, hazard ratio; CI, confidence interval; PB, pembrolizumab-bound; 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N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naïve memory T cell; 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CM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central memory T cell; 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EM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effector memory T cell; 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lastRenderedPageBreak/>
        <w:t>T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  <w:vertAlign w:val="subscript"/>
        </w:rPr>
        <w:t>EMRA</w:t>
      </w:r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, terminally differentiated effector memory T cell re-expressing CD45RA; </w:t>
      </w:r>
      <w:proofErr w:type="spellStart"/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eTreg</w:t>
      </w:r>
      <w:proofErr w:type="spellEnd"/>
      <w:r w:rsidRPr="002048F0">
        <w:rPr>
          <w:rFonts w:ascii="Times New Roman" w:eastAsia="Times New Roman" w:hAnsi="Times New Roman" w:cs="Times New Roman"/>
          <w:color w:val="000000"/>
          <w:sz w:val="20"/>
          <w:szCs w:val="20"/>
        </w:rPr>
        <w:t>, effector regulatory T cell.</w:t>
      </w:r>
    </w:p>
    <w:sectPr w:rsidR="004F40D6" w:rsidRPr="002048F0" w:rsidSect="002048F0">
      <w:headerReference w:type="default" r:id="rId13"/>
      <w:footerReference w:type="default" r:id="rId14"/>
      <w:pgSz w:w="12240" w:h="15840"/>
      <w:pgMar w:top="1985" w:right="1701" w:bottom="1701" w:left="1701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793DF7" w14:textId="77777777" w:rsidR="00282706" w:rsidRDefault="00282706">
      <w:pPr>
        <w:spacing w:after="0" w:line="240" w:lineRule="auto"/>
      </w:pPr>
      <w:r>
        <w:separator/>
      </w:r>
    </w:p>
  </w:endnote>
  <w:endnote w:type="continuationSeparator" w:id="0">
    <w:p w14:paraId="3F8D34A1" w14:textId="77777777" w:rsidR="00282706" w:rsidRDefault="0028270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ＭＳ 明朝">
    <w:altName w:val="MS Mincho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altName w:val="MS PGothic"/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60752107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  <w:sz w:val="24"/>
        <w:szCs w:val="24"/>
      </w:rPr>
    </w:sdtEndPr>
    <w:sdtContent>
      <w:p w14:paraId="1716651D" w14:textId="61DEC66E" w:rsidR="00D462DF" w:rsidRPr="009117BF" w:rsidRDefault="00000000">
        <w:pPr>
          <w:pStyle w:val="a8"/>
          <w:jc w:val="right"/>
          <w:rPr>
            <w:rFonts w:ascii="Times New Roman" w:hAnsi="Times New Roman" w:cs="Times New Roman"/>
            <w:sz w:val="24"/>
            <w:szCs w:val="24"/>
          </w:rPr>
        </w:pPr>
        <w:r w:rsidRPr="009117BF">
          <w:rPr>
            <w:rFonts w:ascii="Times New Roman" w:hAnsi="Times New Roman" w:cs="Times New Roman"/>
            <w:sz w:val="24"/>
            <w:szCs w:val="24"/>
          </w:rPr>
          <w:fldChar w:fldCharType="begin"/>
        </w:r>
        <w:r w:rsidRPr="009117BF">
          <w:rPr>
            <w:rFonts w:ascii="Times New Roman" w:hAnsi="Times New Roman" w:cs="Times New Roman"/>
            <w:sz w:val="24"/>
            <w:szCs w:val="24"/>
          </w:rPr>
          <w:instrText xml:space="preserve"> PAGE   \* MERGEFORMAT </w:instrText>
        </w:r>
        <w:r w:rsidRPr="009117BF">
          <w:rPr>
            <w:rFonts w:ascii="Times New Roman" w:hAnsi="Times New Roman" w:cs="Times New Roman"/>
            <w:sz w:val="24"/>
            <w:szCs w:val="24"/>
          </w:rPr>
          <w:fldChar w:fldCharType="separate"/>
        </w:r>
        <w:r w:rsidRPr="009117BF">
          <w:rPr>
            <w:rFonts w:ascii="Times New Roman" w:hAnsi="Times New Roman" w:cs="Times New Roman"/>
            <w:noProof/>
            <w:sz w:val="24"/>
            <w:szCs w:val="24"/>
          </w:rPr>
          <w:t>2</w:t>
        </w:r>
        <w:r w:rsidRPr="009117BF">
          <w:rPr>
            <w:rFonts w:ascii="Times New Roman" w:hAnsi="Times New Roman" w:cs="Times New Roman"/>
            <w:noProof/>
            <w:sz w:val="24"/>
            <w:szCs w:val="24"/>
          </w:rPr>
          <w:fldChar w:fldCharType="end"/>
        </w:r>
      </w:p>
    </w:sdtContent>
  </w:sdt>
  <w:p w14:paraId="2B5D4511" w14:textId="77777777" w:rsidR="00D462DF" w:rsidRDefault="00D462DF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622036E" w14:textId="77777777" w:rsidR="00282706" w:rsidRDefault="00282706">
      <w:pPr>
        <w:spacing w:after="0" w:line="240" w:lineRule="auto"/>
      </w:pPr>
      <w:r>
        <w:separator/>
      </w:r>
    </w:p>
  </w:footnote>
  <w:footnote w:type="continuationSeparator" w:id="0">
    <w:p w14:paraId="4AD27555" w14:textId="77777777" w:rsidR="00282706" w:rsidRDefault="0028270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ECBF4D" w14:textId="2ED48B97" w:rsidR="004F40D6" w:rsidRDefault="004F40D6">
    <w:pPr>
      <w:pStyle w:val="a7"/>
      <w:jc w:val="right"/>
      <w:rPr>
        <w:rFonts w:ascii="Calibri" w:eastAsia="Calibri" w:hAnsi="Calibri" w:cs="Calibri"/>
      </w:rPr>
    </w:pPr>
  </w:p>
  <w:p w14:paraId="4173BB6C" w14:textId="77777777" w:rsidR="004F40D6" w:rsidRDefault="004F40D6">
    <w:pPr>
      <w:pStyle w:val="a7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113A8A"/>
    <w:multiLevelType w:val="multilevel"/>
    <w:tmpl w:val="F9DAED32"/>
    <w:lvl w:ilvl="0">
      <w:start w:val="1"/>
      <w:numFmt w:val="decimal"/>
      <w:lvlText w:val="%1."/>
      <w:lvlJc w:val="left"/>
      <w:pPr>
        <w:ind w:left="720" w:hanging="360"/>
      </w:p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4322416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bordersDoNotSurroundHeader/>
  <w:bordersDoNotSurroundFooter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F40D6"/>
    <w:rsid w:val="00013BF5"/>
    <w:rsid w:val="00033731"/>
    <w:rsid w:val="000602AE"/>
    <w:rsid w:val="00082433"/>
    <w:rsid w:val="000B2387"/>
    <w:rsid w:val="000B31D9"/>
    <w:rsid w:val="0014630E"/>
    <w:rsid w:val="00172D3C"/>
    <w:rsid w:val="001A6EB0"/>
    <w:rsid w:val="002048F0"/>
    <w:rsid w:val="00207FED"/>
    <w:rsid w:val="00250483"/>
    <w:rsid w:val="00264C24"/>
    <w:rsid w:val="00265786"/>
    <w:rsid w:val="00282706"/>
    <w:rsid w:val="00292C78"/>
    <w:rsid w:val="002B040E"/>
    <w:rsid w:val="002C573D"/>
    <w:rsid w:val="003874A7"/>
    <w:rsid w:val="003A2966"/>
    <w:rsid w:val="0047054F"/>
    <w:rsid w:val="004F40D6"/>
    <w:rsid w:val="005A120F"/>
    <w:rsid w:val="005A5262"/>
    <w:rsid w:val="0060436F"/>
    <w:rsid w:val="00677CE4"/>
    <w:rsid w:val="006B19EC"/>
    <w:rsid w:val="006C4CBF"/>
    <w:rsid w:val="006E45FC"/>
    <w:rsid w:val="00717AD7"/>
    <w:rsid w:val="00772CB8"/>
    <w:rsid w:val="00800D2D"/>
    <w:rsid w:val="00804824"/>
    <w:rsid w:val="00817CEB"/>
    <w:rsid w:val="008F75B7"/>
    <w:rsid w:val="009117BF"/>
    <w:rsid w:val="009956EF"/>
    <w:rsid w:val="009E056F"/>
    <w:rsid w:val="009E5946"/>
    <w:rsid w:val="009F4D4D"/>
    <w:rsid w:val="00A01134"/>
    <w:rsid w:val="00A067A0"/>
    <w:rsid w:val="00A15913"/>
    <w:rsid w:val="00AB2172"/>
    <w:rsid w:val="00AC1268"/>
    <w:rsid w:val="00B27633"/>
    <w:rsid w:val="00B86941"/>
    <w:rsid w:val="00BA1978"/>
    <w:rsid w:val="00BB3533"/>
    <w:rsid w:val="00BB7E50"/>
    <w:rsid w:val="00BF230D"/>
    <w:rsid w:val="00C06B57"/>
    <w:rsid w:val="00C97309"/>
    <w:rsid w:val="00CA7101"/>
    <w:rsid w:val="00CA714E"/>
    <w:rsid w:val="00D462DF"/>
    <w:rsid w:val="00D701D4"/>
    <w:rsid w:val="00DD007E"/>
    <w:rsid w:val="00DF01DA"/>
    <w:rsid w:val="00E42695"/>
    <w:rsid w:val="00EC4738"/>
    <w:rsid w:val="00EF1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7576E6C"/>
  <w15:docId w15:val="{667CF925-9A82-4662-92FD-87E45EC4DA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ja-JP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header"/>
    <w:basedOn w:val="a"/>
    <w:pPr>
      <w:tabs>
        <w:tab w:val="center" w:pos="4419"/>
        <w:tab w:val="right" w:pos="8838"/>
      </w:tabs>
      <w:spacing w:after="0" w:line="240" w:lineRule="auto"/>
    </w:pPr>
  </w:style>
  <w:style w:type="paragraph" w:styleId="a8">
    <w:name w:val="footer"/>
    <w:basedOn w:val="a"/>
    <w:link w:val="a9"/>
    <w:uiPriority w:val="99"/>
    <w:pPr>
      <w:tabs>
        <w:tab w:val="center" w:pos="4419"/>
        <w:tab w:val="right" w:pos="8838"/>
      </w:tabs>
      <w:spacing w:after="0" w:line="240" w:lineRule="auto"/>
    </w:pPr>
  </w:style>
  <w:style w:type="paragraph" w:styleId="aa">
    <w:name w:val="List Paragraph"/>
    <w:basedOn w:val="a"/>
    <w:pPr>
      <w:ind w:left="720"/>
      <w:contextualSpacing/>
    </w:pPr>
  </w:style>
  <w:style w:type="character" w:styleId="ab">
    <w:name w:val="Emphasis"/>
    <w:basedOn w:val="a0"/>
    <w:qFormat/>
    <w:rPr>
      <w:i/>
    </w:rPr>
  </w:style>
  <w:style w:type="paragraph" w:styleId="Web">
    <w:name w:val="Normal (Web)"/>
    <w:basedOn w:val="a"/>
    <w:qFormat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</w:rPr>
  </w:style>
  <w:style w:type="character" w:styleId="ac">
    <w:name w:val="Strong"/>
    <w:basedOn w:val="a0"/>
    <w:qFormat/>
    <w:rPr>
      <w:b/>
    </w:rPr>
  </w:style>
  <w:style w:type="character" w:styleId="ad">
    <w:name w:val="Hyperlink"/>
    <w:basedOn w:val="a0"/>
    <w:rPr>
      <w:color w:val="0000FF"/>
      <w:u w:val="single"/>
    </w:rPr>
  </w:style>
  <w:style w:type="character" w:styleId="ae">
    <w:name w:val="Unresolved Mention"/>
    <w:basedOn w:val="a0"/>
    <w:rPr>
      <w:color w:val="605E5C"/>
    </w:rPr>
  </w:style>
  <w:style w:type="paragraph" w:styleId="af">
    <w:name w:val="annotation text"/>
    <w:basedOn w:val="a"/>
    <w:pPr>
      <w:spacing w:after="0"/>
    </w:pPr>
    <w:rPr>
      <w:rFonts w:ascii="Calibri" w:eastAsia="Calibri" w:hAnsi="Calibri" w:cs="Calibri"/>
      <w:sz w:val="20"/>
    </w:rPr>
  </w:style>
  <w:style w:type="paragraph" w:styleId="af0">
    <w:name w:val="annotation subject"/>
    <w:basedOn w:val="af"/>
    <w:rPr>
      <w:b/>
    </w:rPr>
  </w:style>
  <w:style w:type="paragraph" w:styleId="af1">
    <w:name w:val="Revision"/>
    <w:pPr>
      <w:spacing w:after="0" w:line="240" w:lineRule="auto"/>
    </w:pPr>
  </w:style>
  <w:style w:type="character" w:styleId="af2">
    <w:name w:val="line number"/>
    <w:basedOn w:val="a0"/>
    <w:rsid w:val="00D462DF"/>
    <w:rPr>
      <w:rFonts w:ascii="Times New Roman" w:hAnsi="Times New Roman"/>
      <w:sz w:val="24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</w:rPr>
  </w:style>
  <w:style w:type="paragraph" w:styleId="af3">
    <w:name w:val="caption"/>
    <w:basedOn w:val="a"/>
    <w:pPr>
      <w:shd w:val="clear" w:color="auto" w:fill="FFF5ED"/>
      <w:spacing w:before="240" w:line="349" w:lineRule="auto"/>
      <w:jc w:val="both"/>
    </w:pPr>
    <w:rPr>
      <w:rFonts w:ascii="Calibri" w:eastAsia="Calibri" w:hAnsi="Calibri" w:cs="Calibri"/>
      <w:shd w:val="clear" w:color="auto" w:fill="FFF5ED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</w:rPr>
  </w:style>
  <w:style w:type="paragraph" w:styleId="af4">
    <w:name w:val="Subtitle"/>
    <w:basedOn w:val="a"/>
    <w:qFormat/>
    <w:pPr>
      <w:spacing w:after="160" w:line="208" w:lineRule="auto"/>
    </w:pPr>
    <w:rPr>
      <w:rFonts w:ascii="Calibri" w:eastAsia="Calibri" w:hAnsi="Calibri" w:cs="Calibri"/>
      <w:sz w:val="38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</w:pPr>
    <w:rPr>
      <w:rFonts w:ascii="Calibri" w:eastAsia="Calibri" w:hAnsi="Calibri" w:cs="Calibri"/>
      <w:shd w:val="clear" w:color="auto" w:fill="FFF5ED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TableHead">
    <w:name w:val="Table Head"/>
    <w:basedOn w:val="a"/>
    <w:pPr>
      <w:shd w:val="clear" w:color="auto" w:fill="FFEDFA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customStyle="1" w:styleId="Keywords">
    <w:name w:val="Keywords"/>
    <w:basedOn w:val="a"/>
    <w:pPr>
      <w:spacing w:line="396" w:lineRule="auto"/>
      <w:ind w:left="1000"/>
    </w:pPr>
    <w:rPr>
      <w:rFonts w:ascii="Calibri" w:eastAsia="Calibri" w:hAnsi="Calibri" w:cs="Calibri"/>
      <w:sz w:val="20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styleId="af5">
    <w:name w:val="endnote text"/>
    <w:basedOn w:val="a"/>
    <w:rPr>
      <w:rFonts w:ascii="Calibri" w:eastAsia="Calibri" w:hAnsi="Calibri" w:cs="Calibri"/>
    </w:rPr>
  </w:style>
  <w:style w:type="character" w:customStyle="1" w:styleId="Location">
    <w:name w:val="Location"/>
    <w:basedOn w:val="a0"/>
    <w:rPr>
      <w:shd w:val="clear" w:color="auto" w:fill="F9EDFF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GivenName">
    <w:name w:val="Given Name"/>
    <w:basedOn w:val="a0"/>
    <w:rPr>
      <w:shd w:val="clear" w:color="auto" w:fill="D0FCE2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character" w:customStyle="1" w:styleId="Publisher">
    <w:name w:val="Publisher"/>
    <w:basedOn w:val="a0"/>
    <w:rPr>
      <w:shd w:val="clear" w:color="auto" w:fill="F2DDFF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</w:style>
  <w:style w:type="paragraph" w:styleId="20">
    <w:name w:val="List 2"/>
    <w:basedOn w:val="a"/>
    <w:pPr>
      <w:spacing w:line="360" w:lineRule="auto"/>
      <w:ind w:left="800" w:hanging="400"/>
      <w:jc w:val="both"/>
    </w:pPr>
    <w:rPr>
      <w:rFonts w:ascii="Calibri" w:eastAsia="Calibri" w:hAnsi="Calibri" w:cs="Calibri"/>
    </w:rPr>
  </w:style>
  <w:style w:type="paragraph" w:customStyle="1" w:styleId="Quotation">
    <w:name w:val="Quotation"/>
    <w:basedOn w:val="a"/>
    <w:pPr>
      <w:spacing w:after="160" w:line="360" w:lineRule="auto"/>
      <w:ind w:left="1200" w:right="1200"/>
      <w:jc w:val="both"/>
    </w:pPr>
    <w:rPr>
      <w:rFonts w:ascii="Calibri" w:eastAsia="Calibri" w:hAnsi="Calibri" w:cs="Calibri"/>
    </w:rPr>
  </w:style>
  <w:style w:type="paragraph" w:customStyle="1" w:styleId="Abstract">
    <w:name w:val="Abstract"/>
    <w:basedOn w:val="a"/>
    <w:pPr>
      <w:spacing w:after="160" w:line="360" w:lineRule="auto"/>
      <w:ind w:left="1440" w:right="1440"/>
      <w:jc w:val="both"/>
    </w:pPr>
    <w:rPr>
      <w:rFonts w:ascii="Calibri" w:eastAsia="Calibri" w:hAnsi="Calibri" w:cs="Calibri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Postcode">
    <w:name w:val="Postcode"/>
    <w:basedOn w:val="a0"/>
    <w:rPr>
      <w:shd w:val="clear" w:color="auto" w:fill="BEBEBE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styleId="af6">
    <w:name w:val="Balloon Text"/>
    <w:basedOn w:val="a"/>
    <w:rPr>
      <w:rFonts w:ascii="Calibri" w:eastAsia="Calibri" w:hAnsi="Calibri" w:cs="Calibri"/>
      <w:color w:val="000000"/>
      <w:sz w:val="16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customStyle="1" w:styleId="TableBody">
    <w:name w:val="Table Body"/>
    <w:basedOn w:val="a"/>
    <w:pPr>
      <w:spacing w:after="160" w:line="396" w:lineRule="auto"/>
    </w:pPr>
    <w:rPr>
      <w:rFonts w:ascii="Calibri" w:eastAsia="Calibri" w:hAnsi="Calibri" w:cs="Calibri"/>
      <w:sz w:val="20"/>
    </w:rPr>
  </w:style>
  <w:style w:type="paragraph" w:customStyle="1" w:styleId="TableHeadSpan">
    <w:name w:val="Table Head Span"/>
    <w:basedOn w:val="a"/>
    <w:pPr>
      <w:shd w:val="clear" w:color="auto" w:fill="FFEDFA"/>
    </w:pPr>
    <w:rPr>
      <w:rFonts w:ascii="Calibri" w:eastAsia="Calibri" w:hAnsi="Calibri" w:cs="Calibri"/>
      <w:shd w:val="clear" w:color="auto" w:fill="FFEDFA"/>
    </w:rPr>
  </w:style>
  <w:style w:type="paragraph" w:customStyle="1" w:styleId="TableList">
    <w:name w:val="Table List"/>
    <w:basedOn w:val="a"/>
    <w:pPr>
      <w:ind w:left="300" w:hanging="300"/>
    </w:pPr>
    <w:rPr>
      <w:rFonts w:ascii="Calibri" w:eastAsia="Calibri" w:hAnsi="Calibri" w:cs="Calibri"/>
      <w:sz w:val="20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Surtitle">
    <w:name w:val="Surtitle"/>
    <w:basedOn w:val="a"/>
    <w:qFormat/>
    <w:pPr>
      <w:spacing w:after="160" w:line="208" w:lineRule="auto"/>
    </w:pPr>
    <w:rPr>
      <w:rFonts w:ascii="Calibri" w:eastAsia="Calibri" w:hAnsi="Calibri" w:cs="Calibri"/>
      <w:sz w:val="38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paragraph" w:styleId="af7">
    <w:name w:val="Normal Indent"/>
    <w:basedOn w:val="a"/>
    <w:qFormat/>
    <w:pPr>
      <w:ind w:firstLine="480"/>
    </w:pPr>
  </w:style>
  <w:style w:type="paragraph" w:customStyle="1" w:styleId="Authors">
    <w:name w:val="Authors"/>
    <w:basedOn w:val="a"/>
    <w:pPr>
      <w:spacing w:before="360" w:after="120" w:line="283" w:lineRule="auto"/>
    </w:pPr>
    <w:rPr>
      <w:rFonts w:ascii="Calibri" w:eastAsia="Calibri" w:hAnsi="Calibri" w:cs="Calibri"/>
      <w:sz w:val="2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styleId="af8">
    <w:name w:val="Block Text"/>
    <w:basedOn w:val="a"/>
    <w:pPr>
      <w:spacing w:after="160" w:line="360" w:lineRule="auto"/>
      <w:ind w:left="1200"/>
    </w:pPr>
    <w:rPr>
      <w:rFonts w:ascii="Calibri" w:eastAsia="Calibri" w:hAnsi="Calibri" w:cs="Calibri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paragraph" w:customStyle="1" w:styleId="Biography">
    <w:name w:val="Biography"/>
    <w:basedOn w:val="a"/>
    <w:pPr>
      <w:shd w:val="clear" w:color="auto" w:fill="EEFEF4"/>
      <w:spacing w:after="160"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af9">
    <w:name w:val="List"/>
    <w:basedOn w:val="a"/>
    <w:pPr>
      <w:spacing w:line="360" w:lineRule="auto"/>
      <w:ind w:left="400" w:hanging="400"/>
      <w:jc w:val="both"/>
    </w:pPr>
    <w:rPr>
      <w:rFonts w:ascii="Calibri" w:eastAsia="Calibri" w:hAnsi="Calibri" w:cs="Calibri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styleId="afa">
    <w:name w:val="footnote text"/>
    <w:basedOn w:val="a"/>
    <w:rPr>
      <w:rFonts w:ascii="Calibri" w:eastAsia="Calibri" w:hAnsi="Calibri" w:cs="Calibri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styleId="30">
    <w:name w:val="List 3"/>
    <w:basedOn w:val="a"/>
    <w:pPr>
      <w:spacing w:line="360" w:lineRule="auto"/>
      <w:ind w:left="1200" w:hanging="400"/>
      <w:jc w:val="both"/>
    </w:pPr>
    <w:rPr>
      <w:rFonts w:ascii="Calibri" w:eastAsia="Calibri" w:hAnsi="Calibri" w:cs="Calibri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</w:pPr>
    <w:rPr>
      <w:rFonts w:ascii="Calibri" w:eastAsia="Calibri" w:hAnsi="Calibri" w:cs="Calibri"/>
      <w:sz w:val="20"/>
      <w:shd w:val="clear" w:color="auto" w:fill="F4FFED"/>
    </w:rPr>
  </w:style>
  <w:style w:type="paragraph" w:customStyle="1" w:styleId="Annotation">
    <w:name w:val="Annotation"/>
    <w:basedOn w:val="a"/>
    <w:pPr>
      <w:spacing w:after="160" w:line="360" w:lineRule="auto"/>
      <w:ind w:left="400"/>
    </w:pPr>
    <w:rPr>
      <w:rFonts w:ascii="Calibri" w:eastAsia="Calibri" w:hAnsi="Calibri" w:cs="Calibri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</w:rPr>
  </w:style>
  <w:style w:type="paragraph" w:customStyle="1" w:styleId="Acknowledgements">
    <w:name w:val="Acknowledgements"/>
    <w:basedOn w:val="a"/>
    <w:pPr>
      <w:shd w:val="clear" w:color="auto" w:fill="F9EDFF"/>
      <w:spacing w:after="160" w:line="396" w:lineRule="auto"/>
      <w:jc w:val="both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Heading">
    <w:name w:val="Heading:"/>
    <w:basedOn w:val="a0"/>
    <w:rPr>
      <w:color w:val="5B89C1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  <w:jc w:val="both"/>
    </w:pPr>
    <w:rPr>
      <w:rFonts w:ascii="Calibri" w:eastAsia="Calibri" w:hAnsi="Calibri" w:cs="Calibri"/>
    </w:rPr>
  </w:style>
  <w:style w:type="paragraph" w:customStyle="1" w:styleId="List1">
    <w:name w:val="List 1"/>
    <w:basedOn w:val="a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paragraph" w:customStyle="1" w:styleId="List9">
    <w:name w:val="List 9"/>
    <w:basedOn w:val="a"/>
    <w:pPr>
      <w:ind w:left="1200" w:hanging="600"/>
      <w:jc w:val="both"/>
    </w:pPr>
    <w:rPr>
      <w:rFonts w:ascii="Times New Roman" w:eastAsia="Times New Roman" w:hAnsi="Times New Roman" w:cs="Times New Roman"/>
    </w:rPr>
  </w:style>
  <w:style w:type="character" w:customStyle="1" w:styleId="a9">
    <w:name w:val="フッター (文字)"/>
    <w:basedOn w:val="a0"/>
    <w:link w:val="a8"/>
    <w:uiPriority w:val="99"/>
    <w:rsid w:val="00D462D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kyoshim1@med.showa-u.ac.jp" TargetMode="External"/><Relationship Id="rId12" Type="http://schemas.openxmlformats.org/officeDocument/2006/relationships/image" Target="media/image5.emf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emf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3.emf"/><Relationship Id="rId4" Type="http://schemas.openxmlformats.org/officeDocument/2006/relationships/webSettings" Target="webSettings.xml"/><Relationship Id="rId9" Type="http://schemas.openxmlformats.org/officeDocument/2006/relationships/image" Target="media/image2.emf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14</Pages>
  <Words>1750</Words>
  <Characters>9979</Characters>
  <Application>Microsoft Office Word</Application>
  <DocSecurity>0</DocSecurity>
  <Lines>83</Lines>
  <Paragraphs>23</Paragraphs>
  <ScaleCrop>false</ScaleCrop>
  <Company/>
  <LinksUpToDate>false</LinksUpToDate>
  <CharactersWithSpaces>11706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Toshiaki Tsurui</cp:lastModifiedBy>
  <cp:revision>45</cp:revision>
  <dcterms:created xsi:type="dcterms:W3CDTF">2024-09-19T13:21:00Z</dcterms:created>
  <dcterms:modified xsi:type="dcterms:W3CDTF">2024-10-17T14:33:00Z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rops -Original extension">
    <vt:lpwstr>docx</vt:lpwstr>
  </property>
  <property fmtid="{D5CDD505-2E9C-101B-9397-08002B2CF9AE}" pid="7" name="Merops change count">
    <vt:lpwstr>0</vt:lpwstr>
  </property>
  <property fmtid="{D5CDD505-2E9C-101B-9397-08002B2CF9AE}" pid="8" name="Merops client version">
    <vt:lpwstr/>
  </property>
  <property fmtid="{D5CDD505-2E9C-101B-9397-08002B2CF9AE}" pid="9" name="Merops comment count">
    <vt:lpwstr>0</vt:lpwstr>
  </property>
  <property fmtid="{D5CDD505-2E9C-101B-9397-08002B2CF9AE}" pid="10" name="Merops DOI links count">
    <vt:lpwstr>0</vt:lpwstr>
  </property>
  <property fmtid="{D5CDD505-2E9C-101B-9397-08002B2CF9AE}" pid="11" name="Merops email addresses count">
    <vt:lpwstr>0</vt:lpwstr>
  </property>
  <property fmtid="{D5CDD505-2E9C-101B-9397-08002B2CF9AE}" pid="12" name="Merops figures count">
    <vt:lpwstr>0</vt:lpwstr>
  </property>
  <property fmtid="{D5CDD505-2E9C-101B-9397-08002B2CF9AE}" pid="13" name="Merops footnotes/endnotes count">
    <vt:lpwstr>0</vt:lpwstr>
  </property>
  <property fmtid="{D5CDD505-2E9C-101B-9397-08002B2CF9AE}" pid="14" name="Merops graphics count">
    <vt:lpwstr>0</vt:lpwstr>
  </property>
  <property fmtid="{D5CDD505-2E9C-101B-9397-08002B2CF9AE}" pid="15" name="Merops input file path">
    <vt:lpwstr>c090c561-d74f-43d4-ad8a-df3054f85146.docx</vt:lpwstr>
  </property>
  <property fmtid="{D5CDD505-2E9C-101B-9397-08002B2CF9AE}" pid="16" name="Merops intra-document links count">
    <vt:lpwstr>0</vt:lpwstr>
  </property>
  <property fmtid="{D5CDD505-2E9C-101B-9397-08002B2CF9AE}" pid="17" name="Merops item path">
    <vt:lpwstr>MG-Session/On-20240919/I:f5996f88-f383-45e5-b7b1-021f47075e4e</vt:lpwstr>
  </property>
  <property fmtid="{D5CDD505-2E9C-101B-9397-08002B2CF9AE}" pid="18" name="Merops processed date">
    <vt:lpwstr>2024/09/19 10:23:15 AM</vt:lpwstr>
  </property>
  <property fmtid="{D5CDD505-2E9C-101B-9397-08002B2CF9AE}" pid="19" name="Merops PubMed links count">
    <vt:lpwstr>0</vt:lpwstr>
  </property>
  <property fmtid="{D5CDD505-2E9C-101B-9397-08002B2CF9AE}" pid="20" name="Merops references count">
    <vt:lpwstr>0</vt:lpwstr>
  </property>
  <property fmtid="{D5CDD505-2E9C-101B-9397-08002B2CF9AE}" pid="21" name="Merops Scopus links count">
    <vt:lpwstr>0</vt:lpwstr>
  </property>
  <property fmtid="{D5CDD505-2E9C-101B-9397-08002B2CF9AE}" pid="22" name="Merops server path">
    <vt:lpwstr/>
  </property>
  <property fmtid="{D5CDD505-2E9C-101B-9397-08002B2CF9AE}" pid="23" name="Merops Standard Set">
    <vt:lpwstr>merops/preset-v1/elsevier-with-titles</vt:lpwstr>
  </property>
  <property fmtid="{D5CDD505-2E9C-101B-9397-08002B2CF9AE}" pid="24" name="Merops Standard Set modified">
    <vt:lpwstr/>
  </property>
  <property fmtid="{D5CDD505-2E9C-101B-9397-08002B2CF9AE}" pid="25" name="Merops tables count">
    <vt:lpwstr>9</vt:lpwstr>
  </property>
  <property fmtid="{D5CDD505-2E9C-101B-9397-08002B2CF9AE}" pid="26" name="Merops word count">
    <vt:lpwstr>1104</vt:lpwstr>
  </property>
  <property fmtid="{D5CDD505-2E9C-101B-9397-08002B2CF9AE}" pid="27" name="Merops WorldCat links count">
    <vt:lpwstr>0</vt:lpwstr>
  </property>
  <property fmtid="{D5CDD505-2E9C-101B-9397-08002B2CF9AE}" pid="28" name="ppub">
    <vt:lpwstr/>
  </property>
  <property fmtid="{D5CDD505-2E9C-101B-9397-08002B2CF9AE}" pid="29" name="Publisher">
    <vt:lpwstr/>
  </property>
  <property fmtid="{D5CDD505-2E9C-101B-9397-08002B2CF9AE}" pid="30" name="Publisher-location">
    <vt:lpwstr/>
  </property>
  <property fmtid="{D5CDD505-2E9C-101B-9397-08002B2CF9AE}" pid="31" name="ReceivedDate">
    <vt:lpwstr/>
  </property>
  <property fmtid="{D5CDD505-2E9C-101B-9397-08002B2CF9AE}" pid="32" name="Reference citation style">
    <vt:lpwstr>numerical</vt:lpwstr>
  </property>
  <property fmtid="{D5CDD505-2E9C-101B-9397-08002B2CF9AE}" pid="33" name="Source">
    <vt:lpwstr/>
  </property>
  <property fmtid="{D5CDD505-2E9C-101B-9397-08002B2CF9AE}" pid="34" name="Source-abbreviated">
    <vt:lpwstr/>
  </property>
  <property fmtid="{D5CDD505-2E9C-101B-9397-08002B2CF9AE}" pid="35" name="Source-short">
    <vt:lpwstr/>
  </property>
  <property fmtid="{D5CDD505-2E9C-101B-9397-08002B2CF9AE}" pid="36" name="Subject">
    <vt:lpwstr/>
  </property>
  <property fmtid="{D5CDD505-2E9C-101B-9397-08002B2CF9AE}" pid="37" name="GrammarlyDocumentId">
    <vt:lpwstr>99c939e77e22c9e332414ad92a77f262055a33a74c72f344384f40374d78ad15</vt:lpwstr>
  </property>
</Properties>
</file>