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544CFD" w14:textId="77777777" w:rsidR="00E35C50" w:rsidRDefault="00E35C50" w:rsidP="00E35C50">
      <w:pPr>
        <w:spacing w:before="100" w:beforeAutospacing="1" w:after="100" w:afterAutospacing="1"/>
        <w:jc w:val="both"/>
        <w:outlineLvl w:val="3"/>
        <w:rPr>
          <w:b/>
          <w:bCs/>
        </w:rPr>
      </w:pPr>
      <w:r w:rsidRPr="00F522C1">
        <w:rPr>
          <w:b/>
          <w:bCs/>
        </w:rPr>
        <w:t>Appendix 1: Other mathematical possibility</w:t>
      </w:r>
    </w:p>
    <w:p w14:paraId="4A1A7A5A" w14:textId="77777777" w:rsidR="00E35C50" w:rsidRPr="00F17DF9" w:rsidRDefault="00E35C50" w:rsidP="00E35C50">
      <w:pPr>
        <w:spacing w:before="100" w:beforeAutospacing="1" w:after="100" w:afterAutospacing="1"/>
        <w:jc w:val="both"/>
        <w:rPr>
          <w:lang w:val="en-US"/>
        </w:rPr>
      </w:pPr>
      <w:r w:rsidRPr="00F17DF9">
        <w:rPr>
          <w:lang w:val="en-US"/>
        </w:rPr>
        <w:t>The typical DSGE (Dynamic Stochastic General Equilibrium) model is a powerful tool for analyzing complex economic interactions and the impact of economic policies in emerging economies. It is based on several key blocks that represent different parts of the economy, each playing a specific role in determining general equilibrium</w:t>
      </w:r>
    </w:p>
    <w:p w14:paraId="74D4A396" w14:textId="77777777" w:rsidR="00E35C50" w:rsidRPr="00F17DF9" w:rsidRDefault="00E35C50" w:rsidP="00E35C50">
      <w:pPr>
        <w:spacing w:before="100" w:beforeAutospacing="1" w:after="100" w:afterAutospacing="1"/>
        <w:jc w:val="both"/>
        <w:rPr>
          <w:lang w:val="en-US"/>
        </w:rPr>
      </w:pPr>
      <w:r w:rsidRPr="00F17DF9">
        <w:rPr>
          <w:lang w:val="en-US"/>
        </w:rPr>
        <w:t>Households in the DSGE model are represented as rational economic agents seeking to maximize their intertemporal utility. Their utility depends on two main factors: consumption (</w:t>
      </w:r>
      <m:oMath>
        <m:sSub>
          <m:sSubPr>
            <m:ctrlPr>
              <w:rPr>
                <w:rFonts w:ascii="Cambria Math" w:hAnsi="Cambria Math"/>
                <w:i/>
              </w:rPr>
            </m:ctrlPr>
          </m:sSubPr>
          <m:e>
            <m:r>
              <w:rPr>
                <w:rFonts w:ascii="Cambria Math" w:hAnsi="Cambria Math"/>
              </w:rPr>
              <m:t>C</m:t>
            </m:r>
          </m:e>
          <m:sub>
            <m:r>
              <w:rPr>
                <w:rFonts w:ascii="Cambria Math" w:hAnsi="Cambria Math"/>
              </w:rPr>
              <m:t>t</m:t>
            </m:r>
          </m:sub>
        </m:sSub>
      </m:oMath>
      <w:r w:rsidRPr="00F17DF9">
        <w:rPr>
          <w:lang w:val="en-US"/>
        </w:rPr>
        <w:t xml:space="preserve">) and leisure, which is inversely related to </w:t>
      </w:r>
      <w:r>
        <w:rPr>
          <w:lang w:val="en-US"/>
        </w:rPr>
        <w:t>labour</w:t>
      </w:r>
      <w:r w:rsidRPr="00F17DF9">
        <w:rPr>
          <w:lang w:val="en-US"/>
        </w:rPr>
        <w:t xml:space="preserve"> (</w:t>
      </w:r>
      <m:oMath>
        <m:sSub>
          <m:sSubPr>
            <m:ctrlPr>
              <w:rPr>
                <w:rFonts w:ascii="Cambria Math" w:hAnsi="Cambria Math"/>
                <w:i/>
              </w:rPr>
            </m:ctrlPr>
          </m:sSubPr>
          <m:e>
            <m:r>
              <w:rPr>
                <w:rFonts w:ascii="Cambria Math" w:hAnsi="Cambria Math"/>
              </w:rPr>
              <m:t>L</m:t>
            </m:r>
          </m:e>
          <m:sub>
            <m:r>
              <w:rPr>
                <w:rFonts w:ascii="Cambria Math" w:hAnsi="Cambria Math"/>
              </w:rPr>
              <m:t>t</m:t>
            </m:r>
          </m:sub>
        </m:sSub>
      </m:oMath>
      <w:r w:rsidRPr="00F17DF9">
        <w:rPr>
          <w:lang w:val="en-US"/>
        </w:rPr>
        <w:t>​). The household utility function is often specified as a CES function (Constant Elasticity of Substitution), which makes it possible to model preferences for current versus future consumption, and for work versus leisure. Households face a budget constraint that is determined by their income, including earned income (</w:t>
      </w:r>
      <w:r>
        <w:rPr>
          <w:lang w:val="en-US"/>
        </w:rPr>
        <w:t>wages</w:t>
      </w:r>
      <w:r w:rsidRPr="00F17DF9">
        <w:rPr>
          <w:lang w:val="en-US"/>
        </w:rPr>
        <w:t xml:space="preserve">, </w:t>
      </w:r>
      <m:oMath>
        <m:sSub>
          <m:sSubPr>
            <m:ctrlPr>
              <w:rPr>
                <w:rFonts w:ascii="Cambria Math" w:hAnsi="Cambria Math"/>
                <w:bCs/>
                <w:i/>
              </w:rPr>
            </m:ctrlPr>
          </m:sSubPr>
          <m:e>
            <m:r>
              <w:rPr>
                <w:rFonts w:ascii="Cambria Math" w:hAnsi="Cambria Math"/>
              </w:rPr>
              <m:t>ω</m:t>
            </m:r>
          </m:e>
          <m:sub>
            <m:r>
              <w:rPr>
                <w:rFonts w:ascii="Cambria Math" w:hAnsi="Cambria Math"/>
              </w:rPr>
              <m:t>t</m:t>
            </m:r>
          </m:sub>
        </m:sSub>
      </m:oMath>
      <w:r w:rsidRPr="00F17DF9">
        <w:rPr>
          <w:lang w:val="en-US"/>
        </w:rPr>
        <w:t xml:space="preserve">​), </w:t>
      </w:r>
      <w:r>
        <w:rPr>
          <w:lang w:val="en-US"/>
        </w:rPr>
        <w:t>capital income</w:t>
      </w:r>
      <w:r w:rsidRPr="00F17DF9">
        <w:rPr>
          <w:lang w:val="en-US"/>
        </w:rPr>
        <w:t xml:space="preserve"> (interest and dividends, </w:t>
      </w:r>
      <m:oMath>
        <m:r>
          <w:rPr>
            <w:rFonts w:ascii="Cambria Math" w:hAnsi="Cambria Math"/>
          </w:rPr>
          <m:t>r</m:t>
        </m:r>
      </m:oMath>
      <w:r w:rsidRPr="00F17DF9">
        <w:rPr>
          <w:lang w:val="en-US"/>
        </w:rPr>
        <w:t>​), and government transfers (</w:t>
      </w:r>
      <m:oMath>
        <m:sSub>
          <m:sSubPr>
            <m:ctrlPr>
              <w:rPr>
                <w:rFonts w:ascii="Cambria Math" w:hAnsi="Cambria Math"/>
                <w:i/>
              </w:rPr>
            </m:ctrlPr>
          </m:sSubPr>
          <m:e>
            <m:r>
              <w:rPr>
                <w:rFonts w:ascii="Cambria Math" w:hAnsi="Cambria Math"/>
              </w:rPr>
              <m:t>T</m:t>
            </m:r>
          </m:e>
          <m:sub>
            <m:r>
              <w:rPr>
                <w:rFonts w:ascii="Cambria Math" w:hAnsi="Cambria Math"/>
              </w:rPr>
              <m:t>t</m:t>
            </m:r>
          </m:sub>
        </m:sSub>
      </m:oMath>
      <w:r w:rsidRPr="00F17DF9">
        <w:rPr>
          <w:lang w:val="en-US"/>
        </w:rPr>
        <w:t>). This budget constraint is mathematically formulated by an equation in which consumption, investment (</w:t>
      </w:r>
      <m:oMath>
        <m:sSub>
          <m:sSubPr>
            <m:ctrlPr>
              <w:rPr>
                <w:rFonts w:ascii="Cambria Math" w:hAnsi="Cambria Math"/>
                <w:i/>
              </w:rPr>
            </m:ctrlPr>
          </m:sSubPr>
          <m:e>
            <m:r>
              <w:rPr>
                <w:rFonts w:ascii="Cambria Math" w:hAnsi="Cambria Math"/>
              </w:rPr>
              <m:t>I</m:t>
            </m:r>
          </m:e>
          <m:sub>
            <m:r>
              <w:rPr>
                <w:rFonts w:ascii="Cambria Math" w:hAnsi="Cambria Math"/>
              </w:rPr>
              <m:t>t</m:t>
            </m:r>
          </m:sub>
        </m:sSub>
      </m:oMath>
      <w:r w:rsidRPr="00F17DF9">
        <w:rPr>
          <w:lang w:val="en-US"/>
        </w:rPr>
        <w:t xml:space="preserve">​), </w:t>
      </w:r>
      <w:r>
        <w:rPr>
          <w:lang w:val="en-US"/>
        </w:rPr>
        <w:t>and savings</w:t>
      </w:r>
      <w:r w:rsidRPr="00F17DF9">
        <w:rPr>
          <w:lang w:val="en-US"/>
        </w:rPr>
        <w:t xml:space="preserve"> (</w:t>
      </w:r>
      <m:oMath>
        <m:sSub>
          <m:sSubPr>
            <m:ctrlPr>
              <w:rPr>
                <w:rFonts w:ascii="Cambria Math" w:hAnsi="Cambria Math"/>
                <w:i/>
              </w:rPr>
            </m:ctrlPr>
          </m:sSubPr>
          <m:e>
            <m:r>
              <w:rPr>
                <w:rFonts w:ascii="Cambria Math" w:hAnsi="Cambria Math"/>
              </w:rPr>
              <m:t>B</m:t>
            </m:r>
          </m:e>
          <m:sub>
            <m:r>
              <w:rPr>
                <w:rFonts w:ascii="Cambria Math" w:hAnsi="Cambria Math"/>
              </w:rPr>
              <m:t>t</m:t>
            </m:r>
          </m:sub>
        </m:sSub>
      </m:oMath>
      <w:r w:rsidRPr="00F17DF9">
        <w:rPr>
          <w:lang w:val="en-US"/>
        </w:rPr>
        <w:t>​) must be balanced by total revenue.</w:t>
      </w:r>
    </w:p>
    <w:p w14:paraId="1C94A9FB" w14:textId="77777777" w:rsidR="00E35C50" w:rsidRDefault="00E35C50" w:rsidP="00E35C50">
      <w:pPr>
        <w:spacing w:before="100" w:beforeAutospacing="1" w:after="100" w:afterAutospacing="1"/>
        <w:jc w:val="both"/>
        <w:rPr>
          <w:lang w:val="en-US"/>
        </w:rPr>
      </w:pPr>
      <w:r w:rsidRPr="00F17DF9">
        <w:rPr>
          <w:lang w:val="en-US"/>
        </w:rPr>
        <w:t>Companies are modeled as profit-maximizing entities that produce goods and services. They use a production function, often of the Cobb-Douglas type, which describes the relationship between capital (</w:t>
      </w:r>
      <m:oMath>
        <m:sSub>
          <m:sSubPr>
            <m:ctrlPr>
              <w:rPr>
                <w:rFonts w:ascii="Cambria Math" w:hAnsi="Cambria Math"/>
                <w:i/>
              </w:rPr>
            </m:ctrlPr>
          </m:sSubPr>
          <m:e>
            <m:r>
              <w:rPr>
                <w:rFonts w:ascii="Cambria Math" w:hAnsi="Cambria Math"/>
              </w:rPr>
              <m:t>K</m:t>
            </m:r>
          </m:e>
          <m:sub>
            <m:r>
              <w:rPr>
                <w:rFonts w:ascii="Cambria Math" w:hAnsi="Cambria Math"/>
              </w:rPr>
              <m:t>t</m:t>
            </m:r>
          </m:sub>
        </m:sSub>
      </m:oMath>
      <w:r w:rsidRPr="00F17DF9">
        <w:rPr>
          <w:lang w:val="en-US"/>
        </w:rPr>
        <w:t>​) and labour (</w:t>
      </w:r>
      <m:oMath>
        <m:sSub>
          <m:sSubPr>
            <m:ctrlPr>
              <w:rPr>
                <w:rFonts w:ascii="Cambria Math" w:hAnsi="Cambria Math"/>
                <w:i/>
              </w:rPr>
            </m:ctrlPr>
          </m:sSubPr>
          <m:e>
            <m:r>
              <w:rPr>
                <w:rFonts w:ascii="Cambria Math" w:hAnsi="Cambria Math"/>
              </w:rPr>
              <m:t>L</m:t>
            </m:r>
          </m:e>
          <m:sub>
            <m:r>
              <w:rPr>
                <w:rFonts w:ascii="Cambria Math" w:hAnsi="Cambria Math"/>
              </w:rPr>
              <m:t>t</m:t>
            </m:r>
          </m:sub>
        </m:sSub>
      </m:oMath>
      <w:r w:rsidRPr="00F17DF9">
        <w:rPr>
          <w:lang w:val="en-US"/>
        </w:rPr>
        <w:t>​) to generate production (</w:t>
      </w:r>
      <m:oMath>
        <m:sSub>
          <m:sSubPr>
            <m:ctrlPr>
              <w:rPr>
                <w:rFonts w:ascii="Cambria Math" w:hAnsi="Cambria Math"/>
                <w:i/>
              </w:rPr>
            </m:ctrlPr>
          </m:sSubPr>
          <m:e>
            <m:r>
              <w:rPr>
                <w:rFonts w:ascii="Cambria Math" w:hAnsi="Cambria Math"/>
              </w:rPr>
              <m:t>Y</m:t>
            </m:r>
          </m:e>
          <m:sub>
            <m:r>
              <w:rPr>
                <w:rFonts w:ascii="Cambria Math" w:hAnsi="Cambria Math"/>
              </w:rPr>
              <m:t>t</m:t>
            </m:r>
          </m:sub>
        </m:sSub>
      </m:oMath>
      <w:r w:rsidRPr="00F17DF9">
        <w:rPr>
          <w:lang w:val="en-US"/>
        </w:rPr>
        <w:t>​). The production function includes a term for technological progress (</w:t>
      </w:r>
      <m:oMath>
        <m:sSub>
          <m:sSubPr>
            <m:ctrlPr>
              <w:rPr>
                <w:rFonts w:ascii="Cambria Math" w:hAnsi="Cambria Math"/>
                <w:i/>
              </w:rPr>
            </m:ctrlPr>
          </m:sSubPr>
          <m:e>
            <m:r>
              <w:rPr>
                <w:rFonts w:ascii="Cambria Math" w:hAnsi="Cambria Math"/>
              </w:rPr>
              <m:t>A</m:t>
            </m:r>
          </m:e>
          <m:sub>
            <m:r>
              <w:rPr>
                <w:rFonts w:ascii="Cambria Math" w:hAnsi="Cambria Math"/>
              </w:rPr>
              <m:t>t</m:t>
            </m:r>
          </m:sub>
        </m:sSub>
      </m:oMath>
      <w:r w:rsidRPr="00F17DF9">
        <w:rPr>
          <w:lang w:val="en-US"/>
        </w:rPr>
        <w:t xml:space="preserve">​), and is generally expressed as </w:t>
      </w:r>
      <m:oMath>
        <m:sSub>
          <m:sSubPr>
            <m:ctrlPr>
              <w:rPr>
                <w:rFonts w:ascii="Cambria Math" w:hAnsi="Cambria Math"/>
                <w:i/>
              </w:rPr>
            </m:ctrlPr>
          </m:sSubPr>
          <m:e>
            <m:r>
              <w:rPr>
                <w:rFonts w:ascii="Cambria Math" w:hAnsi="Cambria Math"/>
              </w:rPr>
              <m:t>Y</m:t>
            </m:r>
          </m:e>
          <m:sub>
            <m:r>
              <w:rPr>
                <w:rFonts w:ascii="Cambria Math" w:hAnsi="Cambria Math"/>
              </w:rPr>
              <m:t>t</m:t>
            </m:r>
          </m:sub>
        </m:sSub>
        <m:r>
          <w:rPr>
            <w:rFonts w:ascii="Cambria Math" w:hAnsi="Cambria Math"/>
            <w:lang w:val="en-US"/>
          </w:rPr>
          <m:t>=</m:t>
        </m:r>
        <m:sSub>
          <m:sSubPr>
            <m:ctrlPr>
              <w:rPr>
                <w:rFonts w:ascii="Cambria Math" w:hAnsi="Cambria Math"/>
                <w:i/>
              </w:rPr>
            </m:ctrlPr>
          </m:sSubPr>
          <m:e>
            <m:r>
              <w:rPr>
                <w:rFonts w:ascii="Cambria Math" w:hAnsi="Cambria Math"/>
              </w:rPr>
              <m:t>A</m:t>
            </m:r>
          </m:e>
          <m:sub>
            <m:r>
              <w:rPr>
                <w:rFonts w:ascii="Cambria Math" w:hAnsi="Cambria Math"/>
              </w:rPr>
              <m:t>t</m:t>
            </m:r>
          </m:sub>
        </m:sSub>
        <m:sSubSup>
          <m:sSubSupPr>
            <m:ctrlPr>
              <w:rPr>
                <w:rFonts w:ascii="Cambria Math" w:hAnsi="Cambria Math"/>
                <w:i/>
              </w:rPr>
            </m:ctrlPr>
          </m:sSubSupPr>
          <m:e>
            <m:r>
              <w:rPr>
                <w:rFonts w:ascii="Cambria Math" w:hAnsi="Cambria Math"/>
              </w:rPr>
              <m:t>K</m:t>
            </m:r>
          </m:e>
          <m:sub>
            <m:r>
              <w:rPr>
                <w:rFonts w:ascii="Cambria Math" w:hAnsi="Cambria Math"/>
              </w:rPr>
              <m:t>t</m:t>
            </m:r>
          </m:sub>
          <m:sup>
            <m:r>
              <w:rPr>
                <w:rFonts w:ascii="Cambria Math" w:hAnsi="Cambria Math"/>
              </w:rPr>
              <m:t>α</m:t>
            </m:r>
          </m:sup>
        </m:sSubSup>
        <m:sSubSup>
          <m:sSubSupPr>
            <m:ctrlPr>
              <w:rPr>
                <w:rFonts w:ascii="Cambria Math" w:hAnsi="Cambria Math"/>
                <w:i/>
              </w:rPr>
            </m:ctrlPr>
          </m:sSubSupPr>
          <m:e>
            <m:r>
              <w:rPr>
                <w:rFonts w:ascii="Cambria Math" w:hAnsi="Cambria Math"/>
              </w:rPr>
              <m:t>L</m:t>
            </m:r>
          </m:e>
          <m:sub>
            <m:r>
              <w:rPr>
                <w:rFonts w:ascii="Cambria Math" w:hAnsi="Cambria Math"/>
              </w:rPr>
              <m:t>t</m:t>
            </m:r>
          </m:sub>
          <m:sup>
            <m:r>
              <w:rPr>
                <w:rFonts w:ascii="Cambria Math" w:hAnsi="Cambria Math"/>
                <w:lang w:val="en-US"/>
              </w:rPr>
              <m:t>1-</m:t>
            </m:r>
            <m:r>
              <w:rPr>
                <w:rFonts w:ascii="Cambria Math" w:hAnsi="Cambria Math"/>
              </w:rPr>
              <m:t>α</m:t>
            </m:r>
          </m:sup>
        </m:sSubSup>
      </m:oMath>
      <w:r w:rsidRPr="00F17DF9">
        <w:rPr>
          <w:lang w:val="en-US"/>
        </w:rPr>
        <w:t xml:space="preserve"> </w:t>
      </w:r>
      <w:r>
        <w:rPr>
          <w:lang w:val="en-US"/>
        </w:rPr>
        <w:t>where</w:t>
      </w:r>
      <w:r w:rsidRPr="00F17DF9">
        <w:rPr>
          <w:lang w:val="en-US"/>
        </w:rPr>
        <w:t xml:space="preserve"> </w:t>
      </w:r>
      <m:oMath>
        <m:r>
          <w:rPr>
            <w:rFonts w:ascii="Cambria Math" w:hAnsi="Cambria Math"/>
          </w:rPr>
          <m:t>α</m:t>
        </m:r>
      </m:oMath>
      <w:r w:rsidRPr="00F17DF9">
        <w:rPr>
          <w:lang w:val="en-US"/>
        </w:rPr>
        <w:t xml:space="preserve"> represents the elasticity of production with respect to capital. This function implies diminishing returns to scale, meaning that each additional unit of capital or labor leads to smaller and smaller increases in output, while holding other factors constant. Companies decide on the optimal allocation of capital and hiring of labor to maximize their profits, and this directly influences the supply of goods and services on the market.</w:t>
      </w:r>
    </w:p>
    <w:p w14:paraId="0E49B8A9" w14:textId="77777777" w:rsidR="00E35C50" w:rsidRDefault="00E35C50" w:rsidP="00E35C50">
      <w:pPr>
        <w:spacing w:before="100" w:beforeAutospacing="1" w:after="100" w:afterAutospacing="1"/>
        <w:jc w:val="both"/>
        <w:rPr>
          <w:lang w:val="en-US"/>
        </w:rPr>
      </w:pPr>
      <w:r w:rsidRPr="001A689B">
        <w:rPr>
          <w:lang w:val="en-US"/>
        </w:rPr>
        <w:t>The government plays a key role in the economy through the implementation of monetary and fiscal policies. Monetary policy is often modeled by a Taylor rule, which describes how the central bank adjusts the nominal interest rate (i_t) in response to deviations from target inflation (</w:t>
      </w:r>
      <m:oMath>
        <m:sSub>
          <m:sSubPr>
            <m:ctrlPr>
              <w:rPr>
                <w:rFonts w:ascii="Cambria Math" w:hAnsi="Cambria Math"/>
                <w:i/>
              </w:rPr>
            </m:ctrlPr>
          </m:sSubPr>
          <m:e>
            <m:r>
              <w:rPr>
                <w:rFonts w:ascii="Cambria Math" w:hAnsi="Cambria Math"/>
              </w:rPr>
              <m:t>i</m:t>
            </m:r>
          </m:e>
          <m:sub>
            <m:r>
              <w:rPr>
                <w:rFonts w:ascii="Cambria Math" w:hAnsi="Cambria Math"/>
              </w:rPr>
              <m:t>t</m:t>
            </m:r>
          </m:sub>
        </m:sSub>
      </m:oMath>
      <w:r w:rsidRPr="001A689B">
        <w:rPr>
          <w:lang w:val="en-US"/>
        </w:rPr>
        <w:t>​) in response to deviations from target inflation (</w:t>
      </w:r>
      <m:oMath>
        <m:sSup>
          <m:sSupPr>
            <m:ctrlPr>
              <w:rPr>
                <w:rFonts w:ascii="Cambria Math" w:hAnsi="Cambria Math"/>
                <w:i/>
              </w:rPr>
            </m:ctrlPr>
          </m:sSupPr>
          <m:e>
            <m:r>
              <w:rPr>
                <w:rFonts w:ascii="Cambria Math" w:hAnsi="Cambria Math"/>
              </w:rPr>
              <m:t>π</m:t>
            </m:r>
          </m:e>
          <m:sup>
            <m:r>
              <w:rPr>
                <w:rFonts w:ascii="Cambria Math" w:hAnsi="Cambria Math"/>
                <w:lang w:val="en-US"/>
              </w:rPr>
              <m:t>*</m:t>
            </m:r>
          </m:sup>
        </m:sSup>
      </m:oMath>
      <w:r w:rsidRPr="001A689B">
        <w:rPr>
          <w:lang w:val="en-US"/>
        </w:rPr>
        <w:t>) and potential output (</w:t>
      </w:r>
      <m:oMath>
        <m:sSup>
          <m:sSupPr>
            <m:ctrlPr>
              <w:rPr>
                <w:rFonts w:ascii="Cambria Math" w:hAnsi="Cambria Math"/>
                <w:i/>
              </w:rPr>
            </m:ctrlPr>
          </m:sSupPr>
          <m:e>
            <m:r>
              <w:rPr>
                <w:rFonts w:ascii="Cambria Math" w:hAnsi="Cambria Math"/>
              </w:rPr>
              <m:t>y</m:t>
            </m:r>
          </m:e>
          <m:sup>
            <m:r>
              <w:rPr>
                <w:rFonts w:ascii="Cambria Math" w:hAnsi="Cambria Math"/>
                <w:lang w:val="en-US"/>
              </w:rPr>
              <m:t>*</m:t>
            </m:r>
          </m:sup>
        </m:sSup>
      </m:oMath>
      <w:r w:rsidRPr="001A689B">
        <w:rPr>
          <w:lang w:val="en-US"/>
        </w:rPr>
        <w:t xml:space="preserve">). The Taylor rule is usually expressed as </w:t>
      </w:r>
      <m:oMath>
        <m:sSub>
          <m:sSubPr>
            <m:ctrlPr>
              <w:rPr>
                <w:rFonts w:ascii="Cambria Math" w:hAnsi="Cambria Math"/>
                <w:i/>
              </w:rPr>
            </m:ctrlPr>
          </m:sSubPr>
          <m:e>
            <m:r>
              <w:rPr>
                <w:rFonts w:ascii="Cambria Math" w:hAnsi="Cambria Math"/>
              </w:rPr>
              <m:t>i</m:t>
            </m:r>
          </m:e>
          <m:sub>
            <m:r>
              <w:rPr>
                <w:rFonts w:ascii="Cambria Math" w:hAnsi="Cambria Math"/>
              </w:rPr>
              <m:t>t</m:t>
            </m:r>
          </m:sub>
        </m:sSub>
        <m:r>
          <w:rPr>
            <w:rFonts w:ascii="Cambria Math" w:hAnsi="Cambria Math"/>
            <w:lang w:val="en-US"/>
          </w:rPr>
          <m:t>=</m:t>
        </m:r>
        <m:r>
          <w:rPr>
            <w:rFonts w:ascii="Cambria Math" w:hAnsi="Cambria Math"/>
          </w:rPr>
          <m:t>ρ</m:t>
        </m:r>
        <m:r>
          <w:rPr>
            <w:rFonts w:ascii="Cambria Math" w:hAnsi="Cambria Math"/>
            <w:lang w:val="en-US"/>
          </w:rPr>
          <m:t>+</m:t>
        </m:r>
        <m:sSub>
          <m:sSubPr>
            <m:ctrlPr>
              <w:rPr>
                <w:rFonts w:ascii="Cambria Math" w:hAnsi="Cambria Math"/>
                <w:i/>
              </w:rPr>
            </m:ctrlPr>
          </m:sSubPr>
          <m:e>
            <m:r>
              <w:rPr>
                <w:rFonts w:ascii="Cambria Math" w:hAnsi="Cambria Math"/>
              </w:rPr>
              <m:t>ϕ</m:t>
            </m:r>
          </m:e>
          <m:sub>
            <m:r>
              <w:rPr>
                <w:rFonts w:ascii="Cambria Math" w:hAnsi="Cambria Math"/>
              </w:rPr>
              <m:t>π</m:t>
            </m:r>
          </m:sub>
        </m:sSub>
        <m:d>
          <m:dPr>
            <m:ctrlPr>
              <w:rPr>
                <w:rFonts w:ascii="Cambria Math" w:hAnsi="Cambria Math"/>
                <w:i/>
              </w:rPr>
            </m:ctrlPr>
          </m:dPr>
          <m:e>
            <m:sSub>
              <m:sSubPr>
                <m:ctrlPr>
                  <w:rPr>
                    <w:rFonts w:ascii="Cambria Math" w:hAnsi="Cambria Math"/>
                    <w:i/>
                  </w:rPr>
                </m:ctrlPr>
              </m:sSubPr>
              <m:e>
                <m:r>
                  <w:rPr>
                    <w:rFonts w:ascii="Cambria Math" w:hAnsi="Cambria Math"/>
                  </w:rPr>
                  <m:t>π</m:t>
                </m:r>
              </m:e>
              <m:sub>
                <m:r>
                  <w:rPr>
                    <w:rFonts w:ascii="Cambria Math" w:hAnsi="Cambria Math"/>
                  </w:rPr>
                  <m:t>t</m:t>
                </m:r>
              </m:sub>
            </m:sSub>
            <m:r>
              <w:rPr>
                <w:rFonts w:ascii="Cambria Math" w:hAnsi="Cambria Math"/>
                <w:lang w:val="en-US"/>
              </w:rPr>
              <m:t>-</m:t>
            </m:r>
            <m:sSup>
              <m:sSupPr>
                <m:ctrlPr>
                  <w:rPr>
                    <w:rFonts w:ascii="Cambria Math" w:hAnsi="Cambria Math"/>
                    <w:i/>
                  </w:rPr>
                </m:ctrlPr>
              </m:sSupPr>
              <m:e>
                <m:r>
                  <w:rPr>
                    <w:rFonts w:ascii="Cambria Math" w:hAnsi="Cambria Math"/>
                  </w:rPr>
                  <m:t>π</m:t>
                </m:r>
              </m:e>
              <m:sup>
                <m:r>
                  <w:rPr>
                    <w:rFonts w:ascii="Cambria Math" w:hAnsi="Cambria Math"/>
                    <w:lang w:val="en-US"/>
                  </w:rPr>
                  <m:t>*</m:t>
                </m:r>
              </m:sup>
            </m:sSup>
          </m:e>
        </m:d>
        <m:r>
          <w:rPr>
            <w:rFonts w:ascii="Cambria Math" w:hAnsi="Cambria Math"/>
            <w:lang w:val="en-US"/>
          </w:rPr>
          <m:t>+</m:t>
        </m:r>
        <m:sSub>
          <m:sSubPr>
            <m:ctrlPr>
              <w:rPr>
                <w:rFonts w:ascii="Cambria Math" w:hAnsi="Cambria Math"/>
                <w:i/>
              </w:rPr>
            </m:ctrlPr>
          </m:sSubPr>
          <m:e>
            <m:r>
              <w:rPr>
                <w:rFonts w:ascii="Cambria Math" w:hAnsi="Cambria Math"/>
              </w:rPr>
              <m:t>ϕ</m:t>
            </m:r>
          </m:e>
          <m:sub>
            <m:r>
              <w:rPr>
                <w:rFonts w:ascii="Cambria Math" w:hAnsi="Cambria Math"/>
              </w:rPr>
              <m:t>y</m:t>
            </m:r>
          </m:sub>
        </m:sSub>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t</m:t>
                </m:r>
              </m:sub>
            </m:sSub>
            <m:r>
              <w:rPr>
                <w:rFonts w:ascii="Cambria Math" w:hAnsi="Cambria Math"/>
                <w:lang w:val="en-US"/>
              </w:rPr>
              <m:t>-</m:t>
            </m:r>
            <m:sSup>
              <m:sSupPr>
                <m:ctrlPr>
                  <w:rPr>
                    <w:rFonts w:ascii="Cambria Math" w:hAnsi="Cambria Math"/>
                    <w:i/>
                  </w:rPr>
                </m:ctrlPr>
              </m:sSupPr>
              <m:e>
                <m:r>
                  <w:rPr>
                    <w:rFonts w:ascii="Cambria Math" w:hAnsi="Cambria Math"/>
                  </w:rPr>
                  <m:t>y</m:t>
                </m:r>
              </m:e>
              <m:sup>
                <m:r>
                  <w:rPr>
                    <w:rFonts w:ascii="Cambria Math" w:hAnsi="Cambria Math"/>
                    <w:lang w:val="en-US"/>
                  </w:rPr>
                  <m:t>*</m:t>
                </m:r>
              </m:sup>
            </m:sSup>
          </m:e>
        </m:d>
      </m:oMath>
      <w:r w:rsidRPr="001A689B">
        <w:rPr>
          <w:lang w:val="en-US"/>
        </w:rPr>
        <w:t xml:space="preserve">, where </w:t>
      </w:r>
      <m:oMath>
        <m:r>
          <w:rPr>
            <w:rFonts w:ascii="Cambria Math" w:hAnsi="Cambria Math"/>
          </w:rPr>
          <m:t>ρ</m:t>
        </m:r>
      </m:oMath>
      <w:r w:rsidRPr="001A689B">
        <w:rPr>
          <w:lang w:val="en-US"/>
        </w:rPr>
        <w:t xml:space="preserve"> is the natural rate of interest, </w:t>
      </w:r>
      <m:oMath>
        <m:sSub>
          <m:sSubPr>
            <m:ctrlPr>
              <w:rPr>
                <w:rFonts w:ascii="Cambria Math" w:hAnsi="Cambria Math"/>
                <w:i/>
              </w:rPr>
            </m:ctrlPr>
          </m:sSubPr>
          <m:e>
            <m:r>
              <w:rPr>
                <w:rFonts w:ascii="Cambria Math" w:hAnsi="Cambria Math"/>
              </w:rPr>
              <m:t>ϕ</m:t>
            </m:r>
          </m:e>
          <m:sub>
            <m:r>
              <w:rPr>
                <w:rFonts w:ascii="Cambria Math" w:hAnsi="Cambria Math"/>
              </w:rPr>
              <m:t>π</m:t>
            </m:r>
          </m:sub>
        </m:sSub>
        <m:r>
          <w:rPr>
            <w:rFonts w:ascii="Cambria Math" w:hAnsi="Cambria Math"/>
            <w:lang w:val="en-US"/>
          </w:rPr>
          <m:t xml:space="preserve"> </m:t>
        </m:r>
      </m:oMath>
      <w:r w:rsidRPr="001A689B">
        <w:rPr>
          <w:lang w:val="en-US"/>
        </w:rPr>
        <w:t xml:space="preserve">et </w:t>
      </w:r>
      <m:oMath>
        <m:sSub>
          <m:sSubPr>
            <m:ctrlPr>
              <w:rPr>
                <w:rFonts w:ascii="Cambria Math" w:hAnsi="Cambria Math"/>
                <w:i/>
              </w:rPr>
            </m:ctrlPr>
          </m:sSubPr>
          <m:e>
            <m:r>
              <w:rPr>
                <w:rFonts w:ascii="Cambria Math" w:hAnsi="Cambria Math"/>
              </w:rPr>
              <m:t>ϕ</m:t>
            </m:r>
          </m:e>
          <m:sub>
            <m:r>
              <w:rPr>
                <w:rFonts w:ascii="Cambria Math" w:hAnsi="Cambria Math"/>
              </w:rPr>
              <m:t>y</m:t>
            </m:r>
          </m:sub>
        </m:sSub>
      </m:oMath>
      <w:r w:rsidRPr="001A689B">
        <w:rPr>
          <w:lang w:val="en-US"/>
        </w:rPr>
        <w:t>​ are the response coefficients to inflation and the output gap, respectively. Fiscal policy, on the other hand, includes public spending and taxes, which affect aggregate demand and the level of economic activity. Budgetary decisions directly influence household and business consumption and investment, and can be used to stimulate or restrain the economy, depending on macroeconomic conditions.</w:t>
      </w:r>
    </w:p>
    <w:p w14:paraId="3D3DE0E5" w14:textId="77777777" w:rsidR="00E35C50" w:rsidRPr="001A689B" w:rsidRDefault="00E35C50" w:rsidP="00E35C50">
      <w:pPr>
        <w:spacing w:before="100" w:beforeAutospacing="1" w:after="100" w:afterAutospacing="1"/>
        <w:jc w:val="both"/>
        <w:rPr>
          <w:lang w:val="en-US"/>
        </w:rPr>
      </w:pPr>
      <w:r w:rsidRPr="001A689B">
        <w:rPr>
          <w:lang w:val="en-US"/>
        </w:rPr>
        <w:t>In addition to the preceding elements, the DSGE model includes a representation of the economy's main markets</w:t>
      </w:r>
    </w:p>
    <w:p w14:paraId="09E97F32" w14:textId="77777777" w:rsidR="00E35C50" w:rsidRPr="001A689B" w:rsidRDefault="00E35C50" w:rsidP="00E35C50">
      <w:pPr>
        <w:spacing w:before="100" w:beforeAutospacing="1" w:after="100" w:afterAutospacing="1"/>
        <w:jc w:val="both"/>
        <w:rPr>
          <w:lang w:val="en-US"/>
        </w:rPr>
      </w:pPr>
      <w:r w:rsidRPr="001A689B">
        <w:rPr>
          <w:lang w:val="en-US"/>
        </w:rPr>
        <w:t>Goods market : In this market, companies offer goods and services, while households express their demand for these products. Equilibrium on this market is reached when business supply equals household demand, thus determining the level of production and prices of goods.</w:t>
      </w:r>
    </w:p>
    <w:p w14:paraId="5DC15803" w14:textId="77777777" w:rsidR="00E35C50" w:rsidRPr="001A689B" w:rsidRDefault="00E35C50" w:rsidP="00E35C50">
      <w:pPr>
        <w:spacing w:before="100" w:beforeAutospacing="1" w:after="100" w:afterAutospacing="1"/>
        <w:jc w:val="both"/>
        <w:rPr>
          <w:lang w:val="en-US"/>
        </w:rPr>
      </w:pPr>
      <w:r w:rsidRPr="001A689B">
        <w:rPr>
          <w:lang w:val="en-US"/>
        </w:rPr>
        <w:t>Labor market: This market is defined by the interaction between household labor supply and business labor demand. Households offer labor in exchange for wages (</w:t>
      </w:r>
      <m:oMath>
        <m:sSub>
          <m:sSubPr>
            <m:ctrlPr>
              <w:rPr>
                <w:rFonts w:ascii="Cambria Math" w:hAnsi="Cambria Math"/>
                <w:i/>
              </w:rPr>
            </m:ctrlPr>
          </m:sSubPr>
          <m:e>
            <m:r>
              <w:rPr>
                <w:rFonts w:ascii="Cambria Math" w:hAnsi="Cambria Math"/>
              </w:rPr>
              <m:t>ω</m:t>
            </m:r>
          </m:e>
          <m:sub>
            <m:r>
              <w:rPr>
                <w:rFonts w:ascii="Cambria Math" w:hAnsi="Cambria Math"/>
              </w:rPr>
              <m:t>t</m:t>
            </m:r>
          </m:sub>
        </m:sSub>
      </m:oMath>
      <w:r w:rsidRPr="001A689B">
        <w:rPr>
          <w:lang w:val="en-US"/>
        </w:rPr>
        <w:t>), while companies demand labor to produce goods and services. Equilibrium on this market determines the level of employment and the wage rate.</w:t>
      </w:r>
    </w:p>
    <w:p w14:paraId="5D5A436E" w14:textId="77777777" w:rsidR="00E35C50" w:rsidRPr="001A689B" w:rsidRDefault="00E35C50" w:rsidP="00E35C50">
      <w:pPr>
        <w:spacing w:before="100" w:beforeAutospacing="1" w:after="100" w:afterAutospacing="1"/>
        <w:jc w:val="both"/>
        <w:rPr>
          <w:lang w:val="en-US"/>
        </w:rPr>
      </w:pPr>
      <w:r w:rsidRPr="001A689B">
        <w:rPr>
          <w:lang w:val="en-US"/>
        </w:rPr>
        <w:lastRenderedPageBreak/>
        <w:t>Financial market: The financial market is crucial in determining interest rates and asset prices. It regulates the flow of savings and investment into the economy. Interest rates influence corporate investment and household savings decisions, having a direct impact on aggregate demand and overall economic activity.</w:t>
      </w:r>
    </w:p>
    <w:p w14:paraId="6AD9B2B8" w14:textId="77777777" w:rsidR="00E35C50" w:rsidRPr="00F522C1" w:rsidRDefault="00E35C50" w:rsidP="00E35C50">
      <w:pPr>
        <w:rPr>
          <w:b/>
          <w:bCs/>
          <w:lang w:val="en-US"/>
        </w:rPr>
      </w:pPr>
      <w:r w:rsidRPr="00F522C1">
        <w:rPr>
          <w:b/>
          <w:bCs/>
          <w:lang w:val="en-US"/>
        </w:rPr>
        <w:t>Model Equations:</w:t>
      </w:r>
    </w:p>
    <w:p w14:paraId="3CAA1BEE" w14:textId="77777777" w:rsidR="00E35C50" w:rsidRPr="00F522C1" w:rsidRDefault="00E35C50" w:rsidP="00E35C50">
      <w:pPr>
        <w:outlineLvl w:val="3"/>
        <w:rPr>
          <w:b/>
          <w:bCs/>
          <w:lang w:val="en-US"/>
        </w:rPr>
      </w:pPr>
      <w:r w:rsidRPr="00F522C1">
        <w:rPr>
          <w:b/>
          <w:bCs/>
          <w:lang w:val="en-US"/>
        </w:rPr>
        <w:t>Household utility function</w:t>
      </w:r>
    </w:p>
    <w:p w14:paraId="64FE4044" w14:textId="77777777" w:rsidR="00E35C50" w:rsidRPr="00806949" w:rsidRDefault="00E35C50" w:rsidP="00E35C50">
      <w:pPr>
        <w:spacing w:before="100" w:beforeAutospacing="1" w:after="100" w:afterAutospacing="1"/>
        <w:outlineLvl w:val="3"/>
        <w:rPr>
          <w:b/>
          <w:bCs/>
        </w:rPr>
      </w:pPr>
      <m:oMathPara>
        <m:oMath>
          <m:r>
            <m:rPr>
              <m:sty m:val="bi"/>
            </m:rPr>
            <w:rPr>
              <w:rFonts w:ascii="Cambria Math" w:hAnsi="Cambria Math"/>
            </w:rPr>
            <m:t>U</m:t>
          </m:r>
          <m:d>
            <m:dPr>
              <m:ctrlPr>
                <w:rPr>
                  <w:rFonts w:ascii="Cambria Math" w:hAnsi="Cambria Math"/>
                  <w:b/>
                  <w:bCs/>
                  <w:i/>
                </w:rPr>
              </m:ctrlPr>
            </m:dPr>
            <m:e>
              <m:sSub>
                <m:sSubPr>
                  <m:ctrlPr>
                    <w:rPr>
                      <w:rFonts w:ascii="Cambria Math" w:hAnsi="Cambria Math"/>
                      <w:b/>
                      <w:bCs/>
                      <w:i/>
                    </w:rPr>
                  </m:ctrlPr>
                </m:sSubPr>
                <m:e>
                  <m:r>
                    <m:rPr>
                      <m:sty m:val="bi"/>
                    </m:rPr>
                    <w:rPr>
                      <w:rFonts w:ascii="Cambria Math" w:hAnsi="Cambria Math"/>
                    </w:rPr>
                    <m:t>C</m:t>
                  </m:r>
                </m:e>
                <m:sub>
                  <m:r>
                    <m:rPr>
                      <m:sty m:val="bi"/>
                    </m:rPr>
                    <w:rPr>
                      <w:rFonts w:ascii="Cambria Math" w:hAnsi="Cambria Math"/>
                    </w:rPr>
                    <m:t>t</m:t>
                  </m:r>
                </m:sub>
              </m:sSub>
              <m:r>
                <m:rPr>
                  <m:sty m:val="bi"/>
                </m:rPr>
                <w:rPr>
                  <w:rFonts w:ascii="Cambria Math" w:hAnsi="Cambria Math"/>
                </w:rPr>
                <m:t xml:space="preserve">, </m:t>
              </m:r>
              <m:sSub>
                <m:sSubPr>
                  <m:ctrlPr>
                    <w:rPr>
                      <w:rFonts w:ascii="Cambria Math" w:hAnsi="Cambria Math"/>
                      <w:b/>
                      <w:bCs/>
                      <w:i/>
                    </w:rPr>
                  </m:ctrlPr>
                </m:sSubPr>
                <m:e>
                  <m:r>
                    <m:rPr>
                      <m:sty m:val="bi"/>
                    </m:rPr>
                    <w:rPr>
                      <w:rFonts w:ascii="Cambria Math" w:hAnsi="Cambria Math"/>
                    </w:rPr>
                    <m:t>L</m:t>
                  </m:r>
                </m:e>
                <m:sub>
                  <m:r>
                    <m:rPr>
                      <m:sty m:val="bi"/>
                    </m:rPr>
                    <w:rPr>
                      <w:rFonts w:ascii="Cambria Math" w:hAnsi="Cambria Math"/>
                    </w:rPr>
                    <m:t>t</m:t>
                  </m:r>
                </m:sub>
              </m:sSub>
            </m:e>
          </m:d>
          <m:r>
            <m:rPr>
              <m:sty m:val="bi"/>
            </m:rPr>
            <w:rPr>
              <w:rFonts w:ascii="Cambria Math" w:hAnsi="Cambria Math"/>
            </w:rPr>
            <m:t>=</m:t>
          </m:r>
          <m:nary>
            <m:naryPr>
              <m:chr m:val="∑"/>
              <m:ctrlPr>
                <w:rPr>
                  <w:rFonts w:ascii="Cambria Math" w:hAnsi="Cambria Math"/>
                  <w:b/>
                  <w:bCs/>
                  <w:i/>
                </w:rPr>
              </m:ctrlPr>
            </m:naryPr>
            <m:sub>
              <m:r>
                <m:rPr>
                  <m:sty m:val="bi"/>
                </m:rPr>
                <w:rPr>
                  <w:rFonts w:ascii="Cambria Math" w:hAnsi="Cambria Math"/>
                </w:rPr>
                <m:t>t=0</m:t>
              </m:r>
            </m:sub>
            <m:sup>
              <m:r>
                <m:rPr>
                  <m:sty m:val="bi"/>
                </m:rPr>
                <w:rPr>
                  <w:rFonts w:ascii="Cambria Math" w:hAnsi="Cambria Math"/>
                </w:rPr>
                <m:t>∞</m:t>
              </m:r>
            </m:sup>
            <m:e>
              <m:sSup>
                <m:sSupPr>
                  <m:ctrlPr>
                    <w:rPr>
                      <w:rFonts w:ascii="Cambria Math" w:hAnsi="Cambria Math"/>
                      <w:b/>
                      <w:bCs/>
                      <w:i/>
                    </w:rPr>
                  </m:ctrlPr>
                </m:sSupPr>
                <m:e>
                  <m:r>
                    <m:rPr>
                      <m:sty m:val="bi"/>
                    </m:rPr>
                    <w:rPr>
                      <w:rFonts w:ascii="Cambria Math" w:hAnsi="Cambria Math"/>
                    </w:rPr>
                    <m:t>β</m:t>
                  </m:r>
                </m:e>
                <m:sup>
                  <m:r>
                    <m:rPr>
                      <m:sty m:val="bi"/>
                    </m:rPr>
                    <w:rPr>
                      <w:rFonts w:ascii="Cambria Math" w:hAnsi="Cambria Math"/>
                    </w:rPr>
                    <m:t>t</m:t>
                  </m:r>
                </m:sup>
              </m:sSup>
            </m:e>
          </m:nary>
          <m:r>
            <m:rPr>
              <m:sty m:val="bi"/>
            </m:rPr>
            <w:rPr>
              <w:rFonts w:ascii="Cambria Math" w:hAnsi="Cambria Math"/>
            </w:rPr>
            <m:t>(</m:t>
          </m:r>
          <m:f>
            <m:fPr>
              <m:ctrlPr>
                <w:rPr>
                  <w:rFonts w:ascii="Cambria Math" w:hAnsi="Cambria Math"/>
                  <w:b/>
                  <w:bCs/>
                  <w:i/>
                </w:rPr>
              </m:ctrlPr>
            </m:fPr>
            <m:num>
              <m:sSubSup>
                <m:sSubSupPr>
                  <m:ctrlPr>
                    <w:rPr>
                      <w:rFonts w:ascii="Cambria Math" w:hAnsi="Cambria Math"/>
                      <w:b/>
                      <w:bCs/>
                      <w:i/>
                    </w:rPr>
                  </m:ctrlPr>
                </m:sSubSupPr>
                <m:e>
                  <m:r>
                    <m:rPr>
                      <m:sty m:val="bi"/>
                    </m:rPr>
                    <w:rPr>
                      <w:rFonts w:ascii="Cambria Math" w:hAnsi="Cambria Math"/>
                    </w:rPr>
                    <m:t>C</m:t>
                  </m:r>
                </m:e>
                <m:sub>
                  <m:r>
                    <m:rPr>
                      <m:sty m:val="bi"/>
                    </m:rPr>
                    <w:rPr>
                      <w:rFonts w:ascii="Cambria Math" w:hAnsi="Cambria Math"/>
                    </w:rPr>
                    <m:t>t</m:t>
                  </m:r>
                </m:sub>
                <m:sup>
                  <m:r>
                    <m:rPr>
                      <m:sty m:val="bi"/>
                    </m:rPr>
                    <w:rPr>
                      <w:rFonts w:ascii="Cambria Math" w:hAnsi="Cambria Math"/>
                    </w:rPr>
                    <m:t>1-σ</m:t>
                  </m:r>
                </m:sup>
              </m:sSubSup>
            </m:num>
            <m:den>
              <m:r>
                <m:rPr>
                  <m:sty m:val="bi"/>
                </m:rPr>
                <w:rPr>
                  <w:rFonts w:ascii="Cambria Math" w:hAnsi="Cambria Math"/>
                </w:rPr>
                <m:t>1-σ</m:t>
              </m:r>
            </m:den>
          </m:f>
          <m:r>
            <m:rPr>
              <m:sty m:val="bi"/>
            </m:rPr>
            <w:rPr>
              <w:rFonts w:ascii="Cambria Math" w:hAnsi="Cambria Math"/>
            </w:rPr>
            <m:t>-χ</m:t>
          </m:r>
          <m:f>
            <m:fPr>
              <m:ctrlPr>
                <w:rPr>
                  <w:rFonts w:ascii="Cambria Math" w:hAnsi="Cambria Math"/>
                  <w:b/>
                  <w:bCs/>
                  <w:i/>
                </w:rPr>
              </m:ctrlPr>
            </m:fPr>
            <m:num>
              <m:sSubSup>
                <m:sSubSupPr>
                  <m:ctrlPr>
                    <w:rPr>
                      <w:rFonts w:ascii="Cambria Math" w:hAnsi="Cambria Math"/>
                      <w:b/>
                      <w:bCs/>
                      <w:i/>
                    </w:rPr>
                  </m:ctrlPr>
                </m:sSubSupPr>
                <m:e>
                  <m:r>
                    <m:rPr>
                      <m:sty m:val="bi"/>
                    </m:rPr>
                    <w:rPr>
                      <w:rFonts w:ascii="Cambria Math" w:hAnsi="Cambria Math"/>
                    </w:rPr>
                    <m:t>L</m:t>
                  </m:r>
                </m:e>
                <m:sub>
                  <m:r>
                    <m:rPr>
                      <m:sty m:val="bi"/>
                    </m:rPr>
                    <w:rPr>
                      <w:rFonts w:ascii="Cambria Math" w:hAnsi="Cambria Math"/>
                    </w:rPr>
                    <m:t>t</m:t>
                  </m:r>
                </m:sub>
                <m:sup>
                  <m:r>
                    <m:rPr>
                      <m:sty m:val="bi"/>
                    </m:rPr>
                    <w:rPr>
                      <w:rFonts w:ascii="Cambria Math" w:hAnsi="Cambria Math"/>
                    </w:rPr>
                    <m:t>1+φ</m:t>
                  </m:r>
                </m:sup>
              </m:sSubSup>
            </m:num>
            <m:den>
              <m:r>
                <m:rPr>
                  <m:sty m:val="bi"/>
                </m:rPr>
                <w:rPr>
                  <w:rFonts w:ascii="Cambria Math" w:hAnsi="Cambria Math"/>
                </w:rPr>
                <m:t>1+φ</m:t>
              </m:r>
            </m:den>
          </m:f>
          <m:r>
            <m:rPr>
              <m:sty m:val="bi"/>
            </m:rPr>
            <w:rPr>
              <w:rFonts w:ascii="Cambria Math" w:hAnsi="Cambria Math"/>
            </w:rPr>
            <m:t xml:space="preserve">) </m:t>
          </m:r>
        </m:oMath>
      </m:oMathPara>
    </w:p>
    <w:p w14:paraId="08F4637F" w14:textId="77777777" w:rsidR="00E35C50" w:rsidRDefault="00E35C50" w:rsidP="00E35C50">
      <w:pPr>
        <w:spacing w:before="100" w:beforeAutospacing="1" w:after="100" w:afterAutospacing="1"/>
        <w:outlineLvl w:val="3"/>
        <w:rPr>
          <w:b/>
          <w:bCs/>
        </w:rPr>
      </w:pPr>
    </w:p>
    <w:p w14:paraId="2299BD1B" w14:textId="77777777" w:rsidR="00E35C50" w:rsidRPr="001A689B" w:rsidRDefault="00E35C50" w:rsidP="00E35C50">
      <w:pPr>
        <w:spacing w:before="100" w:beforeAutospacing="1" w:after="100" w:afterAutospacing="1"/>
        <w:jc w:val="both"/>
        <w:rPr>
          <w:lang w:val="en-US"/>
        </w:rPr>
      </w:pPr>
      <w:r w:rsidRPr="001A689B">
        <w:rPr>
          <w:lang w:val="en-US"/>
        </w:rPr>
        <w:t xml:space="preserve">Where </w:t>
      </w:r>
      <m:oMath>
        <m:sSub>
          <m:sSubPr>
            <m:ctrlPr>
              <w:rPr>
                <w:rFonts w:ascii="Cambria Math" w:hAnsi="Cambria Math"/>
                <w:i/>
              </w:rPr>
            </m:ctrlPr>
          </m:sSubPr>
          <m:e>
            <m:r>
              <w:rPr>
                <w:rFonts w:ascii="Cambria Math" w:hAnsi="Cambria Math"/>
              </w:rPr>
              <m:t>C</m:t>
            </m:r>
          </m:e>
          <m:sub>
            <m:r>
              <w:rPr>
                <w:rFonts w:ascii="Cambria Math" w:hAnsi="Cambria Math"/>
              </w:rPr>
              <m:t>t</m:t>
            </m:r>
          </m:sub>
        </m:sSub>
      </m:oMath>
      <w:r w:rsidRPr="001A689B">
        <w:rPr>
          <w:lang w:val="en-US"/>
        </w:rPr>
        <w:t xml:space="preserve"> is consumption, </w:t>
      </w:r>
      <m:oMath>
        <m:sSub>
          <m:sSubPr>
            <m:ctrlPr>
              <w:rPr>
                <w:rFonts w:ascii="Cambria Math" w:hAnsi="Cambria Math"/>
                <w:i/>
              </w:rPr>
            </m:ctrlPr>
          </m:sSubPr>
          <m:e>
            <m:r>
              <w:rPr>
                <w:rFonts w:ascii="Cambria Math" w:hAnsi="Cambria Math"/>
              </w:rPr>
              <m:t>L</m:t>
            </m:r>
          </m:e>
          <m:sub>
            <m:r>
              <w:rPr>
                <w:rFonts w:ascii="Cambria Math" w:hAnsi="Cambria Math"/>
              </w:rPr>
              <m:t>t</m:t>
            </m:r>
          </m:sub>
        </m:sSub>
      </m:oMath>
      <w:r w:rsidRPr="001A689B">
        <w:rPr>
          <w:lang w:val="en-US"/>
        </w:rPr>
        <w:t xml:space="preserve">​ is labour, </w:t>
      </w:r>
      <m:oMath>
        <m:r>
          <w:rPr>
            <w:rFonts w:ascii="Cambria Math" w:hAnsi="Cambria Math"/>
          </w:rPr>
          <m:t>β</m:t>
        </m:r>
        <m:r>
          <w:rPr>
            <w:rFonts w:ascii="Cambria Math" w:hAnsi="Cambria Math"/>
            <w:lang w:val="en-US"/>
          </w:rPr>
          <m:t xml:space="preserve"> </m:t>
        </m:r>
      </m:oMath>
      <w:r w:rsidRPr="001A689B">
        <w:rPr>
          <w:lang w:val="en-US"/>
        </w:rPr>
        <w:t xml:space="preserve">is the discount factor, </w:t>
      </w:r>
      <m:oMath>
        <m:r>
          <w:rPr>
            <w:rFonts w:ascii="Cambria Math" w:hAnsi="Cambria Math"/>
          </w:rPr>
          <m:t>σ</m:t>
        </m:r>
      </m:oMath>
      <w:r w:rsidRPr="001A689B">
        <w:rPr>
          <w:lang w:val="en-US"/>
        </w:rPr>
        <w:t xml:space="preserve"> is the risk aversion coefficient and </w:t>
      </w:r>
      <m:oMath>
        <m:r>
          <w:rPr>
            <w:rFonts w:ascii="Cambria Math" w:hAnsi="Cambria Math"/>
          </w:rPr>
          <m:t>χ</m:t>
        </m:r>
      </m:oMath>
      <w:r w:rsidRPr="001A689B">
        <w:rPr>
          <w:lang w:val="en-US"/>
        </w:rPr>
        <w:t xml:space="preserve"> and </w:t>
      </w:r>
      <m:oMath>
        <m:r>
          <w:rPr>
            <w:rFonts w:ascii="Cambria Math" w:hAnsi="Cambria Math"/>
          </w:rPr>
          <m:t>φ</m:t>
        </m:r>
      </m:oMath>
      <w:r w:rsidRPr="001A689B">
        <w:rPr>
          <w:lang w:val="en-US"/>
        </w:rPr>
        <w:t xml:space="preserve"> are disutility pa</w:t>
      </w:r>
      <w:r>
        <w:rPr>
          <w:lang w:val="en-US"/>
        </w:rPr>
        <w:t>rameters of work</w:t>
      </w:r>
      <w:r w:rsidRPr="001A689B">
        <w:rPr>
          <w:lang w:val="en-US"/>
        </w:rPr>
        <w:t>.</w:t>
      </w:r>
    </w:p>
    <w:p w14:paraId="7EF87099" w14:textId="77777777" w:rsidR="00E35C50" w:rsidRPr="001A689B" w:rsidRDefault="00E35C50" w:rsidP="00E35C50">
      <w:pPr>
        <w:spacing w:before="100" w:beforeAutospacing="1" w:after="100" w:afterAutospacing="1"/>
        <w:jc w:val="both"/>
        <w:rPr>
          <w:lang w:val="en-US"/>
        </w:rPr>
      </w:pPr>
    </w:p>
    <w:p w14:paraId="1C049BD7" w14:textId="77777777" w:rsidR="00E35C50" w:rsidRPr="00AE7FB3" w:rsidRDefault="00E35C50" w:rsidP="00E35C50">
      <w:pPr>
        <w:spacing w:before="100" w:beforeAutospacing="1" w:after="100" w:afterAutospacing="1"/>
      </w:pPr>
      <w:r w:rsidRPr="00F522C1">
        <w:rPr>
          <w:b/>
          <w:bCs/>
        </w:rPr>
        <w:t>Production function of companies</w:t>
      </w:r>
      <w:r w:rsidRPr="00AE7FB3">
        <w:t xml:space="preserve"> </w:t>
      </w:r>
    </w:p>
    <w:p w14:paraId="77DB3D20" w14:textId="77777777" w:rsidR="00E35C50" w:rsidRDefault="00E35C50" w:rsidP="00E35C50">
      <w:pPr>
        <w:spacing w:before="100" w:beforeAutospacing="1" w:after="100" w:afterAutospacing="1"/>
        <w:outlineLvl w:val="3"/>
        <w:rPr>
          <w:b/>
          <w:bCs/>
        </w:rPr>
      </w:pPr>
      <m:oMathPara>
        <m:oMath>
          <m:sSub>
            <m:sSubPr>
              <m:ctrlPr>
                <w:rPr>
                  <w:rFonts w:ascii="Cambria Math" w:hAnsi="Cambria Math"/>
                  <w:b/>
                  <w:bCs/>
                  <w:i/>
                </w:rPr>
              </m:ctrlPr>
            </m:sSubPr>
            <m:e>
              <m:r>
                <m:rPr>
                  <m:sty m:val="bi"/>
                </m:rPr>
                <w:rPr>
                  <w:rFonts w:ascii="Cambria Math" w:hAnsi="Cambria Math"/>
                </w:rPr>
                <m:t>Y</m:t>
              </m:r>
            </m:e>
            <m:sub>
              <m:r>
                <m:rPr>
                  <m:sty m:val="bi"/>
                </m:rPr>
                <w:rPr>
                  <w:rFonts w:ascii="Cambria Math" w:hAnsi="Cambria Math"/>
                </w:rPr>
                <m:t>t</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A</m:t>
              </m:r>
            </m:e>
            <m:sub>
              <m:r>
                <m:rPr>
                  <m:sty m:val="bi"/>
                </m:rPr>
                <w:rPr>
                  <w:rFonts w:ascii="Cambria Math" w:hAnsi="Cambria Math"/>
                </w:rPr>
                <m:t>t</m:t>
              </m:r>
            </m:sub>
          </m:sSub>
          <m:sSubSup>
            <m:sSubSupPr>
              <m:ctrlPr>
                <w:rPr>
                  <w:rFonts w:ascii="Cambria Math" w:hAnsi="Cambria Math"/>
                  <w:b/>
                  <w:bCs/>
                  <w:i/>
                </w:rPr>
              </m:ctrlPr>
            </m:sSubSupPr>
            <m:e>
              <m:r>
                <m:rPr>
                  <m:sty m:val="bi"/>
                </m:rPr>
                <w:rPr>
                  <w:rFonts w:ascii="Cambria Math" w:hAnsi="Cambria Math"/>
                </w:rPr>
                <m:t>K</m:t>
              </m:r>
            </m:e>
            <m:sub>
              <m:r>
                <m:rPr>
                  <m:sty m:val="bi"/>
                </m:rPr>
                <w:rPr>
                  <w:rFonts w:ascii="Cambria Math" w:hAnsi="Cambria Math"/>
                </w:rPr>
                <m:t>t</m:t>
              </m:r>
            </m:sub>
            <m:sup>
              <m:r>
                <m:rPr>
                  <m:sty m:val="bi"/>
                </m:rPr>
                <w:rPr>
                  <w:rFonts w:ascii="Cambria Math" w:hAnsi="Cambria Math"/>
                </w:rPr>
                <m:t>α</m:t>
              </m:r>
            </m:sup>
          </m:sSubSup>
          <m:sSubSup>
            <m:sSubSupPr>
              <m:ctrlPr>
                <w:rPr>
                  <w:rFonts w:ascii="Cambria Math" w:hAnsi="Cambria Math"/>
                  <w:b/>
                  <w:bCs/>
                  <w:i/>
                </w:rPr>
              </m:ctrlPr>
            </m:sSubSupPr>
            <m:e>
              <m:r>
                <m:rPr>
                  <m:sty m:val="bi"/>
                </m:rPr>
                <w:rPr>
                  <w:rFonts w:ascii="Cambria Math" w:hAnsi="Cambria Math"/>
                </w:rPr>
                <m:t>L</m:t>
              </m:r>
            </m:e>
            <m:sub>
              <m:r>
                <m:rPr>
                  <m:sty m:val="bi"/>
                </m:rPr>
                <w:rPr>
                  <w:rFonts w:ascii="Cambria Math" w:hAnsi="Cambria Math"/>
                </w:rPr>
                <m:t>t</m:t>
              </m:r>
            </m:sub>
            <m:sup>
              <m:r>
                <m:rPr>
                  <m:sty m:val="bi"/>
                </m:rPr>
                <w:rPr>
                  <w:rFonts w:ascii="Cambria Math" w:hAnsi="Cambria Math"/>
                </w:rPr>
                <m:t>1-α</m:t>
              </m:r>
            </m:sup>
          </m:sSubSup>
          <m:r>
            <m:rPr>
              <m:sty m:val="bi"/>
            </m:rPr>
            <w:rPr>
              <w:rFonts w:ascii="Cambria Math" w:hAnsi="Cambria Math"/>
            </w:rPr>
            <m:t xml:space="preserve"> </m:t>
          </m:r>
        </m:oMath>
      </m:oMathPara>
    </w:p>
    <w:p w14:paraId="30C4F368" w14:textId="77777777" w:rsidR="00E35C50" w:rsidRDefault="00E35C50" w:rsidP="00E35C50">
      <w:pPr>
        <w:spacing w:before="100" w:beforeAutospacing="1" w:after="100" w:afterAutospacing="1"/>
        <w:jc w:val="both"/>
      </w:pPr>
    </w:p>
    <w:p w14:paraId="0EBA9D26" w14:textId="77777777" w:rsidR="00E35C50" w:rsidRPr="001A689B" w:rsidRDefault="00E35C50" w:rsidP="00E35C50">
      <w:pPr>
        <w:spacing w:before="100" w:beforeAutospacing="1" w:after="100" w:afterAutospacing="1"/>
        <w:jc w:val="both"/>
        <w:rPr>
          <w:lang w:val="en-US"/>
        </w:rPr>
      </w:pPr>
      <w:r w:rsidRPr="001A689B">
        <w:rPr>
          <w:lang w:val="en-US"/>
        </w:rPr>
        <w:t xml:space="preserve">Where </w:t>
      </w:r>
      <m:oMath>
        <m:sSub>
          <m:sSubPr>
            <m:ctrlPr>
              <w:rPr>
                <w:rFonts w:ascii="Cambria Math" w:hAnsi="Cambria Math"/>
                <w:i/>
              </w:rPr>
            </m:ctrlPr>
          </m:sSubPr>
          <m:e>
            <m:r>
              <w:rPr>
                <w:rFonts w:ascii="Cambria Math" w:hAnsi="Cambria Math"/>
              </w:rPr>
              <m:t>Y</m:t>
            </m:r>
          </m:e>
          <m:sub>
            <m:r>
              <w:rPr>
                <w:rFonts w:ascii="Cambria Math" w:hAnsi="Cambria Math"/>
              </w:rPr>
              <m:t>t</m:t>
            </m:r>
          </m:sub>
        </m:sSub>
      </m:oMath>
      <w:r w:rsidRPr="001A689B">
        <w:rPr>
          <w:lang w:val="en-US"/>
        </w:rPr>
        <w:t xml:space="preserve">​ is production, </w:t>
      </w:r>
      <m:oMath>
        <m:sSub>
          <m:sSubPr>
            <m:ctrlPr>
              <w:rPr>
                <w:rFonts w:ascii="Cambria Math" w:hAnsi="Cambria Math"/>
                <w:i/>
              </w:rPr>
            </m:ctrlPr>
          </m:sSubPr>
          <m:e>
            <m:r>
              <w:rPr>
                <w:rFonts w:ascii="Cambria Math" w:hAnsi="Cambria Math"/>
              </w:rPr>
              <m:t>A</m:t>
            </m:r>
          </m:e>
          <m:sub>
            <m:r>
              <w:rPr>
                <w:rFonts w:ascii="Cambria Math" w:hAnsi="Cambria Math"/>
              </w:rPr>
              <m:t>t</m:t>
            </m:r>
          </m:sub>
        </m:sSub>
      </m:oMath>
      <w:r w:rsidRPr="001A689B">
        <w:rPr>
          <w:lang w:val="en-US"/>
        </w:rPr>
        <w:t xml:space="preserve">​ is technology lever, </w:t>
      </w:r>
      <m:oMath>
        <m:sSub>
          <m:sSubPr>
            <m:ctrlPr>
              <w:rPr>
                <w:rFonts w:ascii="Cambria Math" w:hAnsi="Cambria Math"/>
                <w:i/>
              </w:rPr>
            </m:ctrlPr>
          </m:sSubPr>
          <m:e>
            <m:r>
              <w:rPr>
                <w:rFonts w:ascii="Cambria Math" w:hAnsi="Cambria Math"/>
              </w:rPr>
              <m:t>K</m:t>
            </m:r>
          </m:e>
          <m:sub>
            <m:r>
              <w:rPr>
                <w:rFonts w:ascii="Cambria Math" w:hAnsi="Cambria Math"/>
              </w:rPr>
              <m:t>t</m:t>
            </m:r>
          </m:sub>
        </m:sSub>
      </m:oMath>
      <w:r w:rsidRPr="001A689B">
        <w:rPr>
          <w:lang w:val="en-US"/>
        </w:rPr>
        <w:t xml:space="preserve">​ is capital, </w:t>
      </w:r>
      <m:oMath>
        <m:sSub>
          <m:sSubPr>
            <m:ctrlPr>
              <w:rPr>
                <w:rFonts w:ascii="Cambria Math" w:hAnsi="Cambria Math"/>
                <w:i/>
              </w:rPr>
            </m:ctrlPr>
          </m:sSubPr>
          <m:e>
            <m:r>
              <w:rPr>
                <w:rFonts w:ascii="Cambria Math" w:hAnsi="Cambria Math"/>
              </w:rPr>
              <m:t>L</m:t>
            </m:r>
          </m:e>
          <m:sub>
            <m:r>
              <w:rPr>
                <w:rFonts w:ascii="Cambria Math" w:hAnsi="Cambria Math"/>
              </w:rPr>
              <m:t>t</m:t>
            </m:r>
          </m:sub>
        </m:sSub>
      </m:oMath>
      <w:r w:rsidRPr="001A689B">
        <w:rPr>
          <w:lang w:val="en-US"/>
        </w:rPr>
        <w:t xml:space="preserve"> is labor and </w:t>
      </w:r>
      <m:oMath>
        <m:r>
          <w:rPr>
            <w:rFonts w:ascii="Cambria Math" w:hAnsi="Cambria Math"/>
          </w:rPr>
          <m:t>α</m:t>
        </m:r>
      </m:oMath>
      <w:r w:rsidRPr="001A689B">
        <w:rPr>
          <w:lang w:val="en-US"/>
        </w:rPr>
        <w:t xml:space="preserve"> is the </w:t>
      </w:r>
      <w:r>
        <w:rPr>
          <w:lang w:val="en-US"/>
        </w:rPr>
        <w:t>capital sharing coefficient.</w:t>
      </w:r>
    </w:p>
    <w:p w14:paraId="282B6F68" w14:textId="77777777" w:rsidR="00E35C50" w:rsidRPr="00F522C1" w:rsidRDefault="00E35C50" w:rsidP="00E35C50">
      <w:pPr>
        <w:spacing w:before="100" w:beforeAutospacing="1" w:after="100" w:afterAutospacing="1"/>
        <w:outlineLvl w:val="3"/>
        <w:rPr>
          <w:b/>
          <w:bCs/>
          <w:lang w:val="en-US"/>
        </w:rPr>
      </w:pPr>
      <w:r w:rsidRPr="00F522C1">
        <w:rPr>
          <w:b/>
          <w:bCs/>
          <w:lang w:val="en"/>
        </w:rPr>
        <w:t>Budgetary constraints of households and businesses</w:t>
      </w:r>
    </w:p>
    <w:p w14:paraId="255DAFE4" w14:textId="77777777" w:rsidR="00E35C50" w:rsidRDefault="00E35C50" w:rsidP="00E35C50">
      <w:pPr>
        <w:spacing w:before="100" w:beforeAutospacing="1" w:after="100" w:afterAutospacing="1"/>
        <w:outlineLvl w:val="3"/>
        <w:rPr>
          <w:b/>
          <w:bCs/>
        </w:rPr>
      </w:pPr>
      <m:oMathPara>
        <m:oMath>
          <m:sSub>
            <m:sSubPr>
              <m:ctrlPr>
                <w:rPr>
                  <w:rFonts w:ascii="Cambria Math" w:hAnsi="Cambria Math"/>
                  <w:b/>
                  <w:bCs/>
                  <w:i/>
                </w:rPr>
              </m:ctrlPr>
            </m:sSubPr>
            <m:e>
              <m:r>
                <m:rPr>
                  <m:sty m:val="bi"/>
                </m:rPr>
                <w:rPr>
                  <w:rFonts w:ascii="Cambria Math" w:hAnsi="Cambria Math"/>
                </w:rPr>
                <m:t>C</m:t>
              </m:r>
            </m:e>
            <m:sub>
              <m:r>
                <m:rPr>
                  <m:sty m:val="bi"/>
                </m:rPr>
                <w:rPr>
                  <w:rFonts w:ascii="Cambria Math" w:hAnsi="Cambria Math"/>
                </w:rPr>
                <m:t>t</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I</m:t>
              </m:r>
            </m:e>
            <m:sub>
              <m:r>
                <m:rPr>
                  <m:sty m:val="bi"/>
                </m:rPr>
                <w:rPr>
                  <w:rFonts w:ascii="Cambria Math" w:hAnsi="Cambria Math"/>
                </w:rPr>
                <m:t>t</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B</m:t>
              </m:r>
            </m:e>
            <m:sub>
              <m:r>
                <m:rPr>
                  <m:sty m:val="bi"/>
                </m:rPr>
                <w:rPr>
                  <w:rFonts w:ascii="Cambria Math" w:hAnsi="Cambria Math"/>
                </w:rPr>
                <m:t>t</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ω</m:t>
              </m:r>
            </m:e>
            <m:sub>
              <m:r>
                <m:rPr>
                  <m:sty m:val="bi"/>
                </m:rPr>
                <w:rPr>
                  <w:rFonts w:ascii="Cambria Math" w:hAnsi="Cambria Math"/>
                </w:rPr>
                <m:t>t</m:t>
              </m:r>
            </m:sub>
          </m:sSub>
          <m:sSub>
            <m:sSubPr>
              <m:ctrlPr>
                <w:rPr>
                  <w:rFonts w:ascii="Cambria Math" w:hAnsi="Cambria Math"/>
                  <w:b/>
                  <w:bCs/>
                  <w:i/>
                </w:rPr>
              </m:ctrlPr>
            </m:sSubPr>
            <m:e>
              <m:r>
                <m:rPr>
                  <m:sty m:val="bi"/>
                </m:rPr>
                <w:rPr>
                  <w:rFonts w:ascii="Cambria Math" w:hAnsi="Cambria Math"/>
                </w:rPr>
                <m:t>L</m:t>
              </m:r>
            </m:e>
            <m:sub>
              <m:r>
                <m:rPr>
                  <m:sty m:val="bi"/>
                </m:rPr>
                <w:rPr>
                  <w:rFonts w:ascii="Cambria Math" w:hAnsi="Cambria Math"/>
                </w:rPr>
                <m:t>t</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r</m:t>
              </m:r>
            </m:e>
            <m:sub>
              <m:r>
                <m:rPr>
                  <m:sty m:val="bi"/>
                </m:rPr>
                <w:rPr>
                  <w:rFonts w:ascii="Cambria Math" w:hAnsi="Cambria Math"/>
                </w:rPr>
                <m:t>t</m:t>
              </m:r>
            </m:sub>
          </m:sSub>
          <m:sSub>
            <m:sSubPr>
              <m:ctrlPr>
                <w:rPr>
                  <w:rFonts w:ascii="Cambria Math" w:hAnsi="Cambria Math"/>
                  <w:b/>
                  <w:bCs/>
                  <w:i/>
                </w:rPr>
              </m:ctrlPr>
            </m:sSubPr>
            <m:e>
              <m:r>
                <m:rPr>
                  <m:sty m:val="bi"/>
                </m:rPr>
                <w:rPr>
                  <w:rFonts w:ascii="Cambria Math" w:hAnsi="Cambria Math"/>
                </w:rPr>
                <m:t>K</m:t>
              </m:r>
            </m:e>
            <m:sub>
              <m:r>
                <m:rPr>
                  <m:sty m:val="bi"/>
                </m:rPr>
                <w:rPr>
                  <w:rFonts w:ascii="Cambria Math" w:hAnsi="Cambria Math"/>
                </w:rPr>
                <m:t>t</m:t>
              </m:r>
            </m:sub>
          </m:sSub>
          <m:r>
            <m:rPr>
              <m:sty m:val="bi"/>
            </m:rPr>
            <w:rPr>
              <w:rFonts w:ascii="Cambria Math" w:hAnsi="Cambria Math"/>
            </w:rPr>
            <m:t>+</m:t>
          </m:r>
          <m:sSub>
            <m:sSubPr>
              <m:ctrlPr>
                <w:rPr>
                  <w:rFonts w:ascii="Cambria Math" w:hAnsi="Cambria Math"/>
                  <w:b/>
                  <w:bCs/>
                  <w:i/>
                </w:rPr>
              </m:ctrlPr>
            </m:sSubPr>
            <m:e>
              <m:r>
                <m:rPr>
                  <m:sty m:val="b"/>
                </m:rPr>
                <w:rPr>
                  <w:rFonts w:ascii="Cambria Math" w:hAnsi="Cambria Math"/>
                </w:rPr>
                <m:t>Π</m:t>
              </m:r>
              <m:ctrlPr>
                <w:rPr>
                  <w:rFonts w:ascii="Cambria Math" w:hAnsi="Cambria Math"/>
                  <w:b/>
                  <w:bCs/>
                </w:rPr>
              </m:ctrlPr>
            </m:e>
            <m:sub>
              <m:r>
                <m:rPr>
                  <m:sty m:val="bi"/>
                </m:rPr>
                <w:rPr>
                  <w:rFonts w:ascii="Cambria Math" w:hAnsi="Cambria Math"/>
                </w:rPr>
                <m:t>t</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T</m:t>
              </m:r>
            </m:e>
            <m:sub>
              <m:r>
                <m:rPr>
                  <m:sty m:val="bi"/>
                </m:rPr>
                <w:rPr>
                  <w:rFonts w:ascii="Cambria Math" w:hAnsi="Cambria Math"/>
                </w:rPr>
                <m:t>t</m:t>
              </m:r>
            </m:sub>
          </m:sSub>
        </m:oMath>
      </m:oMathPara>
    </w:p>
    <w:p w14:paraId="16317FC5" w14:textId="77777777" w:rsidR="00E35C50" w:rsidRDefault="00E35C50" w:rsidP="00E35C50">
      <w:pPr>
        <w:spacing w:before="100" w:beforeAutospacing="1" w:after="100" w:afterAutospacing="1"/>
        <w:outlineLvl w:val="3"/>
      </w:pPr>
    </w:p>
    <w:p w14:paraId="03FF560D" w14:textId="77777777" w:rsidR="00E35C50" w:rsidRPr="001A689B" w:rsidRDefault="00E35C50" w:rsidP="00E35C50">
      <w:pPr>
        <w:spacing w:before="100" w:beforeAutospacing="1" w:after="100" w:afterAutospacing="1"/>
        <w:outlineLvl w:val="3"/>
        <w:rPr>
          <w:lang w:val="en-US"/>
        </w:rPr>
      </w:pPr>
      <w:r w:rsidRPr="001A689B">
        <w:rPr>
          <w:lang w:val="en-US"/>
        </w:rPr>
        <w:t xml:space="preserve">Where </w:t>
      </w:r>
      <m:oMath>
        <m:sSub>
          <m:sSubPr>
            <m:ctrlPr>
              <w:rPr>
                <w:rFonts w:ascii="Cambria Math" w:hAnsi="Cambria Math"/>
                <w:i/>
              </w:rPr>
            </m:ctrlPr>
          </m:sSubPr>
          <m:e>
            <m:r>
              <w:rPr>
                <w:rFonts w:ascii="Cambria Math" w:hAnsi="Cambria Math"/>
              </w:rPr>
              <m:t>I</m:t>
            </m:r>
          </m:e>
          <m:sub>
            <m:r>
              <w:rPr>
                <w:rFonts w:ascii="Cambria Math" w:hAnsi="Cambria Math"/>
              </w:rPr>
              <m:t>t</m:t>
            </m:r>
          </m:sub>
        </m:sSub>
      </m:oMath>
      <w:r w:rsidRPr="001A689B">
        <w:rPr>
          <w:rStyle w:val="vlist-s"/>
          <w:rFonts w:eastAsiaTheme="majorEastAsia"/>
          <w:lang w:val="en-US"/>
        </w:rPr>
        <w:t>​</w:t>
      </w:r>
      <w:r w:rsidRPr="001A689B">
        <w:rPr>
          <w:lang w:val="en-US"/>
        </w:rPr>
        <w:t xml:space="preserve"> is investment, </w:t>
      </w:r>
      <m:oMath>
        <m:sSub>
          <m:sSubPr>
            <m:ctrlPr>
              <w:rPr>
                <w:rFonts w:ascii="Cambria Math" w:hAnsi="Cambria Math"/>
                <w:i/>
              </w:rPr>
            </m:ctrlPr>
          </m:sSubPr>
          <m:e>
            <m:r>
              <w:rPr>
                <w:rFonts w:ascii="Cambria Math" w:hAnsi="Cambria Math"/>
              </w:rPr>
              <m:t>B</m:t>
            </m:r>
          </m:e>
          <m:sub>
            <m:r>
              <w:rPr>
                <w:rFonts w:ascii="Cambria Math" w:hAnsi="Cambria Math"/>
              </w:rPr>
              <m:t>t</m:t>
            </m:r>
          </m:sub>
        </m:sSub>
      </m:oMath>
      <w:r w:rsidRPr="001A689B">
        <w:rPr>
          <w:rStyle w:val="vlist-s"/>
          <w:rFonts w:eastAsiaTheme="majorEastAsia"/>
          <w:lang w:val="en-US"/>
        </w:rPr>
        <w:t>​</w:t>
      </w:r>
      <w:r w:rsidRPr="001A689B">
        <w:rPr>
          <w:lang w:val="en-US"/>
        </w:rPr>
        <w:t xml:space="preserve"> are bonds, </w:t>
      </w:r>
      <m:oMath>
        <m:sSub>
          <m:sSubPr>
            <m:ctrlPr>
              <w:rPr>
                <w:rFonts w:ascii="Cambria Math" w:hAnsi="Cambria Math"/>
                <w:i/>
              </w:rPr>
            </m:ctrlPr>
          </m:sSubPr>
          <m:e>
            <m:r>
              <w:rPr>
                <w:rFonts w:ascii="Cambria Math" w:hAnsi="Cambria Math"/>
              </w:rPr>
              <m:t>w</m:t>
            </m:r>
          </m:e>
          <m:sub>
            <m:r>
              <w:rPr>
                <w:rFonts w:ascii="Cambria Math" w:hAnsi="Cambria Math"/>
              </w:rPr>
              <m:t>t</m:t>
            </m:r>
          </m:sub>
        </m:sSub>
      </m:oMath>
      <w:r w:rsidRPr="001A689B">
        <w:rPr>
          <w:rStyle w:val="vlist-s"/>
          <w:rFonts w:eastAsiaTheme="majorEastAsia"/>
          <w:lang w:val="en-US"/>
        </w:rPr>
        <w:t>​</w:t>
      </w:r>
      <w:r w:rsidRPr="001A689B">
        <w:rPr>
          <w:lang w:val="en-US"/>
        </w:rPr>
        <w:t xml:space="preserve"> is salary, </w:t>
      </w:r>
      <m:oMath>
        <m:sSub>
          <m:sSubPr>
            <m:ctrlPr>
              <w:rPr>
                <w:rFonts w:ascii="Cambria Math" w:hAnsi="Cambria Math"/>
                <w:i/>
              </w:rPr>
            </m:ctrlPr>
          </m:sSubPr>
          <m:e>
            <m:r>
              <w:rPr>
                <w:rFonts w:ascii="Cambria Math" w:hAnsi="Cambria Math"/>
              </w:rPr>
              <m:t>r</m:t>
            </m:r>
          </m:e>
          <m:sub>
            <m:r>
              <w:rPr>
                <w:rFonts w:ascii="Cambria Math" w:hAnsi="Cambria Math"/>
              </w:rPr>
              <m:t>t</m:t>
            </m:r>
          </m:sub>
        </m:sSub>
      </m:oMath>
      <w:r w:rsidRPr="001A689B">
        <w:rPr>
          <w:rStyle w:val="vlist-s"/>
          <w:rFonts w:eastAsiaTheme="majorEastAsia"/>
          <w:lang w:val="en-US"/>
        </w:rPr>
        <w:t>​</w:t>
      </w:r>
      <w:r w:rsidRPr="001A689B">
        <w:rPr>
          <w:lang w:val="en-US"/>
        </w:rPr>
        <w:t xml:space="preserve"> is return on capital, </w:t>
      </w:r>
      <m:oMath>
        <m:r>
          <w:rPr>
            <w:rFonts w:ascii="Cambria Math" w:hAnsi="Cambria Math"/>
            <w:lang w:val="en-US"/>
          </w:rPr>
          <m:t>∏</m:t>
        </m:r>
      </m:oMath>
      <w:r w:rsidRPr="001A689B">
        <w:rPr>
          <w:rStyle w:val="vlist-s"/>
          <w:rFonts w:eastAsiaTheme="majorEastAsia"/>
          <w:lang w:val="en-US"/>
        </w:rPr>
        <w:t>​</w:t>
      </w:r>
      <w:r w:rsidRPr="001A689B">
        <w:rPr>
          <w:lang w:val="en-US"/>
        </w:rPr>
        <w:t xml:space="preserve"> are corporate profits and</w:t>
      </w:r>
      <w:r w:rsidRPr="001A689B">
        <w:rPr>
          <w:rFonts w:eastAsiaTheme="minorEastAsia"/>
          <w:lang w:val="en-US"/>
        </w:rPr>
        <w:t xml:space="preserve"> </w:t>
      </w:r>
      <m:oMath>
        <m:sSub>
          <m:sSubPr>
            <m:ctrlPr>
              <w:rPr>
                <w:rFonts w:ascii="Cambria Math" w:hAnsi="Cambria Math"/>
                <w:i/>
              </w:rPr>
            </m:ctrlPr>
          </m:sSubPr>
          <m:e>
            <m:r>
              <w:rPr>
                <w:rFonts w:ascii="Cambria Math" w:hAnsi="Cambria Math"/>
              </w:rPr>
              <m:t>T</m:t>
            </m:r>
          </m:e>
          <m:sub>
            <m:r>
              <w:rPr>
                <w:rFonts w:ascii="Cambria Math" w:hAnsi="Cambria Math"/>
              </w:rPr>
              <m:t>t</m:t>
            </m:r>
          </m:sub>
        </m:sSub>
      </m:oMath>
      <w:r w:rsidRPr="001A689B">
        <w:rPr>
          <w:lang w:val="en-US"/>
        </w:rPr>
        <w:t xml:space="preserve"> </w:t>
      </w:r>
      <w:r>
        <w:rPr>
          <w:rStyle w:val="vlist-s"/>
          <w:rFonts w:eastAsiaTheme="majorEastAsia"/>
          <w:lang w:val="en-US"/>
        </w:rPr>
        <w:t>are government transfers</w:t>
      </w:r>
      <w:r w:rsidRPr="001A689B">
        <w:rPr>
          <w:lang w:val="en-US"/>
        </w:rPr>
        <w:t>.</w:t>
      </w:r>
    </w:p>
    <w:p w14:paraId="7594EE03" w14:textId="77777777" w:rsidR="00E35C50" w:rsidRDefault="00E35C50" w:rsidP="00E35C50">
      <w:pPr>
        <w:spacing w:before="100" w:beforeAutospacing="1" w:after="100" w:afterAutospacing="1"/>
        <w:outlineLvl w:val="3"/>
        <w:rPr>
          <w:rStyle w:val="Strong"/>
          <w:rFonts w:eastAsiaTheme="majorEastAsia"/>
        </w:rPr>
      </w:pPr>
      <w:r w:rsidRPr="00F522C1">
        <w:rPr>
          <w:rStyle w:val="Strong"/>
          <w:rFonts w:eastAsiaTheme="majorEastAsia"/>
        </w:rPr>
        <w:t>Monetary policy rule</w:t>
      </w:r>
    </w:p>
    <w:p w14:paraId="6D7BD941" w14:textId="77777777" w:rsidR="00E35C50" w:rsidRPr="005E303A" w:rsidRDefault="00E35C50" w:rsidP="00E35C50">
      <w:pPr>
        <w:spacing w:before="100" w:beforeAutospacing="1" w:after="100" w:afterAutospacing="1"/>
        <w:outlineLvl w:val="3"/>
        <w:rPr>
          <w:b/>
        </w:rPr>
      </w:pPr>
      <m:oMathPara>
        <m:oMath>
          <m:sSub>
            <m:sSubPr>
              <m:ctrlPr>
                <w:rPr>
                  <w:rFonts w:ascii="Cambria Math" w:hAnsi="Cambria Math"/>
                  <w:b/>
                  <w:bCs/>
                  <w:i/>
                </w:rPr>
              </m:ctrlPr>
            </m:sSubPr>
            <m:e>
              <m:r>
                <m:rPr>
                  <m:sty m:val="bi"/>
                </m:rPr>
                <w:rPr>
                  <w:rFonts w:ascii="Cambria Math" w:hAnsi="Cambria Math"/>
                </w:rPr>
                <m:t>i</m:t>
              </m:r>
            </m:e>
            <m:sub>
              <m:r>
                <m:rPr>
                  <m:sty m:val="bi"/>
                </m:rPr>
                <w:rPr>
                  <w:rFonts w:ascii="Cambria Math" w:hAnsi="Cambria Math"/>
                </w:rPr>
                <m:t>t</m:t>
              </m:r>
            </m:sub>
          </m:sSub>
          <m:r>
            <m:rPr>
              <m:sty m:val="bi"/>
            </m:rPr>
            <w:rPr>
              <w:rFonts w:ascii="Cambria Math" w:hAnsi="Cambria Math"/>
            </w:rPr>
            <m:t>=ρ+</m:t>
          </m:r>
          <m:sSub>
            <m:sSubPr>
              <m:ctrlPr>
                <w:rPr>
                  <w:rFonts w:ascii="Cambria Math" w:hAnsi="Cambria Math"/>
                  <w:b/>
                  <w:bCs/>
                  <w:i/>
                </w:rPr>
              </m:ctrlPr>
            </m:sSubPr>
            <m:e>
              <m:r>
                <m:rPr>
                  <m:sty m:val="bi"/>
                </m:rPr>
                <w:rPr>
                  <w:rFonts w:ascii="Cambria Math" w:hAnsi="Cambria Math"/>
                </w:rPr>
                <m:t>ϕ</m:t>
              </m:r>
            </m:e>
            <m:sub>
              <m:r>
                <m:rPr>
                  <m:sty m:val="bi"/>
                </m:rPr>
                <w:rPr>
                  <w:rFonts w:ascii="Cambria Math" w:hAnsi="Cambria Math"/>
                </w:rPr>
                <m:t>π</m:t>
              </m:r>
            </m:sub>
          </m:sSub>
          <m:d>
            <m:dPr>
              <m:ctrlPr>
                <w:rPr>
                  <w:rFonts w:ascii="Cambria Math" w:hAnsi="Cambria Math"/>
                  <w:b/>
                  <w:bCs/>
                  <w:i/>
                </w:rPr>
              </m:ctrlPr>
            </m:dPr>
            <m:e>
              <m:sSub>
                <m:sSubPr>
                  <m:ctrlPr>
                    <w:rPr>
                      <w:rFonts w:ascii="Cambria Math" w:hAnsi="Cambria Math"/>
                      <w:b/>
                      <w:bCs/>
                      <w:i/>
                    </w:rPr>
                  </m:ctrlPr>
                </m:sSubPr>
                <m:e>
                  <m:r>
                    <m:rPr>
                      <m:sty m:val="bi"/>
                    </m:rPr>
                    <w:rPr>
                      <w:rFonts w:ascii="Cambria Math" w:hAnsi="Cambria Math"/>
                    </w:rPr>
                    <m:t>π</m:t>
                  </m:r>
                </m:e>
                <m:sub>
                  <m:r>
                    <m:rPr>
                      <m:sty m:val="bi"/>
                    </m:rPr>
                    <w:rPr>
                      <w:rFonts w:ascii="Cambria Math" w:hAnsi="Cambria Math"/>
                    </w:rPr>
                    <m:t>t</m:t>
                  </m:r>
                </m:sub>
              </m:sSub>
              <m:r>
                <m:rPr>
                  <m:sty m:val="bi"/>
                </m:rPr>
                <w:rPr>
                  <w:rFonts w:ascii="Cambria Math" w:hAnsi="Cambria Math"/>
                </w:rPr>
                <m:t>-</m:t>
              </m:r>
              <m:sSup>
                <m:sSupPr>
                  <m:ctrlPr>
                    <w:rPr>
                      <w:rFonts w:ascii="Cambria Math" w:hAnsi="Cambria Math"/>
                      <w:b/>
                      <w:bCs/>
                      <w:i/>
                    </w:rPr>
                  </m:ctrlPr>
                </m:sSupPr>
                <m:e>
                  <m:r>
                    <m:rPr>
                      <m:sty m:val="bi"/>
                    </m:rPr>
                    <w:rPr>
                      <w:rFonts w:ascii="Cambria Math" w:hAnsi="Cambria Math"/>
                    </w:rPr>
                    <m:t>π</m:t>
                  </m:r>
                </m:e>
                <m:sup>
                  <m:r>
                    <m:rPr>
                      <m:sty m:val="bi"/>
                    </m:rPr>
                    <w:rPr>
                      <w:rFonts w:ascii="Cambria Math" w:hAnsi="Cambria Math"/>
                    </w:rPr>
                    <m:t>*</m:t>
                  </m:r>
                </m:sup>
              </m:sSup>
            </m:e>
          </m:d>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ϕ</m:t>
              </m:r>
            </m:e>
            <m:sub>
              <m:r>
                <m:rPr>
                  <m:sty m:val="bi"/>
                </m:rPr>
                <w:rPr>
                  <w:rFonts w:ascii="Cambria Math" w:hAnsi="Cambria Math"/>
                </w:rPr>
                <m:t>y</m:t>
              </m:r>
            </m:sub>
          </m:sSub>
          <m:d>
            <m:dPr>
              <m:ctrlPr>
                <w:rPr>
                  <w:rFonts w:ascii="Cambria Math" w:hAnsi="Cambria Math"/>
                  <w:b/>
                  <w:i/>
                </w:rPr>
              </m:ctrlPr>
            </m:dPr>
            <m:e>
              <m:sSub>
                <m:sSubPr>
                  <m:ctrlPr>
                    <w:rPr>
                      <w:rFonts w:ascii="Cambria Math" w:hAnsi="Cambria Math"/>
                      <w:b/>
                      <w:bCs/>
                      <w:i/>
                    </w:rPr>
                  </m:ctrlPr>
                </m:sSubPr>
                <m:e>
                  <m:r>
                    <m:rPr>
                      <m:sty m:val="bi"/>
                    </m:rPr>
                    <w:rPr>
                      <w:rFonts w:ascii="Cambria Math" w:hAnsi="Cambria Math"/>
                    </w:rPr>
                    <m:t>y</m:t>
                  </m:r>
                </m:e>
                <m:sub>
                  <m:r>
                    <m:rPr>
                      <m:sty m:val="bi"/>
                    </m:rPr>
                    <w:rPr>
                      <w:rFonts w:ascii="Cambria Math" w:hAnsi="Cambria Math"/>
                    </w:rPr>
                    <m:t>t</m:t>
                  </m:r>
                </m:sub>
              </m:sSub>
              <m:r>
                <m:rPr>
                  <m:sty m:val="bi"/>
                </m:rPr>
                <w:rPr>
                  <w:rFonts w:ascii="Cambria Math" w:hAnsi="Cambria Math"/>
                </w:rPr>
                <m:t>-</m:t>
              </m:r>
              <m:sSup>
                <m:sSupPr>
                  <m:ctrlPr>
                    <w:rPr>
                      <w:rFonts w:ascii="Cambria Math" w:hAnsi="Cambria Math"/>
                      <w:b/>
                      <w:bCs/>
                      <w:i/>
                    </w:rPr>
                  </m:ctrlPr>
                </m:sSupPr>
                <m:e>
                  <m:r>
                    <m:rPr>
                      <m:sty m:val="bi"/>
                    </m:rPr>
                    <w:rPr>
                      <w:rFonts w:ascii="Cambria Math" w:hAnsi="Cambria Math"/>
                    </w:rPr>
                    <m:t>y</m:t>
                  </m:r>
                </m:e>
                <m:sup>
                  <m:r>
                    <m:rPr>
                      <m:sty m:val="bi"/>
                    </m:rPr>
                    <w:rPr>
                      <w:rFonts w:ascii="Cambria Math" w:hAnsi="Cambria Math"/>
                    </w:rPr>
                    <m:t>*</m:t>
                  </m:r>
                </m:sup>
              </m:sSup>
            </m:e>
          </m:d>
        </m:oMath>
      </m:oMathPara>
    </w:p>
    <w:p w14:paraId="434A8FAB" w14:textId="77777777" w:rsidR="00E35C50" w:rsidRPr="005E303A" w:rsidRDefault="00E35C50" w:rsidP="00E35C50">
      <w:pPr>
        <w:spacing w:before="100" w:beforeAutospacing="1" w:after="100" w:afterAutospacing="1"/>
        <w:outlineLvl w:val="3"/>
        <w:rPr>
          <w:b/>
          <w:bCs/>
        </w:rPr>
      </w:pPr>
    </w:p>
    <w:p w14:paraId="1E76731B" w14:textId="77777777" w:rsidR="00E35C50" w:rsidRPr="001A689B" w:rsidRDefault="00E35C50" w:rsidP="00E35C50">
      <w:pPr>
        <w:pStyle w:val="NormalWeb"/>
        <w:rPr>
          <w:lang w:val="en-US"/>
        </w:rPr>
      </w:pPr>
      <w:r w:rsidRPr="001A689B">
        <w:rPr>
          <w:lang w:val="en-US"/>
        </w:rPr>
        <w:t xml:space="preserve">Where </w:t>
      </w:r>
      <m:oMath>
        <m:sSub>
          <m:sSubPr>
            <m:ctrlPr>
              <w:rPr>
                <w:rFonts w:ascii="Cambria Math" w:hAnsi="Cambria Math"/>
                <w:i/>
              </w:rPr>
            </m:ctrlPr>
          </m:sSubPr>
          <m:e>
            <m:r>
              <w:rPr>
                <w:rFonts w:ascii="Cambria Math" w:hAnsi="Cambria Math"/>
              </w:rPr>
              <m:t>i</m:t>
            </m:r>
          </m:e>
          <m:sub>
            <m:r>
              <w:rPr>
                <w:rFonts w:ascii="Cambria Math" w:hAnsi="Cambria Math"/>
              </w:rPr>
              <m:t>t</m:t>
            </m:r>
          </m:sub>
        </m:sSub>
      </m:oMath>
      <w:r w:rsidRPr="001A689B">
        <w:rPr>
          <w:rStyle w:val="katex-mathml"/>
          <w:rFonts w:eastAsiaTheme="majorEastAsia"/>
          <w:lang w:val="en-US"/>
        </w:rPr>
        <w:t xml:space="preserve"> </w:t>
      </w:r>
      <w:r w:rsidRPr="001A689B">
        <w:rPr>
          <w:lang w:val="en-US"/>
        </w:rPr>
        <w:t xml:space="preserve">is the nominal interest rate, </w:t>
      </w:r>
      <m:oMath>
        <m:r>
          <w:rPr>
            <w:rStyle w:val="katex-mathml"/>
            <w:rFonts w:ascii="Cambria Math" w:eastAsiaTheme="majorEastAsia" w:hAnsi="Cambria Math"/>
            <w:lang w:val="en-US"/>
          </w:rPr>
          <m:t xml:space="preserve"> </m:t>
        </m:r>
        <m:r>
          <w:rPr>
            <w:rStyle w:val="katex-mathml"/>
            <w:rFonts w:ascii="Cambria Math" w:eastAsiaTheme="majorEastAsia" w:hAnsi="Cambria Math"/>
          </w:rPr>
          <m:t>ρ</m:t>
        </m:r>
        <m:r>
          <w:rPr>
            <w:rStyle w:val="katex-mathml"/>
            <w:rFonts w:ascii="Cambria Math" w:eastAsiaTheme="majorEastAsia" w:hAnsi="Cambria Math"/>
            <w:lang w:val="en-US"/>
          </w:rPr>
          <m:t xml:space="preserve"> </m:t>
        </m:r>
      </m:oMath>
      <w:r w:rsidRPr="001A689B">
        <w:rPr>
          <w:lang w:val="en-US"/>
        </w:rPr>
        <w:t xml:space="preserve">is the natural interest rate, </w:t>
      </w:r>
      <m:oMath>
        <m:sSub>
          <m:sSubPr>
            <m:ctrlPr>
              <w:rPr>
                <w:rFonts w:ascii="Cambria Math" w:hAnsi="Cambria Math"/>
                <w:i/>
              </w:rPr>
            </m:ctrlPr>
          </m:sSubPr>
          <m:e>
            <m:r>
              <w:rPr>
                <w:rFonts w:ascii="Cambria Math" w:hAnsi="Cambria Math"/>
              </w:rPr>
              <m:t>π</m:t>
            </m:r>
          </m:e>
          <m:sub>
            <m:r>
              <w:rPr>
                <w:rFonts w:ascii="Cambria Math" w:hAnsi="Cambria Math"/>
              </w:rPr>
              <m:t>t</m:t>
            </m:r>
          </m:sub>
        </m:sSub>
      </m:oMath>
      <w:r w:rsidRPr="001A689B">
        <w:rPr>
          <w:rStyle w:val="vlist-s"/>
          <w:rFonts w:eastAsiaTheme="majorEastAsia"/>
          <w:lang w:val="en-US"/>
        </w:rPr>
        <w:t>​</w:t>
      </w:r>
      <w:r w:rsidRPr="001A689B">
        <w:rPr>
          <w:lang w:val="en-US"/>
        </w:rPr>
        <w:t xml:space="preserve"> is inflation, </w:t>
      </w:r>
      <m:oMath>
        <m:sSup>
          <m:sSupPr>
            <m:ctrlPr>
              <w:rPr>
                <w:rFonts w:ascii="Cambria Math" w:hAnsi="Cambria Math"/>
                <w:i/>
              </w:rPr>
            </m:ctrlPr>
          </m:sSupPr>
          <m:e>
            <m:r>
              <w:rPr>
                <w:rFonts w:ascii="Cambria Math" w:hAnsi="Cambria Math"/>
              </w:rPr>
              <m:t>π</m:t>
            </m:r>
          </m:e>
          <m:sup>
            <m:r>
              <w:rPr>
                <w:rFonts w:ascii="Cambria Math" w:hAnsi="Cambria Math"/>
                <w:lang w:val="en-US"/>
              </w:rPr>
              <m:t>*</m:t>
            </m:r>
          </m:sup>
        </m:sSup>
      </m:oMath>
      <w:r w:rsidRPr="001A689B">
        <w:rPr>
          <w:lang w:val="en-US"/>
        </w:rPr>
        <w:t xml:space="preserve"> is inflation target, </w:t>
      </w:r>
      <m:oMath>
        <m:sSub>
          <m:sSubPr>
            <m:ctrlPr>
              <w:rPr>
                <w:rFonts w:ascii="Cambria Math" w:hAnsi="Cambria Math"/>
                <w:i/>
              </w:rPr>
            </m:ctrlPr>
          </m:sSubPr>
          <m:e>
            <m:r>
              <w:rPr>
                <w:rFonts w:ascii="Cambria Math" w:hAnsi="Cambria Math"/>
              </w:rPr>
              <m:t>y</m:t>
            </m:r>
          </m:e>
          <m:sub>
            <m:r>
              <w:rPr>
                <w:rFonts w:ascii="Cambria Math" w:hAnsi="Cambria Math"/>
              </w:rPr>
              <m:t>t</m:t>
            </m:r>
          </m:sub>
        </m:sSub>
      </m:oMath>
      <w:r w:rsidRPr="001A689B">
        <w:rPr>
          <w:rStyle w:val="vlist-s"/>
          <w:rFonts w:eastAsiaTheme="majorEastAsia"/>
          <w:lang w:val="en-US"/>
        </w:rPr>
        <w:t>​</w:t>
      </w:r>
      <w:r w:rsidRPr="001A689B">
        <w:rPr>
          <w:lang w:val="en-US"/>
        </w:rPr>
        <w:t xml:space="preserve"> is output</w:t>
      </w:r>
      <w:r>
        <w:rPr>
          <w:lang w:val="en-US"/>
        </w:rPr>
        <w:t xml:space="preserve"> and</w:t>
      </w:r>
      <w:r w:rsidRPr="001A689B">
        <w:rPr>
          <w:lang w:val="en-US"/>
        </w:rPr>
        <w:t xml:space="preserve"> </w:t>
      </w:r>
      <m:oMath>
        <m:sSup>
          <m:sSupPr>
            <m:ctrlPr>
              <w:rPr>
                <w:rFonts w:ascii="Cambria Math" w:hAnsi="Cambria Math"/>
                <w:i/>
              </w:rPr>
            </m:ctrlPr>
          </m:sSupPr>
          <m:e>
            <m:r>
              <w:rPr>
                <w:rFonts w:ascii="Cambria Math" w:hAnsi="Cambria Math"/>
              </w:rPr>
              <m:t>y</m:t>
            </m:r>
          </m:e>
          <m:sup>
            <m:r>
              <w:rPr>
                <w:rFonts w:ascii="Cambria Math" w:hAnsi="Cambria Math"/>
                <w:lang w:val="en-US"/>
              </w:rPr>
              <m:t>*</m:t>
            </m:r>
          </m:sup>
        </m:sSup>
      </m:oMath>
      <w:r w:rsidRPr="001A689B">
        <w:rPr>
          <w:lang w:val="en-US"/>
        </w:rPr>
        <w:t xml:space="preserve"> </w:t>
      </w:r>
      <w:r>
        <w:rPr>
          <w:lang w:val="en-US"/>
        </w:rPr>
        <w:t>is potential output</w:t>
      </w:r>
      <w:r w:rsidRPr="001A689B">
        <w:rPr>
          <w:lang w:val="en-US"/>
        </w:rPr>
        <w:t>.</w:t>
      </w:r>
      <w:r w:rsidRPr="001A689B">
        <w:rPr>
          <w:lang w:val="en-US"/>
        </w:rPr>
        <w:br w:type="page"/>
      </w:r>
    </w:p>
    <w:p w14:paraId="412AA06F" w14:textId="77777777" w:rsidR="00E35C50" w:rsidRDefault="00E35C50" w:rsidP="00E35C50">
      <w:pPr>
        <w:pStyle w:val="NormalWeb"/>
        <w:rPr>
          <w:b/>
          <w:bCs/>
          <w:lang w:val="en-US"/>
        </w:rPr>
      </w:pPr>
      <w:r w:rsidRPr="00F522C1">
        <w:rPr>
          <w:b/>
          <w:bCs/>
          <w:lang w:val="en-US"/>
        </w:rPr>
        <w:lastRenderedPageBreak/>
        <w:t>Appendix</w:t>
      </w:r>
      <w:r w:rsidRPr="00993A5F">
        <w:rPr>
          <w:b/>
          <w:bCs/>
          <w:lang w:val="en-US"/>
        </w:rPr>
        <w:t xml:space="preserve"> </w:t>
      </w:r>
      <w:r>
        <w:rPr>
          <w:b/>
          <w:bCs/>
          <w:lang w:val="en-US"/>
        </w:rPr>
        <w:t>2</w:t>
      </w:r>
      <w:r w:rsidRPr="00993A5F">
        <w:rPr>
          <w:b/>
          <w:bCs/>
          <w:lang w:val="en-US"/>
        </w:rPr>
        <w:t>: Data base of G</w:t>
      </w:r>
      <w:r>
        <w:rPr>
          <w:b/>
          <w:bCs/>
          <w:lang w:val="en-US"/>
        </w:rPr>
        <w:t xml:space="preserve">DP </w:t>
      </w:r>
    </w:p>
    <w:p w14:paraId="1B59A30F" w14:textId="77777777" w:rsidR="00E35C50" w:rsidRDefault="00E35C50" w:rsidP="00E35C50">
      <w:pPr>
        <w:pStyle w:val="NormalWeb"/>
        <w:rPr>
          <w:b/>
          <w:bCs/>
          <w:lang w:val="en-US"/>
        </w:rPr>
      </w:pPr>
    </w:p>
    <w:tbl>
      <w:tblPr>
        <w:tblStyle w:val="TableGrid"/>
        <w:tblW w:w="6440" w:type="dxa"/>
        <w:jc w:val="center"/>
        <w:tblLook w:val="04A0" w:firstRow="1" w:lastRow="0" w:firstColumn="1" w:lastColumn="0" w:noHBand="0" w:noVBand="1"/>
      </w:tblPr>
      <w:tblGrid>
        <w:gridCol w:w="760"/>
        <w:gridCol w:w="2048"/>
        <w:gridCol w:w="2048"/>
        <w:gridCol w:w="1864"/>
      </w:tblGrid>
      <w:tr w:rsidR="00E35C50" w:rsidRPr="00D36B48" w14:paraId="514C6B47" w14:textId="77777777" w:rsidTr="00E85F4B">
        <w:trPr>
          <w:trHeight w:val="320"/>
          <w:jc w:val="center"/>
        </w:trPr>
        <w:tc>
          <w:tcPr>
            <w:tcW w:w="760" w:type="dxa"/>
            <w:noWrap/>
            <w:vAlign w:val="center"/>
            <w:hideMark/>
          </w:tcPr>
          <w:p w14:paraId="58D13D08" w14:textId="77777777" w:rsidR="00E35C50" w:rsidRPr="00D36B48" w:rsidRDefault="00E35C50" w:rsidP="00E85F4B">
            <w:pPr>
              <w:jc w:val="center"/>
              <w:rPr>
                <w:rFonts w:ascii="Aptos Narrow" w:hAnsi="Aptos Narrow"/>
                <w:b/>
                <w:bCs/>
                <w:color w:val="000000"/>
              </w:rPr>
            </w:pPr>
            <w:r>
              <w:rPr>
                <w:rFonts w:ascii="Aptos Narrow" w:hAnsi="Aptos Narrow"/>
                <w:b/>
                <w:bCs/>
                <w:color w:val="000000"/>
              </w:rPr>
              <w:t>Year</w:t>
            </w:r>
          </w:p>
        </w:tc>
        <w:tc>
          <w:tcPr>
            <w:tcW w:w="1960" w:type="dxa"/>
            <w:noWrap/>
            <w:vAlign w:val="center"/>
            <w:hideMark/>
          </w:tcPr>
          <w:p w14:paraId="6E1F39CA" w14:textId="77777777" w:rsidR="00E35C50" w:rsidRPr="00D36B48" w:rsidRDefault="00E35C50" w:rsidP="00E85F4B">
            <w:pPr>
              <w:jc w:val="center"/>
              <w:rPr>
                <w:rFonts w:ascii="Aptos Narrow" w:hAnsi="Aptos Narrow"/>
                <w:b/>
                <w:bCs/>
                <w:color w:val="000000"/>
              </w:rPr>
            </w:pPr>
            <w:r w:rsidRPr="00D36B48">
              <w:rPr>
                <w:rFonts w:ascii="Aptos Narrow" w:hAnsi="Aptos Narrow"/>
                <w:b/>
                <w:bCs/>
                <w:color w:val="000000"/>
              </w:rPr>
              <w:t>Br</w:t>
            </w:r>
            <w:r>
              <w:rPr>
                <w:rFonts w:ascii="Aptos Narrow" w:hAnsi="Aptos Narrow"/>
                <w:b/>
                <w:bCs/>
                <w:color w:val="000000"/>
              </w:rPr>
              <w:t>azil</w:t>
            </w:r>
          </w:p>
        </w:tc>
        <w:tc>
          <w:tcPr>
            <w:tcW w:w="1960" w:type="dxa"/>
            <w:noWrap/>
            <w:vAlign w:val="center"/>
            <w:hideMark/>
          </w:tcPr>
          <w:p w14:paraId="3EF8EB13" w14:textId="77777777" w:rsidR="00E35C50" w:rsidRPr="00D36B48" w:rsidRDefault="00E35C50" w:rsidP="00E85F4B">
            <w:pPr>
              <w:jc w:val="center"/>
              <w:rPr>
                <w:rFonts w:ascii="Aptos Narrow" w:hAnsi="Aptos Narrow"/>
                <w:b/>
                <w:bCs/>
                <w:color w:val="000000"/>
              </w:rPr>
            </w:pPr>
            <w:r w:rsidRPr="00D36B48">
              <w:rPr>
                <w:rFonts w:ascii="Aptos Narrow" w:hAnsi="Aptos Narrow"/>
                <w:b/>
                <w:bCs/>
                <w:color w:val="000000"/>
              </w:rPr>
              <w:t>Ind</w:t>
            </w:r>
            <w:r>
              <w:rPr>
                <w:rFonts w:ascii="Aptos Narrow" w:hAnsi="Aptos Narrow"/>
                <w:b/>
                <w:bCs/>
                <w:color w:val="000000"/>
              </w:rPr>
              <w:t>ia</w:t>
            </w:r>
          </w:p>
        </w:tc>
        <w:tc>
          <w:tcPr>
            <w:tcW w:w="1760" w:type="dxa"/>
            <w:noWrap/>
            <w:vAlign w:val="center"/>
            <w:hideMark/>
          </w:tcPr>
          <w:p w14:paraId="6E5F18EF" w14:textId="77777777" w:rsidR="00E35C50" w:rsidRPr="00D36B48" w:rsidRDefault="00E35C50" w:rsidP="00E85F4B">
            <w:pPr>
              <w:jc w:val="center"/>
              <w:rPr>
                <w:rFonts w:ascii="Aptos Narrow" w:hAnsi="Aptos Narrow"/>
                <w:b/>
                <w:bCs/>
                <w:color w:val="000000"/>
              </w:rPr>
            </w:pPr>
            <w:r w:rsidRPr="00D36B48">
              <w:rPr>
                <w:rFonts w:ascii="Aptos Narrow" w:hAnsi="Aptos Narrow"/>
                <w:b/>
                <w:bCs/>
                <w:color w:val="000000"/>
              </w:rPr>
              <w:t>Nig</w:t>
            </w:r>
            <w:r>
              <w:rPr>
                <w:rFonts w:ascii="Aptos Narrow" w:hAnsi="Aptos Narrow"/>
                <w:b/>
                <w:bCs/>
                <w:color w:val="000000"/>
              </w:rPr>
              <w:t>e</w:t>
            </w:r>
            <w:r w:rsidRPr="00D36B48">
              <w:rPr>
                <w:rFonts w:ascii="Aptos Narrow" w:hAnsi="Aptos Narrow"/>
                <w:b/>
                <w:bCs/>
                <w:color w:val="000000"/>
              </w:rPr>
              <w:t>ria</w:t>
            </w:r>
          </w:p>
        </w:tc>
      </w:tr>
      <w:tr w:rsidR="00E35C50" w:rsidRPr="00D36B48" w14:paraId="62D2B525" w14:textId="77777777" w:rsidTr="00E85F4B">
        <w:trPr>
          <w:trHeight w:val="320"/>
          <w:jc w:val="center"/>
        </w:trPr>
        <w:tc>
          <w:tcPr>
            <w:tcW w:w="760" w:type="dxa"/>
            <w:noWrap/>
            <w:vAlign w:val="center"/>
            <w:hideMark/>
          </w:tcPr>
          <w:p w14:paraId="7BBC76B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2000</w:t>
            </w:r>
          </w:p>
        </w:tc>
        <w:tc>
          <w:tcPr>
            <w:tcW w:w="1960" w:type="dxa"/>
            <w:noWrap/>
            <w:vAlign w:val="center"/>
            <w:hideMark/>
          </w:tcPr>
          <w:p w14:paraId="0822D786"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655,448,000,000</w:t>
            </w:r>
          </w:p>
        </w:tc>
        <w:tc>
          <w:tcPr>
            <w:tcW w:w="1960" w:type="dxa"/>
            <w:noWrap/>
            <w:vAlign w:val="center"/>
            <w:hideMark/>
          </w:tcPr>
          <w:p w14:paraId="3BB2D42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468,396,000,000</w:t>
            </w:r>
          </w:p>
        </w:tc>
        <w:tc>
          <w:tcPr>
            <w:tcW w:w="1760" w:type="dxa"/>
            <w:noWrap/>
            <w:vAlign w:val="center"/>
            <w:hideMark/>
          </w:tcPr>
          <w:p w14:paraId="56826111"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69,171,451,627</w:t>
            </w:r>
          </w:p>
        </w:tc>
      </w:tr>
      <w:tr w:rsidR="00E35C50" w:rsidRPr="00D36B48" w14:paraId="4B770F24" w14:textId="77777777" w:rsidTr="00E85F4B">
        <w:trPr>
          <w:trHeight w:val="320"/>
          <w:jc w:val="center"/>
        </w:trPr>
        <w:tc>
          <w:tcPr>
            <w:tcW w:w="760" w:type="dxa"/>
            <w:noWrap/>
            <w:vAlign w:val="center"/>
            <w:hideMark/>
          </w:tcPr>
          <w:p w14:paraId="487C42D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2001</w:t>
            </w:r>
          </w:p>
        </w:tc>
        <w:tc>
          <w:tcPr>
            <w:tcW w:w="1960" w:type="dxa"/>
            <w:noWrap/>
            <w:vAlign w:val="center"/>
            <w:hideMark/>
          </w:tcPr>
          <w:p w14:paraId="621C988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559,984,000,000</w:t>
            </w:r>
          </w:p>
        </w:tc>
        <w:tc>
          <w:tcPr>
            <w:tcW w:w="1960" w:type="dxa"/>
            <w:noWrap/>
            <w:vAlign w:val="center"/>
            <w:hideMark/>
          </w:tcPr>
          <w:p w14:paraId="7E155BBF"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485,440,000,000</w:t>
            </w:r>
          </w:p>
        </w:tc>
        <w:tc>
          <w:tcPr>
            <w:tcW w:w="1760" w:type="dxa"/>
            <w:noWrap/>
            <w:vAlign w:val="center"/>
            <w:hideMark/>
          </w:tcPr>
          <w:p w14:paraId="146D984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73,557,840,064</w:t>
            </w:r>
          </w:p>
        </w:tc>
      </w:tr>
      <w:tr w:rsidR="00E35C50" w:rsidRPr="00D36B48" w14:paraId="531B199D" w14:textId="77777777" w:rsidTr="00E85F4B">
        <w:trPr>
          <w:trHeight w:val="320"/>
          <w:jc w:val="center"/>
        </w:trPr>
        <w:tc>
          <w:tcPr>
            <w:tcW w:w="760" w:type="dxa"/>
            <w:noWrap/>
            <w:vAlign w:val="center"/>
            <w:hideMark/>
          </w:tcPr>
          <w:p w14:paraId="318CB8E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2002</w:t>
            </w:r>
          </w:p>
        </w:tc>
        <w:tc>
          <w:tcPr>
            <w:tcW w:w="1960" w:type="dxa"/>
            <w:noWrap/>
            <w:vAlign w:val="center"/>
            <w:hideMark/>
          </w:tcPr>
          <w:p w14:paraId="7E9DAA0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509,795,000,000</w:t>
            </w:r>
          </w:p>
        </w:tc>
        <w:tc>
          <w:tcPr>
            <w:tcW w:w="1960" w:type="dxa"/>
            <w:noWrap/>
            <w:vAlign w:val="center"/>
            <w:hideMark/>
          </w:tcPr>
          <w:p w14:paraId="01903539"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514,939,000,000</w:t>
            </w:r>
          </w:p>
        </w:tc>
        <w:tc>
          <w:tcPr>
            <w:tcW w:w="1760" w:type="dxa"/>
            <w:noWrap/>
            <w:vAlign w:val="center"/>
            <w:hideMark/>
          </w:tcPr>
          <w:p w14:paraId="1456703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95,054,059,303</w:t>
            </w:r>
          </w:p>
        </w:tc>
      </w:tr>
      <w:tr w:rsidR="00E35C50" w:rsidRPr="00D36B48" w14:paraId="09E7D031" w14:textId="77777777" w:rsidTr="00E85F4B">
        <w:trPr>
          <w:trHeight w:val="320"/>
          <w:jc w:val="center"/>
        </w:trPr>
        <w:tc>
          <w:tcPr>
            <w:tcW w:w="760" w:type="dxa"/>
            <w:noWrap/>
            <w:vAlign w:val="center"/>
            <w:hideMark/>
          </w:tcPr>
          <w:p w14:paraId="51B26D25"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2003</w:t>
            </w:r>
          </w:p>
        </w:tc>
        <w:tc>
          <w:tcPr>
            <w:tcW w:w="1960" w:type="dxa"/>
            <w:noWrap/>
            <w:vAlign w:val="center"/>
            <w:hideMark/>
          </w:tcPr>
          <w:p w14:paraId="45120327"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558,234,000,000</w:t>
            </w:r>
          </w:p>
        </w:tc>
        <w:tc>
          <w:tcPr>
            <w:tcW w:w="1960" w:type="dxa"/>
            <w:noWrap/>
            <w:vAlign w:val="center"/>
            <w:hideMark/>
          </w:tcPr>
          <w:p w14:paraId="5F0FB96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607,701,000,000</w:t>
            </w:r>
          </w:p>
        </w:tc>
        <w:tc>
          <w:tcPr>
            <w:tcW w:w="1760" w:type="dxa"/>
            <w:noWrap/>
            <w:vAlign w:val="center"/>
            <w:hideMark/>
          </w:tcPr>
          <w:p w14:paraId="79493E4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104,739,000,000</w:t>
            </w:r>
          </w:p>
        </w:tc>
      </w:tr>
      <w:tr w:rsidR="00E35C50" w:rsidRPr="00D36B48" w14:paraId="62279FEE" w14:textId="77777777" w:rsidTr="00E85F4B">
        <w:trPr>
          <w:trHeight w:val="320"/>
          <w:jc w:val="center"/>
        </w:trPr>
        <w:tc>
          <w:tcPr>
            <w:tcW w:w="760" w:type="dxa"/>
            <w:noWrap/>
            <w:vAlign w:val="center"/>
            <w:hideMark/>
          </w:tcPr>
          <w:p w14:paraId="1D2A8E8B"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2004</w:t>
            </w:r>
          </w:p>
        </w:tc>
        <w:tc>
          <w:tcPr>
            <w:tcW w:w="1960" w:type="dxa"/>
            <w:noWrap/>
            <w:vAlign w:val="center"/>
            <w:hideMark/>
          </w:tcPr>
          <w:p w14:paraId="04AB1A7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669,289,000,000</w:t>
            </w:r>
          </w:p>
        </w:tc>
        <w:tc>
          <w:tcPr>
            <w:tcW w:w="1960" w:type="dxa"/>
            <w:noWrap/>
            <w:vAlign w:val="center"/>
            <w:hideMark/>
          </w:tcPr>
          <w:p w14:paraId="33229135"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709,153,000,000</w:t>
            </w:r>
          </w:p>
        </w:tc>
        <w:tc>
          <w:tcPr>
            <w:tcW w:w="1760" w:type="dxa"/>
            <w:noWrap/>
            <w:vAlign w:val="center"/>
            <w:hideMark/>
          </w:tcPr>
          <w:p w14:paraId="5029798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135,765,000,000</w:t>
            </w:r>
          </w:p>
        </w:tc>
      </w:tr>
      <w:tr w:rsidR="00E35C50" w:rsidRPr="00D36B48" w14:paraId="58758586" w14:textId="77777777" w:rsidTr="00E85F4B">
        <w:trPr>
          <w:trHeight w:val="320"/>
          <w:jc w:val="center"/>
        </w:trPr>
        <w:tc>
          <w:tcPr>
            <w:tcW w:w="760" w:type="dxa"/>
            <w:noWrap/>
            <w:vAlign w:val="center"/>
            <w:hideMark/>
          </w:tcPr>
          <w:p w14:paraId="252F6BA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2005</w:t>
            </w:r>
          </w:p>
        </w:tc>
        <w:tc>
          <w:tcPr>
            <w:tcW w:w="1960" w:type="dxa"/>
            <w:noWrap/>
            <w:vAlign w:val="center"/>
            <w:hideMark/>
          </w:tcPr>
          <w:p w14:paraId="274147E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891,634,000,000</w:t>
            </w:r>
          </w:p>
        </w:tc>
        <w:tc>
          <w:tcPr>
            <w:tcW w:w="1960" w:type="dxa"/>
            <w:noWrap/>
            <w:vAlign w:val="center"/>
            <w:hideMark/>
          </w:tcPr>
          <w:p w14:paraId="0E70FE4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820,384,000,000</w:t>
            </w:r>
          </w:p>
        </w:tc>
        <w:tc>
          <w:tcPr>
            <w:tcW w:w="1760" w:type="dxa"/>
            <w:noWrap/>
            <w:vAlign w:val="center"/>
            <w:hideMark/>
          </w:tcPr>
          <w:p w14:paraId="1FD8BA7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175,671,000,000</w:t>
            </w:r>
          </w:p>
        </w:tc>
      </w:tr>
      <w:tr w:rsidR="00E35C50" w:rsidRPr="00D36B48" w14:paraId="07033FDA" w14:textId="77777777" w:rsidTr="00E85F4B">
        <w:trPr>
          <w:trHeight w:val="320"/>
          <w:jc w:val="center"/>
        </w:trPr>
        <w:tc>
          <w:tcPr>
            <w:tcW w:w="760" w:type="dxa"/>
            <w:noWrap/>
            <w:vAlign w:val="center"/>
            <w:hideMark/>
          </w:tcPr>
          <w:p w14:paraId="2F9044EA"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2006</w:t>
            </w:r>
          </w:p>
        </w:tc>
        <w:tc>
          <w:tcPr>
            <w:tcW w:w="1960" w:type="dxa"/>
            <w:noWrap/>
            <w:vAlign w:val="center"/>
            <w:hideMark/>
          </w:tcPr>
          <w:p w14:paraId="4CB099AD"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1,107,630,000,000</w:t>
            </w:r>
          </w:p>
        </w:tc>
        <w:tc>
          <w:tcPr>
            <w:tcW w:w="1960" w:type="dxa"/>
            <w:noWrap/>
            <w:vAlign w:val="center"/>
            <w:hideMark/>
          </w:tcPr>
          <w:p w14:paraId="2E04656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940,260,000,000</w:t>
            </w:r>
          </w:p>
        </w:tc>
        <w:tc>
          <w:tcPr>
            <w:tcW w:w="1760" w:type="dxa"/>
            <w:noWrap/>
            <w:vAlign w:val="center"/>
            <w:hideMark/>
          </w:tcPr>
          <w:p w14:paraId="79B3EFCB"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238,455,000,000</w:t>
            </w:r>
          </w:p>
        </w:tc>
      </w:tr>
      <w:tr w:rsidR="00E35C50" w:rsidRPr="00D36B48" w14:paraId="252DAA38" w14:textId="77777777" w:rsidTr="00E85F4B">
        <w:trPr>
          <w:trHeight w:val="320"/>
          <w:jc w:val="center"/>
        </w:trPr>
        <w:tc>
          <w:tcPr>
            <w:tcW w:w="760" w:type="dxa"/>
            <w:noWrap/>
            <w:vAlign w:val="center"/>
            <w:hideMark/>
          </w:tcPr>
          <w:p w14:paraId="22B54079"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2007</w:t>
            </w:r>
          </w:p>
        </w:tc>
        <w:tc>
          <w:tcPr>
            <w:tcW w:w="1960" w:type="dxa"/>
            <w:noWrap/>
            <w:vAlign w:val="center"/>
            <w:hideMark/>
          </w:tcPr>
          <w:p w14:paraId="1E77373A"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1,397,110,000,000</w:t>
            </w:r>
          </w:p>
        </w:tc>
        <w:tc>
          <w:tcPr>
            <w:tcW w:w="1960" w:type="dxa"/>
            <w:noWrap/>
            <w:vAlign w:val="center"/>
            <w:hideMark/>
          </w:tcPr>
          <w:p w14:paraId="5E8E7AAB"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1,216,740,000,000</w:t>
            </w:r>
          </w:p>
        </w:tc>
        <w:tc>
          <w:tcPr>
            <w:tcW w:w="1760" w:type="dxa"/>
            <w:noWrap/>
            <w:vAlign w:val="center"/>
            <w:hideMark/>
          </w:tcPr>
          <w:p w14:paraId="1B04E0B8"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278,261,000,000</w:t>
            </w:r>
          </w:p>
        </w:tc>
      </w:tr>
      <w:tr w:rsidR="00E35C50" w:rsidRPr="00D36B48" w14:paraId="6144BE0D" w14:textId="77777777" w:rsidTr="00E85F4B">
        <w:trPr>
          <w:trHeight w:val="320"/>
          <w:jc w:val="center"/>
        </w:trPr>
        <w:tc>
          <w:tcPr>
            <w:tcW w:w="760" w:type="dxa"/>
            <w:noWrap/>
            <w:vAlign w:val="center"/>
            <w:hideMark/>
          </w:tcPr>
          <w:p w14:paraId="63E7E2B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2008</w:t>
            </w:r>
          </w:p>
        </w:tc>
        <w:tc>
          <w:tcPr>
            <w:tcW w:w="1960" w:type="dxa"/>
            <w:noWrap/>
            <w:vAlign w:val="center"/>
            <w:hideMark/>
          </w:tcPr>
          <w:p w14:paraId="51F22F92"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1,695,860,000,000</w:t>
            </w:r>
          </w:p>
        </w:tc>
        <w:tc>
          <w:tcPr>
            <w:tcW w:w="1960" w:type="dxa"/>
            <w:noWrap/>
            <w:vAlign w:val="center"/>
            <w:hideMark/>
          </w:tcPr>
          <w:p w14:paraId="5317D5BF"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1,198,900,000,000</w:t>
            </w:r>
          </w:p>
        </w:tc>
        <w:tc>
          <w:tcPr>
            <w:tcW w:w="1760" w:type="dxa"/>
            <w:noWrap/>
            <w:vAlign w:val="center"/>
            <w:hideMark/>
          </w:tcPr>
          <w:p w14:paraId="546FD4D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339,476,000,000</w:t>
            </w:r>
          </w:p>
        </w:tc>
      </w:tr>
      <w:tr w:rsidR="00E35C50" w:rsidRPr="00D36B48" w14:paraId="465A6CCA" w14:textId="77777777" w:rsidTr="00E85F4B">
        <w:trPr>
          <w:trHeight w:val="320"/>
          <w:jc w:val="center"/>
        </w:trPr>
        <w:tc>
          <w:tcPr>
            <w:tcW w:w="760" w:type="dxa"/>
            <w:noWrap/>
            <w:vAlign w:val="center"/>
            <w:hideMark/>
          </w:tcPr>
          <w:p w14:paraId="253BEE49"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2009</w:t>
            </w:r>
          </w:p>
        </w:tc>
        <w:tc>
          <w:tcPr>
            <w:tcW w:w="1960" w:type="dxa"/>
            <w:noWrap/>
            <w:vAlign w:val="center"/>
            <w:hideMark/>
          </w:tcPr>
          <w:p w14:paraId="0731402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1,667,000,000,000</w:t>
            </w:r>
          </w:p>
        </w:tc>
        <w:tc>
          <w:tcPr>
            <w:tcW w:w="1960" w:type="dxa"/>
            <w:noWrap/>
            <w:vAlign w:val="center"/>
            <w:hideMark/>
          </w:tcPr>
          <w:p w14:paraId="07763B7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1,341,890,000,000</w:t>
            </w:r>
          </w:p>
        </w:tc>
        <w:tc>
          <w:tcPr>
            <w:tcW w:w="1760" w:type="dxa"/>
            <w:noWrap/>
            <w:vAlign w:val="center"/>
            <w:hideMark/>
          </w:tcPr>
          <w:p w14:paraId="5DD4C36F"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295,009,000,000</w:t>
            </w:r>
          </w:p>
        </w:tc>
      </w:tr>
      <w:tr w:rsidR="00E35C50" w:rsidRPr="00D36B48" w14:paraId="3D3CECA2" w14:textId="77777777" w:rsidTr="00E85F4B">
        <w:trPr>
          <w:trHeight w:val="320"/>
          <w:jc w:val="center"/>
        </w:trPr>
        <w:tc>
          <w:tcPr>
            <w:tcW w:w="760" w:type="dxa"/>
            <w:noWrap/>
            <w:vAlign w:val="center"/>
            <w:hideMark/>
          </w:tcPr>
          <w:p w14:paraId="160C57B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2010</w:t>
            </w:r>
          </w:p>
        </w:tc>
        <w:tc>
          <w:tcPr>
            <w:tcW w:w="1960" w:type="dxa"/>
            <w:noWrap/>
            <w:vAlign w:val="center"/>
            <w:hideMark/>
          </w:tcPr>
          <w:p w14:paraId="728D517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2,208,840,000,000</w:t>
            </w:r>
          </w:p>
        </w:tc>
        <w:tc>
          <w:tcPr>
            <w:tcW w:w="1960" w:type="dxa"/>
            <w:noWrap/>
            <w:vAlign w:val="center"/>
            <w:hideMark/>
          </w:tcPr>
          <w:p w14:paraId="327AD0C5"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1,675,620,000,000</w:t>
            </w:r>
          </w:p>
        </w:tc>
        <w:tc>
          <w:tcPr>
            <w:tcW w:w="1760" w:type="dxa"/>
            <w:noWrap/>
            <w:vAlign w:val="center"/>
            <w:hideMark/>
          </w:tcPr>
          <w:p w14:paraId="2CA7D256"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366,990,000,000</w:t>
            </w:r>
          </w:p>
        </w:tc>
      </w:tr>
      <w:tr w:rsidR="00E35C50" w:rsidRPr="00D36B48" w14:paraId="3052ADA0" w14:textId="77777777" w:rsidTr="00E85F4B">
        <w:trPr>
          <w:trHeight w:val="320"/>
          <w:jc w:val="center"/>
        </w:trPr>
        <w:tc>
          <w:tcPr>
            <w:tcW w:w="760" w:type="dxa"/>
            <w:noWrap/>
            <w:vAlign w:val="center"/>
            <w:hideMark/>
          </w:tcPr>
          <w:p w14:paraId="654ECFF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2011</w:t>
            </w:r>
          </w:p>
        </w:tc>
        <w:tc>
          <w:tcPr>
            <w:tcW w:w="1960" w:type="dxa"/>
            <w:noWrap/>
            <w:vAlign w:val="center"/>
            <w:hideMark/>
          </w:tcPr>
          <w:p w14:paraId="1B8C99F6"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2,616,160,000,000</w:t>
            </w:r>
          </w:p>
        </w:tc>
        <w:tc>
          <w:tcPr>
            <w:tcW w:w="1960" w:type="dxa"/>
            <w:noWrap/>
            <w:vAlign w:val="center"/>
            <w:hideMark/>
          </w:tcPr>
          <w:p w14:paraId="7BFB2F6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1,823,050,000,000</w:t>
            </w:r>
          </w:p>
        </w:tc>
        <w:tc>
          <w:tcPr>
            <w:tcW w:w="1760" w:type="dxa"/>
            <w:noWrap/>
            <w:vAlign w:val="center"/>
            <w:hideMark/>
          </w:tcPr>
          <w:p w14:paraId="6E579096"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414,467,000,000</w:t>
            </w:r>
          </w:p>
        </w:tc>
      </w:tr>
      <w:tr w:rsidR="00E35C50" w:rsidRPr="00D36B48" w14:paraId="060B771F" w14:textId="77777777" w:rsidTr="00E85F4B">
        <w:trPr>
          <w:trHeight w:val="320"/>
          <w:jc w:val="center"/>
        </w:trPr>
        <w:tc>
          <w:tcPr>
            <w:tcW w:w="760" w:type="dxa"/>
            <w:noWrap/>
            <w:vAlign w:val="center"/>
            <w:hideMark/>
          </w:tcPr>
          <w:p w14:paraId="6EDB9296"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2012</w:t>
            </w:r>
          </w:p>
        </w:tc>
        <w:tc>
          <w:tcPr>
            <w:tcW w:w="1960" w:type="dxa"/>
            <w:noWrap/>
            <w:vAlign w:val="center"/>
            <w:hideMark/>
          </w:tcPr>
          <w:p w14:paraId="78937EE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2,465,230,000,000</w:t>
            </w:r>
          </w:p>
        </w:tc>
        <w:tc>
          <w:tcPr>
            <w:tcW w:w="1960" w:type="dxa"/>
            <w:noWrap/>
            <w:vAlign w:val="center"/>
            <w:hideMark/>
          </w:tcPr>
          <w:p w14:paraId="4D791C72"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1,827,640,000,000</w:t>
            </w:r>
          </w:p>
        </w:tc>
        <w:tc>
          <w:tcPr>
            <w:tcW w:w="1760" w:type="dxa"/>
            <w:noWrap/>
            <w:vAlign w:val="center"/>
            <w:hideMark/>
          </w:tcPr>
          <w:p w14:paraId="3A450CD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463,971,000,000</w:t>
            </w:r>
          </w:p>
        </w:tc>
      </w:tr>
      <w:tr w:rsidR="00E35C50" w:rsidRPr="00D36B48" w14:paraId="29A58BF8" w14:textId="77777777" w:rsidTr="00E85F4B">
        <w:trPr>
          <w:trHeight w:val="320"/>
          <w:jc w:val="center"/>
        </w:trPr>
        <w:tc>
          <w:tcPr>
            <w:tcW w:w="760" w:type="dxa"/>
            <w:noWrap/>
            <w:vAlign w:val="center"/>
            <w:hideMark/>
          </w:tcPr>
          <w:p w14:paraId="00E584E8"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2013</w:t>
            </w:r>
          </w:p>
        </w:tc>
        <w:tc>
          <w:tcPr>
            <w:tcW w:w="1960" w:type="dxa"/>
            <w:noWrap/>
            <w:vAlign w:val="center"/>
            <w:hideMark/>
          </w:tcPr>
          <w:p w14:paraId="002864F1"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2,472,820,000,000</w:t>
            </w:r>
          </w:p>
        </w:tc>
        <w:tc>
          <w:tcPr>
            <w:tcW w:w="1960" w:type="dxa"/>
            <w:noWrap/>
            <w:vAlign w:val="center"/>
            <w:hideMark/>
          </w:tcPr>
          <w:p w14:paraId="28B52EE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1,856,720,000,000</w:t>
            </w:r>
          </w:p>
        </w:tc>
        <w:tc>
          <w:tcPr>
            <w:tcW w:w="1760" w:type="dxa"/>
            <w:noWrap/>
            <w:vAlign w:val="center"/>
            <w:hideMark/>
          </w:tcPr>
          <w:p w14:paraId="49D5C9A5"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520,117,000,000</w:t>
            </w:r>
          </w:p>
        </w:tc>
      </w:tr>
      <w:tr w:rsidR="00E35C50" w:rsidRPr="00D36B48" w14:paraId="4B7E9529" w14:textId="77777777" w:rsidTr="00E85F4B">
        <w:trPr>
          <w:trHeight w:val="320"/>
          <w:jc w:val="center"/>
        </w:trPr>
        <w:tc>
          <w:tcPr>
            <w:tcW w:w="760" w:type="dxa"/>
            <w:noWrap/>
            <w:vAlign w:val="center"/>
            <w:hideMark/>
          </w:tcPr>
          <w:p w14:paraId="4EF77871"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2014</w:t>
            </w:r>
          </w:p>
        </w:tc>
        <w:tc>
          <w:tcPr>
            <w:tcW w:w="1960" w:type="dxa"/>
            <w:noWrap/>
            <w:vAlign w:val="center"/>
            <w:hideMark/>
          </w:tcPr>
          <w:p w14:paraId="06D46E9B"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2,456,040,000,000</w:t>
            </w:r>
          </w:p>
        </w:tc>
        <w:tc>
          <w:tcPr>
            <w:tcW w:w="1960" w:type="dxa"/>
            <w:noWrap/>
            <w:vAlign w:val="center"/>
            <w:hideMark/>
          </w:tcPr>
          <w:p w14:paraId="1EA3E4D6"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2,039,130,000,000</w:t>
            </w:r>
          </w:p>
        </w:tc>
        <w:tc>
          <w:tcPr>
            <w:tcW w:w="1760" w:type="dxa"/>
            <w:noWrap/>
            <w:vAlign w:val="center"/>
            <w:hideMark/>
          </w:tcPr>
          <w:p w14:paraId="108EA5E2"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574,184,000,000</w:t>
            </w:r>
          </w:p>
        </w:tc>
      </w:tr>
      <w:tr w:rsidR="00E35C50" w:rsidRPr="00D36B48" w14:paraId="210858D2" w14:textId="77777777" w:rsidTr="00E85F4B">
        <w:trPr>
          <w:trHeight w:val="320"/>
          <w:jc w:val="center"/>
        </w:trPr>
        <w:tc>
          <w:tcPr>
            <w:tcW w:w="760" w:type="dxa"/>
            <w:noWrap/>
            <w:vAlign w:val="center"/>
            <w:hideMark/>
          </w:tcPr>
          <w:p w14:paraId="522D195D"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2015</w:t>
            </w:r>
          </w:p>
        </w:tc>
        <w:tc>
          <w:tcPr>
            <w:tcW w:w="1960" w:type="dxa"/>
            <w:noWrap/>
            <w:vAlign w:val="center"/>
            <w:hideMark/>
          </w:tcPr>
          <w:p w14:paraId="2732EBF7"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1,802,210,000,000</w:t>
            </w:r>
          </w:p>
        </w:tc>
        <w:tc>
          <w:tcPr>
            <w:tcW w:w="1960" w:type="dxa"/>
            <w:noWrap/>
            <w:vAlign w:val="center"/>
            <w:hideMark/>
          </w:tcPr>
          <w:p w14:paraId="67931AC6"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2,103,590,000,000</w:t>
            </w:r>
          </w:p>
        </w:tc>
        <w:tc>
          <w:tcPr>
            <w:tcW w:w="1760" w:type="dxa"/>
            <w:noWrap/>
            <w:vAlign w:val="center"/>
            <w:hideMark/>
          </w:tcPr>
          <w:p w14:paraId="1177190A"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493,027,000,000</w:t>
            </w:r>
          </w:p>
        </w:tc>
      </w:tr>
      <w:tr w:rsidR="00E35C50" w:rsidRPr="00D36B48" w14:paraId="37178F10" w14:textId="77777777" w:rsidTr="00E85F4B">
        <w:trPr>
          <w:trHeight w:val="320"/>
          <w:jc w:val="center"/>
        </w:trPr>
        <w:tc>
          <w:tcPr>
            <w:tcW w:w="760" w:type="dxa"/>
            <w:noWrap/>
            <w:vAlign w:val="center"/>
            <w:hideMark/>
          </w:tcPr>
          <w:p w14:paraId="58442F01"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2016</w:t>
            </w:r>
          </w:p>
        </w:tc>
        <w:tc>
          <w:tcPr>
            <w:tcW w:w="1960" w:type="dxa"/>
            <w:noWrap/>
            <w:vAlign w:val="center"/>
            <w:hideMark/>
          </w:tcPr>
          <w:p w14:paraId="4ACC147A"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1,795,690,000,000</w:t>
            </w:r>
          </w:p>
        </w:tc>
        <w:tc>
          <w:tcPr>
            <w:tcW w:w="1960" w:type="dxa"/>
            <w:noWrap/>
            <w:vAlign w:val="center"/>
            <w:hideMark/>
          </w:tcPr>
          <w:p w14:paraId="123A615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2,294,800,000,000</w:t>
            </w:r>
          </w:p>
        </w:tc>
        <w:tc>
          <w:tcPr>
            <w:tcW w:w="1760" w:type="dxa"/>
            <w:noWrap/>
            <w:vAlign w:val="center"/>
            <w:hideMark/>
          </w:tcPr>
          <w:p w14:paraId="64B60CD7"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404,649,000,000</w:t>
            </w:r>
          </w:p>
        </w:tc>
      </w:tr>
      <w:tr w:rsidR="00E35C50" w:rsidRPr="00D36B48" w14:paraId="3FD5FAB1" w14:textId="77777777" w:rsidTr="00E85F4B">
        <w:trPr>
          <w:trHeight w:val="320"/>
          <w:jc w:val="center"/>
        </w:trPr>
        <w:tc>
          <w:tcPr>
            <w:tcW w:w="760" w:type="dxa"/>
            <w:noWrap/>
            <w:vAlign w:val="center"/>
            <w:hideMark/>
          </w:tcPr>
          <w:p w14:paraId="1DD8356D"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2017</w:t>
            </w:r>
          </w:p>
        </w:tc>
        <w:tc>
          <w:tcPr>
            <w:tcW w:w="1960" w:type="dxa"/>
            <w:noWrap/>
            <w:vAlign w:val="center"/>
            <w:hideMark/>
          </w:tcPr>
          <w:p w14:paraId="0A865D8F"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2,063,510,000,000</w:t>
            </w:r>
          </w:p>
        </w:tc>
        <w:tc>
          <w:tcPr>
            <w:tcW w:w="1960" w:type="dxa"/>
            <w:noWrap/>
            <w:vAlign w:val="center"/>
            <w:hideMark/>
          </w:tcPr>
          <w:p w14:paraId="5FBFEAF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2,651,470,000,000</w:t>
            </w:r>
          </w:p>
        </w:tc>
        <w:tc>
          <w:tcPr>
            <w:tcW w:w="1760" w:type="dxa"/>
            <w:noWrap/>
            <w:vAlign w:val="center"/>
            <w:hideMark/>
          </w:tcPr>
          <w:p w14:paraId="60A5485D"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375,746,000,000</w:t>
            </w:r>
          </w:p>
        </w:tc>
      </w:tr>
      <w:tr w:rsidR="00E35C50" w:rsidRPr="00D36B48" w14:paraId="26F6A5C2" w14:textId="77777777" w:rsidTr="00E85F4B">
        <w:trPr>
          <w:trHeight w:val="320"/>
          <w:jc w:val="center"/>
        </w:trPr>
        <w:tc>
          <w:tcPr>
            <w:tcW w:w="760" w:type="dxa"/>
            <w:noWrap/>
            <w:vAlign w:val="center"/>
            <w:hideMark/>
          </w:tcPr>
          <w:p w14:paraId="0EFF2927"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2018</w:t>
            </w:r>
          </w:p>
        </w:tc>
        <w:tc>
          <w:tcPr>
            <w:tcW w:w="1960" w:type="dxa"/>
            <w:noWrap/>
            <w:vAlign w:val="center"/>
            <w:hideMark/>
          </w:tcPr>
          <w:p w14:paraId="6DDA704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1,916,930,000,000</w:t>
            </w:r>
          </w:p>
        </w:tc>
        <w:tc>
          <w:tcPr>
            <w:tcW w:w="1960" w:type="dxa"/>
            <w:noWrap/>
            <w:vAlign w:val="center"/>
            <w:hideMark/>
          </w:tcPr>
          <w:p w14:paraId="7011DC42"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2,702,930,000,000</w:t>
            </w:r>
          </w:p>
        </w:tc>
        <w:tc>
          <w:tcPr>
            <w:tcW w:w="1760" w:type="dxa"/>
            <w:noWrap/>
            <w:vAlign w:val="center"/>
            <w:hideMark/>
          </w:tcPr>
          <w:p w14:paraId="783BBE0B"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421,739,000,000</w:t>
            </w:r>
          </w:p>
        </w:tc>
      </w:tr>
      <w:tr w:rsidR="00E35C50" w:rsidRPr="00D36B48" w14:paraId="48221194" w14:textId="77777777" w:rsidTr="00E85F4B">
        <w:trPr>
          <w:trHeight w:val="320"/>
          <w:jc w:val="center"/>
        </w:trPr>
        <w:tc>
          <w:tcPr>
            <w:tcW w:w="760" w:type="dxa"/>
            <w:noWrap/>
            <w:vAlign w:val="center"/>
            <w:hideMark/>
          </w:tcPr>
          <w:p w14:paraId="5F41BD65"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2019</w:t>
            </w:r>
          </w:p>
        </w:tc>
        <w:tc>
          <w:tcPr>
            <w:tcW w:w="1960" w:type="dxa"/>
            <w:noWrap/>
            <w:vAlign w:val="center"/>
            <w:hideMark/>
          </w:tcPr>
          <w:p w14:paraId="780BB530"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1,873,290,000,000</w:t>
            </w:r>
          </w:p>
        </w:tc>
        <w:tc>
          <w:tcPr>
            <w:tcW w:w="1960" w:type="dxa"/>
            <w:noWrap/>
            <w:vAlign w:val="center"/>
            <w:hideMark/>
          </w:tcPr>
          <w:p w14:paraId="7432E90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2,835,610,000,000</w:t>
            </w:r>
          </w:p>
        </w:tc>
        <w:tc>
          <w:tcPr>
            <w:tcW w:w="1760" w:type="dxa"/>
            <w:noWrap/>
            <w:vAlign w:val="center"/>
            <w:hideMark/>
          </w:tcPr>
          <w:p w14:paraId="60235FE1"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474,517,000,000</w:t>
            </w:r>
          </w:p>
        </w:tc>
      </w:tr>
      <w:tr w:rsidR="00E35C50" w:rsidRPr="00D36B48" w14:paraId="6CA33DC3" w14:textId="77777777" w:rsidTr="00E85F4B">
        <w:trPr>
          <w:trHeight w:val="320"/>
          <w:jc w:val="center"/>
        </w:trPr>
        <w:tc>
          <w:tcPr>
            <w:tcW w:w="760" w:type="dxa"/>
            <w:noWrap/>
            <w:vAlign w:val="center"/>
            <w:hideMark/>
          </w:tcPr>
          <w:p w14:paraId="5E09489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2020</w:t>
            </w:r>
          </w:p>
        </w:tc>
        <w:tc>
          <w:tcPr>
            <w:tcW w:w="1960" w:type="dxa"/>
            <w:noWrap/>
            <w:vAlign w:val="center"/>
            <w:hideMark/>
          </w:tcPr>
          <w:p w14:paraId="25336D74"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1,476,110,000,000</w:t>
            </w:r>
          </w:p>
        </w:tc>
        <w:tc>
          <w:tcPr>
            <w:tcW w:w="1960" w:type="dxa"/>
            <w:noWrap/>
            <w:vAlign w:val="center"/>
            <w:hideMark/>
          </w:tcPr>
          <w:p w14:paraId="40FABA61"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2,674,850,000,000</w:t>
            </w:r>
          </w:p>
        </w:tc>
        <w:tc>
          <w:tcPr>
            <w:tcW w:w="1760" w:type="dxa"/>
            <w:noWrap/>
            <w:vAlign w:val="center"/>
            <w:hideMark/>
          </w:tcPr>
          <w:p w14:paraId="6DCD00C3"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432,199,000,000</w:t>
            </w:r>
          </w:p>
        </w:tc>
      </w:tr>
      <w:tr w:rsidR="00E35C50" w:rsidRPr="00D36B48" w14:paraId="408E4E3C" w14:textId="77777777" w:rsidTr="00E85F4B">
        <w:trPr>
          <w:trHeight w:val="320"/>
          <w:jc w:val="center"/>
        </w:trPr>
        <w:tc>
          <w:tcPr>
            <w:tcW w:w="760" w:type="dxa"/>
            <w:noWrap/>
            <w:vAlign w:val="center"/>
            <w:hideMark/>
          </w:tcPr>
          <w:p w14:paraId="4D8544AB"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2021</w:t>
            </w:r>
          </w:p>
        </w:tc>
        <w:tc>
          <w:tcPr>
            <w:tcW w:w="1960" w:type="dxa"/>
            <w:noWrap/>
            <w:vAlign w:val="center"/>
            <w:hideMark/>
          </w:tcPr>
          <w:p w14:paraId="0CA84471"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1,670,650,000,000</w:t>
            </w:r>
          </w:p>
        </w:tc>
        <w:tc>
          <w:tcPr>
            <w:tcW w:w="1960" w:type="dxa"/>
            <w:noWrap/>
            <w:vAlign w:val="center"/>
            <w:hideMark/>
          </w:tcPr>
          <w:p w14:paraId="2E56613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3,167,270,000,000</w:t>
            </w:r>
          </w:p>
        </w:tc>
        <w:tc>
          <w:tcPr>
            <w:tcW w:w="1760" w:type="dxa"/>
            <w:noWrap/>
            <w:vAlign w:val="center"/>
            <w:hideMark/>
          </w:tcPr>
          <w:p w14:paraId="42DD5839"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440,839,000,000</w:t>
            </w:r>
          </w:p>
        </w:tc>
      </w:tr>
      <w:tr w:rsidR="00E35C50" w:rsidRPr="00D36B48" w14:paraId="1BFA877D" w14:textId="77777777" w:rsidTr="00E85F4B">
        <w:trPr>
          <w:trHeight w:val="320"/>
          <w:jc w:val="center"/>
        </w:trPr>
        <w:tc>
          <w:tcPr>
            <w:tcW w:w="760" w:type="dxa"/>
            <w:noWrap/>
            <w:vAlign w:val="center"/>
            <w:hideMark/>
          </w:tcPr>
          <w:p w14:paraId="2E5C313C"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2022</w:t>
            </w:r>
          </w:p>
        </w:tc>
        <w:tc>
          <w:tcPr>
            <w:tcW w:w="1960" w:type="dxa"/>
            <w:noWrap/>
            <w:vAlign w:val="center"/>
            <w:hideMark/>
          </w:tcPr>
          <w:p w14:paraId="21D991AE"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1,951,920,000,000</w:t>
            </w:r>
          </w:p>
        </w:tc>
        <w:tc>
          <w:tcPr>
            <w:tcW w:w="1960" w:type="dxa"/>
            <w:noWrap/>
            <w:vAlign w:val="center"/>
            <w:hideMark/>
          </w:tcPr>
          <w:p w14:paraId="32B6939B"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3,353,470,000,000</w:t>
            </w:r>
          </w:p>
        </w:tc>
        <w:tc>
          <w:tcPr>
            <w:tcW w:w="1760" w:type="dxa"/>
            <w:noWrap/>
            <w:vAlign w:val="center"/>
            <w:hideMark/>
          </w:tcPr>
          <w:p w14:paraId="21498185" w14:textId="77777777" w:rsidR="00E35C50" w:rsidRPr="00D36B48" w:rsidRDefault="00E35C50" w:rsidP="00E85F4B">
            <w:pPr>
              <w:jc w:val="center"/>
              <w:rPr>
                <w:rFonts w:ascii="Aptos Narrow" w:hAnsi="Aptos Narrow"/>
                <w:color w:val="000000"/>
              </w:rPr>
            </w:pPr>
            <w:r w:rsidRPr="00D36B48">
              <w:rPr>
                <w:rFonts w:ascii="Aptos Narrow" w:hAnsi="Aptos Narrow"/>
                <w:color w:val="000000"/>
              </w:rPr>
              <w:t>472,625,000,000</w:t>
            </w:r>
          </w:p>
        </w:tc>
      </w:tr>
    </w:tbl>
    <w:p w14:paraId="752C746A" w14:textId="77777777" w:rsidR="00E35C50" w:rsidRDefault="00E35C50" w:rsidP="00E35C50">
      <w:pPr>
        <w:pStyle w:val="NormalWeb"/>
        <w:rPr>
          <w:b/>
          <w:bCs/>
          <w:lang w:val="en-US"/>
        </w:rPr>
      </w:pPr>
    </w:p>
    <w:p w14:paraId="457AF494" w14:textId="77777777" w:rsidR="00E35C50" w:rsidRDefault="00E35C50" w:rsidP="00E35C50">
      <w:pPr>
        <w:rPr>
          <w:b/>
          <w:bCs/>
          <w:lang w:val="en-US"/>
        </w:rPr>
      </w:pPr>
      <w:r>
        <w:rPr>
          <w:b/>
          <w:bCs/>
          <w:lang w:val="en-US"/>
        </w:rPr>
        <w:br w:type="page"/>
      </w:r>
    </w:p>
    <w:p w14:paraId="1905A52A" w14:textId="77777777" w:rsidR="00E35C50" w:rsidRDefault="00E35C50" w:rsidP="00E35C50">
      <w:pPr>
        <w:pStyle w:val="NormalWeb"/>
        <w:rPr>
          <w:b/>
          <w:bCs/>
          <w:lang w:val="en-US"/>
        </w:rPr>
      </w:pPr>
      <w:r>
        <w:rPr>
          <w:b/>
          <w:bCs/>
          <w:lang w:val="en-US"/>
        </w:rPr>
        <w:lastRenderedPageBreak/>
        <w:t>Appendix</w:t>
      </w:r>
      <w:r w:rsidRPr="00993A5F">
        <w:rPr>
          <w:b/>
          <w:bCs/>
          <w:lang w:val="en-US"/>
        </w:rPr>
        <w:t xml:space="preserve"> </w:t>
      </w:r>
      <w:r>
        <w:rPr>
          <w:b/>
          <w:bCs/>
          <w:lang w:val="en-US"/>
        </w:rPr>
        <w:t>3</w:t>
      </w:r>
      <w:r w:rsidRPr="00993A5F">
        <w:rPr>
          <w:b/>
          <w:bCs/>
          <w:lang w:val="en-US"/>
        </w:rPr>
        <w:t xml:space="preserve">: Data base of </w:t>
      </w:r>
      <w:r>
        <w:rPr>
          <w:b/>
          <w:bCs/>
          <w:lang w:val="en-US"/>
        </w:rPr>
        <w:t>interest rate</w:t>
      </w:r>
    </w:p>
    <w:p w14:paraId="089DF61B" w14:textId="77777777" w:rsidR="00E35C50" w:rsidRDefault="00E35C50" w:rsidP="00E35C50">
      <w:pPr>
        <w:pStyle w:val="NormalWeb"/>
        <w:rPr>
          <w:b/>
          <w:bCs/>
          <w:lang w:val="en-US"/>
        </w:rPr>
      </w:pPr>
      <w:r>
        <w:rPr>
          <w:b/>
          <w:bCs/>
          <w:lang w:val="en-US"/>
        </w:rPr>
        <w:t xml:space="preserve"> </w:t>
      </w:r>
    </w:p>
    <w:tbl>
      <w:tblPr>
        <w:tblW w:w="6440" w:type="dxa"/>
        <w:jc w:val="center"/>
        <w:tblCellMar>
          <w:left w:w="70" w:type="dxa"/>
          <w:right w:w="70" w:type="dxa"/>
        </w:tblCellMar>
        <w:tblLook w:val="04A0" w:firstRow="1" w:lastRow="0" w:firstColumn="1" w:lastColumn="0" w:noHBand="0" w:noVBand="1"/>
      </w:tblPr>
      <w:tblGrid>
        <w:gridCol w:w="760"/>
        <w:gridCol w:w="1960"/>
        <w:gridCol w:w="1960"/>
        <w:gridCol w:w="1760"/>
      </w:tblGrid>
      <w:tr w:rsidR="00E35C50" w14:paraId="0B5D2D1A" w14:textId="77777777" w:rsidTr="00E85F4B">
        <w:trPr>
          <w:trHeight w:val="340"/>
          <w:jc w:val="center"/>
        </w:trPr>
        <w:tc>
          <w:tcPr>
            <w:tcW w:w="76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EF725FA" w14:textId="77777777" w:rsidR="00E35C50" w:rsidRDefault="00E35C50" w:rsidP="00E85F4B">
            <w:pPr>
              <w:jc w:val="center"/>
              <w:rPr>
                <w:rFonts w:ascii="Aptos Narrow" w:hAnsi="Aptos Narrow"/>
                <w:b/>
                <w:bCs/>
                <w:color w:val="000000"/>
              </w:rPr>
            </w:pPr>
            <w:r>
              <w:rPr>
                <w:rFonts w:ascii="Aptos Narrow" w:hAnsi="Aptos Narrow"/>
                <w:b/>
                <w:bCs/>
                <w:color w:val="000000"/>
              </w:rPr>
              <w:t>Year</w:t>
            </w:r>
          </w:p>
        </w:tc>
        <w:tc>
          <w:tcPr>
            <w:tcW w:w="1960" w:type="dxa"/>
            <w:tcBorders>
              <w:top w:val="single" w:sz="8" w:space="0" w:color="auto"/>
              <w:left w:val="nil"/>
              <w:bottom w:val="single" w:sz="8" w:space="0" w:color="auto"/>
              <w:right w:val="single" w:sz="8" w:space="0" w:color="auto"/>
            </w:tcBorders>
            <w:shd w:val="clear" w:color="auto" w:fill="auto"/>
            <w:noWrap/>
            <w:vAlign w:val="center"/>
            <w:hideMark/>
          </w:tcPr>
          <w:p w14:paraId="5A78BC30" w14:textId="77777777" w:rsidR="00E35C50" w:rsidRDefault="00E35C50" w:rsidP="00E85F4B">
            <w:pPr>
              <w:jc w:val="center"/>
              <w:rPr>
                <w:rFonts w:ascii="Aptos Narrow" w:hAnsi="Aptos Narrow"/>
                <w:b/>
                <w:bCs/>
                <w:color w:val="000000"/>
              </w:rPr>
            </w:pPr>
            <w:r>
              <w:rPr>
                <w:rFonts w:ascii="Aptos Narrow" w:hAnsi="Aptos Narrow"/>
                <w:b/>
                <w:bCs/>
                <w:color w:val="000000"/>
              </w:rPr>
              <w:t>Brazil</w:t>
            </w:r>
          </w:p>
        </w:tc>
        <w:tc>
          <w:tcPr>
            <w:tcW w:w="1960" w:type="dxa"/>
            <w:tcBorders>
              <w:top w:val="single" w:sz="8" w:space="0" w:color="auto"/>
              <w:left w:val="nil"/>
              <w:bottom w:val="single" w:sz="8" w:space="0" w:color="auto"/>
              <w:right w:val="single" w:sz="8" w:space="0" w:color="auto"/>
            </w:tcBorders>
            <w:shd w:val="clear" w:color="auto" w:fill="auto"/>
            <w:noWrap/>
            <w:vAlign w:val="center"/>
            <w:hideMark/>
          </w:tcPr>
          <w:p w14:paraId="64D86B81" w14:textId="77777777" w:rsidR="00E35C50" w:rsidRDefault="00E35C50" w:rsidP="00E85F4B">
            <w:pPr>
              <w:jc w:val="center"/>
              <w:rPr>
                <w:rFonts w:ascii="Aptos Narrow" w:hAnsi="Aptos Narrow"/>
                <w:b/>
                <w:bCs/>
                <w:color w:val="000000"/>
              </w:rPr>
            </w:pPr>
            <w:r>
              <w:rPr>
                <w:rFonts w:ascii="Aptos Narrow" w:hAnsi="Aptos Narrow"/>
                <w:b/>
                <w:bCs/>
                <w:color w:val="000000"/>
              </w:rPr>
              <w:t>India</w:t>
            </w:r>
          </w:p>
        </w:tc>
        <w:tc>
          <w:tcPr>
            <w:tcW w:w="1760" w:type="dxa"/>
            <w:tcBorders>
              <w:top w:val="single" w:sz="8" w:space="0" w:color="auto"/>
              <w:left w:val="nil"/>
              <w:bottom w:val="single" w:sz="8" w:space="0" w:color="auto"/>
              <w:right w:val="single" w:sz="8" w:space="0" w:color="auto"/>
            </w:tcBorders>
            <w:shd w:val="clear" w:color="auto" w:fill="auto"/>
            <w:noWrap/>
            <w:vAlign w:val="center"/>
            <w:hideMark/>
          </w:tcPr>
          <w:p w14:paraId="5DA12D8C" w14:textId="77777777" w:rsidR="00E35C50" w:rsidRDefault="00E35C50" w:rsidP="00E85F4B">
            <w:pPr>
              <w:jc w:val="center"/>
              <w:rPr>
                <w:rFonts w:ascii="Aptos Narrow" w:hAnsi="Aptos Narrow"/>
                <w:b/>
                <w:bCs/>
                <w:color w:val="000000"/>
              </w:rPr>
            </w:pPr>
            <w:r>
              <w:rPr>
                <w:rFonts w:ascii="Aptos Narrow" w:hAnsi="Aptos Narrow"/>
                <w:b/>
                <w:bCs/>
                <w:color w:val="000000"/>
              </w:rPr>
              <w:t>Nigeria</w:t>
            </w:r>
          </w:p>
        </w:tc>
      </w:tr>
      <w:tr w:rsidR="00E35C50" w14:paraId="0FA6A07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097FEBD" w14:textId="77777777" w:rsidR="00E35C50" w:rsidRDefault="00E35C50" w:rsidP="00E85F4B">
            <w:pPr>
              <w:jc w:val="center"/>
              <w:rPr>
                <w:rFonts w:ascii="Aptos Narrow" w:hAnsi="Aptos Narrow"/>
                <w:color w:val="000000"/>
              </w:rPr>
            </w:pPr>
            <w:r>
              <w:rPr>
                <w:rFonts w:ascii="Aptos Narrow" w:hAnsi="Aptos Narrow"/>
                <w:color w:val="000000"/>
              </w:rPr>
              <w:t>2000</w:t>
            </w:r>
          </w:p>
        </w:tc>
        <w:tc>
          <w:tcPr>
            <w:tcW w:w="1960" w:type="dxa"/>
            <w:tcBorders>
              <w:top w:val="nil"/>
              <w:left w:val="nil"/>
              <w:bottom w:val="single" w:sz="8" w:space="0" w:color="auto"/>
              <w:right w:val="single" w:sz="8" w:space="0" w:color="auto"/>
            </w:tcBorders>
            <w:shd w:val="clear" w:color="auto" w:fill="auto"/>
            <w:noWrap/>
            <w:vAlign w:val="center"/>
            <w:hideMark/>
          </w:tcPr>
          <w:p w14:paraId="3214464B" w14:textId="77777777" w:rsidR="00E35C50" w:rsidRDefault="00E35C50" w:rsidP="00E85F4B">
            <w:pPr>
              <w:jc w:val="center"/>
              <w:rPr>
                <w:rFonts w:ascii="Aptos Narrow" w:hAnsi="Aptos Narrow"/>
                <w:color w:val="000000"/>
              </w:rPr>
            </w:pPr>
            <w:r>
              <w:rPr>
                <w:rFonts w:ascii="Aptos Narrow" w:hAnsi="Aptos Narrow"/>
                <w:color w:val="000000"/>
              </w:rPr>
              <w:t>48.5047</w:t>
            </w:r>
          </w:p>
        </w:tc>
        <w:tc>
          <w:tcPr>
            <w:tcW w:w="1960" w:type="dxa"/>
            <w:tcBorders>
              <w:top w:val="nil"/>
              <w:left w:val="nil"/>
              <w:bottom w:val="single" w:sz="8" w:space="0" w:color="auto"/>
              <w:right w:val="single" w:sz="8" w:space="0" w:color="auto"/>
            </w:tcBorders>
            <w:shd w:val="clear" w:color="auto" w:fill="auto"/>
            <w:noWrap/>
            <w:vAlign w:val="center"/>
            <w:hideMark/>
          </w:tcPr>
          <w:p w14:paraId="4ED97679" w14:textId="77777777" w:rsidR="00E35C50" w:rsidRDefault="00E35C50" w:rsidP="00E85F4B">
            <w:pPr>
              <w:jc w:val="center"/>
              <w:rPr>
                <w:rFonts w:ascii="Aptos Narrow" w:hAnsi="Aptos Narrow"/>
                <w:color w:val="000000"/>
              </w:rPr>
            </w:pPr>
            <w:r>
              <w:rPr>
                <w:rFonts w:ascii="Aptos Narrow" w:hAnsi="Aptos Narrow"/>
                <w:color w:val="000000"/>
              </w:rPr>
              <w:t>8.3426</w:t>
            </w:r>
          </w:p>
        </w:tc>
        <w:tc>
          <w:tcPr>
            <w:tcW w:w="1760" w:type="dxa"/>
            <w:tcBorders>
              <w:top w:val="nil"/>
              <w:left w:val="nil"/>
              <w:bottom w:val="single" w:sz="8" w:space="0" w:color="auto"/>
              <w:right w:val="single" w:sz="8" w:space="0" w:color="auto"/>
            </w:tcBorders>
            <w:shd w:val="clear" w:color="auto" w:fill="auto"/>
            <w:noWrap/>
            <w:vAlign w:val="center"/>
            <w:hideMark/>
          </w:tcPr>
          <w:p w14:paraId="07A2E7E3" w14:textId="77777777" w:rsidR="00E35C50" w:rsidRDefault="00E35C50" w:rsidP="00E85F4B">
            <w:pPr>
              <w:jc w:val="center"/>
              <w:rPr>
                <w:rFonts w:ascii="Aptos Narrow" w:hAnsi="Aptos Narrow"/>
                <w:color w:val="000000"/>
              </w:rPr>
            </w:pPr>
            <w:r>
              <w:rPr>
                <w:rFonts w:ascii="Aptos Narrow" w:hAnsi="Aptos Narrow"/>
                <w:color w:val="000000"/>
              </w:rPr>
              <w:t>-1.1409</w:t>
            </w:r>
          </w:p>
        </w:tc>
      </w:tr>
      <w:tr w:rsidR="00E35C50" w14:paraId="55E92A5B"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666ED7F" w14:textId="77777777" w:rsidR="00E35C50" w:rsidRDefault="00E35C50" w:rsidP="00E85F4B">
            <w:pPr>
              <w:jc w:val="center"/>
              <w:rPr>
                <w:rFonts w:ascii="Aptos Narrow" w:hAnsi="Aptos Narrow"/>
                <w:color w:val="000000"/>
              </w:rPr>
            </w:pPr>
            <w:r>
              <w:rPr>
                <w:rFonts w:ascii="Aptos Narrow" w:hAnsi="Aptos Narrow"/>
                <w:color w:val="000000"/>
              </w:rPr>
              <w:t>2001</w:t>
            </w:r>
          </w:p>
        </w:tc>
        <w:tc>
          <w:tcPr>
            <w:tcW w:w="1960" w:type="dxa"/>
            <w:tcBorders>
              <w:top w:val="nil"/>
              <w:left w:val="nil"/>
              <w:bottom w:val="single" w:sz="8" w:space="0" w:color="auto"/>
              <w:right w:val="single" w:sz="8" w:space="0" w:color="auto"/>
            </w:tcBorders>
            <w:shd w:val="clear" w:color="auto" w:fill="auto"/>
            <w:noWrap/>
            <w:vAlign w:val="center"/>
            <w:hideMark/>
          </w:tcPr>
          <w:p w14:paraId="35B1C2B5" w14:textId="77777777" w:rsidR="00E35C50" w:rsidRDefault="00E35C50" w:rsidP="00E85F4B">
            <w:pPr>
              <w:jc w:val="center"/>
              <w:rPr>
                <w:rFonts w:ascii="Aptos Narrow" w:hAnsi="Aptos Narrow"/>
                <w:color w:val="000000"/>
              </w:rPr>
            </w:pPr>
            <w:r>
              <w:rPr>
                <w:rFonts w:ascii="Aptos Narrow" w:hAnsi="Aptos Narrow"/>
                <w:color w:val="000000"/>
              </w:rPr>
              <w:t>45.6378</w:t>
            </w:r>
          </w:p>
        </w:tc>
        <w:tc>
          <w:tcPr>
            <w:tcW w:w="1960" w:type="dxa"/>
            <w:tcBorders>
              <w:top w:val="nil"/>
              <w:left w:val="nil"/>
              <w:bottom w:val="single" w:sz="8" w:space="0" w:color="auto"/>
              <w:right w:val="single" w:sz="8" w:space="0" w:color="auto"/>
            </w:tcBorders>
            <w:shd w:val="clear" w:color="auto" w:fill="auto"/>
            <w:noWrap/>
            <w:vAlign w:val="center"/>
            <w:hideMark/>
          </w:tcPr>
          <w:p w14:paraId="7F875B9D" w14:textId="77777777" w:rsidR="00E35C50" w:rsidRDefault="00E35C50" w:rsidP="00E85F4B">
            <w:pPr>
              <w:jc w:val="center"/>
              <w:rPr>
                <w:rFonts w:ascii="Aptos Narrow" w:hAnsi="Aptos Narrow"/>
                <w:color w:val="000000"/>
              </w:rPr>
            </w:pPr>
            <w:r>
              <w:rPr>
                <w:rFonts w:ascii="Aptos Narrow" w:hAnsi="Aptos Narrow"/>
                <w:color w:val="000000"/>
              </w:rPr>
              <w:t>8.5914</w:t>
            </w:r>
          </w:p>
        </w:tc>
        <w:tc>
          <w:tcPr>
            <w:tcW w:w="1760" w:type="dxa"/>
            <w:tcBorders>
              <w:top w:val="nil"/>
              <w:left w:val="nil"/>
              <w:bottom w:val="single" w:sz="8" w:space="0" w:color="auto"/>
              <w:right w:val="single" w:sz="8" w:space="0" w:color="auto"/>
            </w:tcBorders>
            <w:shd w:val="clear" w:color="auto" w:fill="auto"/>
            <w:noWrap/>
            <w:vAlign w:val="center"/>
            <w:hideMark/>
          </w:tcPr>
          <w:p w14:paraId="06D28947" w14:textId="77777777" w:rsidR="00E35C50" w:rsidRDefault="00E35C50" w:rsidP="00E85F4B">
            <w:pPr>
              <w:jc w:val="center"/>
              <w:rPr>
                <w:rFonts w:ascii="Aptos Narrow" w:hAnsi="Aptos Narrow"/>
                <w:color w:val="000000"/>
              </w:rPr>
            </w:pPr>
            <w:r>
              <w:rPr>
                <w:rFonts w:ascii="Aptos Narrow" w:hAnsi="Aptos Narrow"/>
                <w:color w:val="000000"/>
              </w:rPr>
              <w:t>12.1387</w:t>
            </w:r>
          </w:p>
        </w:tc>
      </w:tr>
      <w:tr w:rsidR="00E35C50" w14:paraId="6C33592F"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6D0ABC6C" w14:textId="77777777" w:rsidR="00E35C50" w:rsidRDefault="00E35C50" w:rsidP="00E85F4B">
            <w:pPr>
              <w:jc w:val="center"/>
              <w:rPr>
                <w:rFonts w:ascii="Aptos Narrow" w:hAnsi="Aptos Narrow"/>
                <w:color w:val="000000"/>
              </w:rPr>
            </w:pPr>
            <w:r>
              <w:rPr>
                <w:rFonts w:ascii="Aptos Narrow" w:hAnsi="Aptos Narrow"/>
                <w:color w:val="000000"/>
              </w:rPr>
              <w:t>2002</w:t>
            </w:r>
          </w:p>
        </w:tc>
        <w:tc>
          <w:tcPr>
            <w:tcW w:w="1960" w:type="dxa"/>
            <w:tcBorders>
              <w:top w:val="nil"/>
              <w:left w:val="nil"/>
              <w:bottom w:val="single" w:sz="8" w:space="0" w:color="auto"/>
              <w:right w:val="single" w:sz="8" w:space="0" w:color="auto"/>
            </w:tcBorders>
            <w:shd w:val="clear" w:color="auto" w:fill="auto"/>
            <w:noWrap/>
            <w:vAlign w:val="center"/>
            <w:hideMark/>
          </w:tcPr>
          <w:p w14:paraId="4FEB737E" w14:textId="77777777" w:rsidR="00E35C50" w:rsidRDefault="00E35C50" w:rsidP="00E85F4B">
            <w:pPr>
              <w:jc w:val="center"/>
              <w:rPr>
                <w:rFonts w:ascii="Aptos Narrow" w:hAnsi="Aptos Narrow"/>
                <w:color w:val="000000"/>
              </w:rPr>
            </w:pPr>
            <w:r>
              <w:rPr>
                <w:rFonts w:ascii="Aptos Narrow" w:hAnsi="Aptos Narrow"/>
                <w:color w:val="000000"/>
              </w:rPr>
              <w:t>48.3404</w:t>
            </w:r>
          </w:p>
        </w:tc>
        <w:tc>
          <w:tcPr>
            <w:tcW w:w="1960" w:type="dxa"/>
            <w:tcBorders>
              <w:top w:val="nil"/>
              <w:left w:val="nil"/>
              <w:bottom w:val="single" w:sz="8" w:space="0" w:color="auto"/>
              <w:right w:val="single" w:sz="8" w:space="0" w:color="auto"/>
            </w:tcBorders>
            <w:shd w:val="clear" w:color="auto" w:fill="auto"/>
            <w:noWrap/>
            <w:vAlign w:val="center"/>
            <w:hideMark/>
          </w:tcPr>
          <w:p w14:paraId="16BA9725" w14:textId="77777777" w:rsidR="00E35C50" w:rsidRDefault="00E35C50" w:rsidP="00E85F4B">
            <w:pPr>
              <w:jc w:val="center"/>
              <w:rPr>
                <w:rFonts w:ascii="Aptos Narrow" w:hAnsi="Aptos Narrow"/>
                <w:color w:val="000000"/>
              </w:rPr>
            </w:pPr>
            <w:r>
              <w:rPr>
                <w:rFonts w:ascii="Aptos Narrow" w:hAnsi="Aptos Narrow"/>
                <w:color w:val="000000"/>
              </w:rPr>
              <w:t>7.9072</w:t>
            </w:r>
          </w:p>
        </w:tc>
        <w:tc>
          <w:tcPr>
            <w:tcW w:w="1760" w:type="dxa"/>
            <w:tcBorders>
              <w:top w:val="nil"/>
              <w:left w:val="nil"/>
              <w:bottom w:val="single" w:sz="8" w:space="0" w:color="auto"/>
              <w:right w:val="single" w:sz="8" w:space="0" w:color="auto"/>
            </w:tcBorders>
            <w:shd w:val="clear" w:color="auto" w:fill="auto"/>
            <w:noWrap/>
            <w:vAlign w:val="center"/>
            <w:hideMark/>
          </w:tcPr>
          <w:p w14:paraId="0F452F46" w14:textId="77777777" w:rsidR="00E35C50" w:rsidRDefault="00E35C50" w:rsidP="00E85F4B">
            <w:pPr>
              <w:jc w:val="center"/>
              <w:rPr>
                <w:rFonts w:ascii="Aptos Narrow" w:hAnsi="Aptos Narrow"/>
                <w:color w:val="000000"/>
              </w:rPr>
            </w:pPr>
            <w:r>
              <w:rPr>
                <w:rFonts w:ascii="Aptos Narrow" w:hAnsi="Aptos Narrow"/>
                <w:color w:val="000000"/>
              </w:rPr>
              <w:t>3.0235</w:t>
            </w:r>
          </w:p>
        </w:tc>
      </w:tr>
      <w:tr w:rsidR="00E35C50" w14:paraId="166B0CA0"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8F1483A" w14:textId="77777777" w:rsidR="00E35C50" w:rsidRDefault="00E35C50" w:rsidP="00E85F4B">
            <w:pPr>
              <w:jc w:val="center"/>
              <w:rPr>
                <w:rFonts w:ascii="Aptos Narrow" w:hAnsi="Aptos Narrow"/>
                <w:color w:val="000000"/>
              </w:rPr>
            </w:pPr>
            <w:r>
              <w:rPr>
                <w:rFonts w:ascii="Aptos Narrow" w:hAnsi="Aptos Narrow"/>
                <w:color w:val="000000"/>
              </w:rPr>
              <w:t>2003</w:t>
            </w:r>
          </w:p>
        </w:tc>
        <w:tc>
          <w:tcPr>
            <w:tcW w:w="1960" w:type="dxa"/>
            <w:tcBorders>
              <w:top w:val="nil"/>
              <w:left w:val="nil"/>
              <w:bottom w:val="single" w:sz="8" w:space="0" w:color="auto"/>
              <w:right w:val="single" w:sz="8" w:space="0" w:color="auto"/>
            </w:tcBorders>
            <w:shd w:val="clear" w:color="auto" w:fill="auto"/>
            <w:noWrap/>
            <w:vAlign w:val="center"/>
            <w:hideMark/>
          </w:tcPr>
          <w:p w14:paraId="2B6C9F21" w14:textId="77777777" w:rsidR="00E35C50" w:rsidRDefault="00E35C50" w:rsidP="00E85F4B">
            <w:pPr>
              <w:jc w:val="center"/>
              <w:rPr>
                <w:rFonts w:ascii="Aptos Narrow" w:hAnsi="Aptos Narrow"/>
                <w:color w:val="000000"/>
              </w:rPr>
            </w:pPr>
            <w:r>
              <w:rPr>
                <w:rFonts w:ascii="Aptos Narrow" w:hAnsi="Aptos Narrow"/>
                <w:color w:val="000000"/>
              </w:rPr>
              <w:t>46.4474</w:t>
            </w:r>
          </w:p>
        </w:tc>
        <w:tc>
          <w:tcPr>
            <w:tcW w:w="1960" w:type="dxa"/>
            <w:tcBorders>
              <w:top w:val="nil"/>
              <w:left w:val="nil"/>
              <w:bottom w:val="single" w:sz="8" w:space="0" w:color="auto"/>
              <w:right w:val="single" w:sz="8" w:space="0" w:color="auto"/>
            </w:tcBorders>
            <w:shd w:val="clear" w:color="auto" w:fill="auto"/>
            <w:noWrap/>
            <w:vAlign w:val="center"/>
            <w:hideMark/>
          </w:tcPr>
          <w:p w14:paraId="01218876" w14:textId="77777777" w:rsidR="00E35C50" w:rsidRDefault="00E35C50" w:rsidP="00E85F4B">
            <w:pPr>
              <w:jc w:val="center"/>
              <w:rPr>
                <w:rFonts w:ascii="Aptos Narrow" w:hAnsi="Aptos Narrow"/>
                <w:color w:val="000000"/>
              </w:rPr>
            </w:pPr>
            <w:r>
              <w:rPr>
                <w:rFonts w:ascii="Aptos Narrow" w:hAnsi="Aptos Narrow"/>
                <w:color w:val="000000"/>
              </w:rPr>
              <w:t>7.3079</w:t>
            </w:r>
          </w:p>
        </w:tc>
        <w:tc>
          <w:tcPr>
            <w:tcW w:w="1760" w:type="dxa"/>
            <w:tcBorders>
              <w:top w:val="nil"/>
              <w:left w:val="nil"/>
              <w:bottom w:val="single" w:sz="8" w:space="0" w:color="auto"/>
              <w:right w:val="single" w:sz="8" w:space="0" w:color="auto"/>
            </w:tcBorders>
            <w:shd w:val="clear" w:color="auto" w:fill="auto"/>
            <w:noWrap/>
            <w:vAlign w:val="center"/>
            <w:hideMark/>
          </w:tcPr>
          <w:p w14:paraId="7E7CD7AD" w14:textId="77777777" w:rsidR="00E35C50" w:rsidRDefault="00E35C50" w:rsidP="00E85F4B">
            <w:pPr>
              <w:jc w:val="center"/>
              <w:rPr>
                <w:rFonts w:ascii="Aptos Narrow" w:hAnsi="Aptos Narrow"/>
                <w:color w:val="000000"/>
              </w:rPr>
            </w:pPr>
            <w:r>
              <w:rPr>
                <w:rFonts w:ascii="Aptos Narrow" w:hAnsi="Aptos Narrow"/>
                <w:color w:val="000000"/>
              </w:rPr>
              <w:t>9.9357</w:t>
            </w:r>
          </w:p>
        </w:tc>
      </w:tr>
      <w:tr w:rsidR="00E35C50" w14:paraId="3B518305"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3D0100C" w14:textId="77777777" w:rsidR="00E35C50" w:rsidRDefault="00E35C50" w:rsidP="00E85F4B">
            <w:pPr>
              <w:jc w:val="center"/>
              <w:rPr>
                <w:rFonts w:ascii="Aptos Narrow" w:hAnsi="Aptos Narrow"/>
                <w:color w:val="000000"/>
              </w:rPr>
            </w:pPr>
            <w:r>
              <w:rPr>
                <w:rFonts w:ascii="Aptos Narrow" w:hAnsi="Aptos Narrow"/>
                <w:color w:val="000000"/>
              </w:rPr>
              <w:t>2004</w:t>
            </w:r>
          </w:p>
        </w:tc>
        <w:tc>
          <w:tcPr>
            <w:tcW w:w="1960" w:type="dxa"/>
            <w:tcBorders>
              <w:top w:val="nil"/>
              <w:left w:val="nil"/>
              <w:bottom w:val="single" w:sz="8" w:space="0" w:color="auto"/>
              <w:right w:val="single" w:sz="8" w:space="0" w:color="auto"/>
            </w:tcBorders>
            <w:shd w:val="clear" w:color="auto" w:fill="auto"/>
            <w:noWrap/>
            <w:vAlign w:val="center"/>
            <w:hideMark/>
          </w:tcPr>
          <w:p w14:paraId="00045F80" w14:textId="77777777" w:rsidR="00E35C50" w:rsidRDefault="00E35C50" w:rsidP="00E85F4B">
            <w:pPr>
              <w:jc w:val="center"/>
              <w:rPr>
                <w:rFonts w:ascii="Aptos Narrow" w:hAnsi="Aptos Narrow"/>
                <w:color w:val="000000"/>
              </w:rPr>
            </w:pPr>
            <w:r>
              <w:rPr>
                <w:rFonts w:ascii="Aptos Narrow" w:hAnsi="Aptos Narrow"/>
                <w:color w:val="000000"/>
              </w:rPr>
              <w:t>43.7792</w:t>
            </w:r>
          </w:p>
        </w:tc>
        <w:tc>
          <w:tcPr>
            <w:tcW w:w="1960" w:type="dxa"/>
            <w:tcBorders>
              <w:top w:val="nil"/>
              <w:left w:val="nil"/>
              <w:bottom w:val="single" w:sz="8" w:space="0" w:color="auto"/>
              <w:right w:val="single" w:sz="8" w:space="0" w:color="auto"/>
            </w:tcBorders>
            <w:shd w:val="clear" w:color="auto" w:fill="auto"/>
            <w:noWrap/>
            <w:vAlign w:val="center"/>
            <w:hideMark/>
          </w:tcPr>
          <w:p w14:paraId="42D05B63" w14:textId="77777777" w:rsidR="00E35C50" w:rsidRDefault="00E35C50" w:rsidP="00E85F4B">
            <w:pPr>
              <w:jc w:val="center"/>
              <w:rPr>
                <w:rFonts w:ascii="Aptos Narrow" w:hAnsi="Aptos Narrow"/>
                <w:color w:val="000000"/>
              </w:rPr>
            </w:pPr>
            <w:r>
              <w:rPr>
                <w:rFonts w:ascii="Aptos Narrow" w:hAnsi="Aptos Narrow"/>
                <w:color w:val="000000"/>
              </w:rPr>
              <w:t>4.9101</w:t>
            </w:r>
          </w:p>
        </w:tc>
        <w:tc>
          <w:tcPr>
            <w:tcW w:w="1760" w:type="dxa"/>
            <w:tcBorders>
              <w:top w:val="nil"/>
              <w:left w:val="nil"/>
              <w:bottom w:val="single" w:sz="8" w:space="0" w:color="auto"/>
              <w:right w:val="single" w:sz="8" w:space="0" w:color="auto"/>
            </w:tcBorders>
            <w:shd w:val="clear" w:color="auto" w:fill="auto"/>
            <w:noWrap/>
            <w:vAlign w:val="center"/>
            <w:hideMark/>
          </w:tcPr>
          <w:p w14:paraId="4E4EAD0C" w14:textId="77777777" w:rsidR="00E35C50" w:rsidRDefault="00E35C50" w:rsidP="00E85F4B">
            <w:pPr>
              <w:jc w:val="center"/>
              <w:rPr>
                <w:rFonts w:ascii="Aptos Narrow" w:hAnsi="Aptos Narrow"/>
                <w:color w:val="000000"/>
              </w:rPr>
            </w:pPr>
            <w:r>
              <w:rPr>
                <w:rFonts w:ascii="Aptos Narrow" w:hAnsi="Aptos Narrow"/>
                <w:color w:val="000000"/>
              </w:rPr>
              <w:t>-2.6048</w:t>
            </w:r>
          </w:p>
        </w:tc>
      </w:tr>
      <w:tr w:rsidR="00E35C50" w14:paraId="75445F5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11C329B" w14:textId="77777777" w:rsidR="00E35C50" w:rsidRDefault="00E35C50" w:rsidP="00E85F4B">
            <w:pPr>
              <w:jc w:val="center"/>
              <w:rPr>
                <w:rFonts w:ascii="Aptos Narrow" w:hAnsi="Aptos Narrow"/>
                <w:color w:val="000000"/>
              </w:rPr>
            </w:pPr>
            <w:r>
              <w:rPr>
                <w:rFonts w:ascii="Aptos Narrow" w:hAnsi="Aptos Narrow"/>
                <w:color w:val="000000"/>
              </w:rPr>
              <w:t>2005</w:t>
            </w:r>
          </w:p>
        </w:tc>
        <w:tc>
          <w:tcPr>
            <w:tcW w:w="1960" w:type="dxa"/>
            <w:tcBorders>
              <w:top w:val="nil"/>
              <w:left w:val="nil"/>
              <w:bottom w:val="single" w:sz="8" w:space="0" w:color="auto"/>
              <w:right w:val="single" w:sz="8" w:space="0" w:color="auto"/>
            </w:tcBorders>
            <w:shd w:val="clear" w:color="auto" w:fill="auto"/>
            <w:noWrap/>
            <w:vAlign w:val="center"/>
            <w:hideMark/>
          </w:tcPr>
          <w:p w14:paraId="71CE2B57" w14:textId="77777777" w:rsidR="00E35C50" w:rsidRDefault="00E35C50" w:rsidP="00E85F4B">
            <w:pPr>
              <w:jc w:val="center"/>
              <w:rPr>
                <w:rFonts w:ascii="Aptos Narrow" w:hAnsi="Aptos Narrow"/>
                <w:color w:val="000000"/>
              </w:rPr>
            </w:pPr>
            <w:r>
              <w:rPr>
                <w:rFonts w:ascii="Aptos Narrow" w:hAnsi="Aptos Narrow"/>
                <w:color w:val="000000"/>
              </w:rPr>
              <w:t>44.6352</w:t>
            </w:r>
          </w:p>
        </w:tc>
        <w:tc>
          <w:tcPr>
            <w:tcW w:w="1960" w:type="dxa"/>
            <w:tcBorders>
              <w:top w:val="nil"/>
              <w:left w:val="nil"/>
              <w:bottom w:val="single" w:sz="8" w:space="0" w:color="auto"/>
              <w:right w:val="single" w:sz="8" w:space="0" w:color="auto"/>
            </w:tcBorders>
            <w:shd w:val="clear" w:color="auto" w:fill="auto"/>
            <w:noWrap/>
            <w:vAlign w:val="center"/>
            <w:hideMark/>
          </w:tcPr>
          <w:p w14:paraId="0D6189F1" w14:textId="77777777" w:rsidR="00E35C50" w:rsidRDefault="00E35C50" w:rsidP="00E85F4B">
            <w:pPr>
              <w:jc w:val="center"/>
              <w:rPr>
                <w:rFonts w:ascii="Aptos Narrow" w:hAnsi="Aptos Narrow"/>
                <w:color w:val="000000"/>
              </w:rPr>
            </w:pPr>
            <w:r>
              <w:rPr>
                <w:rFonts w:ascii="Aptos Narrow" w:hAnsi="Aptos Narrow"/>
                <w:color w:val="000000"/>
              </w:rPr>
              <w:t>4.8551</w:t>
            </w:r>
          </w:p>
        </w:tc>
        <w:tc>
          <w:tcPr>
            <w:tcW w:w="1760" w:type="dxa"/>
            <w:tcBorders>
              <w:top w:val="nil"/>
              <w:left w:val="nil"/>
              <w:bottom w:val="single" w:sz="8" w:space="0" w:color="auto"/>
              <w:right w:val="single" w:sz="8" w:space="0" w:color="auto"/>
            </w:tcBorders>
            <w:shd w:val="clear" w:color="auto" w:fill="auto"/>
            <w:noWrap/>
            <w:vAlign w:val="center"/>
            <w:hideMark/>
          </w:tcPr>
          <w:p w14:paraId="71F5943A" w14:textId="77777777" w:rsidR="00E35C50" w:rsidRDefault="00E35C50" w:rsidP="00E85F4B">
            <w:pPr>
              <w:jc w:val="center"/>
              <w:rPr>
                <w:rFonts w:ascii="Aptos Narrow" w:hAnsi="Aptos Narrow"/>
                <w:color w:val="000000"/>
              </w:rPr>
            </w:pPr>
            <w:r>
              <w:rPr>
                <w:rFonts w:ascii="Aptos Narrow" w:hAnsi="Aptos Narrow"/>
                <w:color w:val="000000"/>
              </w:rPr>
              <w:t>-1.5937</w:t>
            </w:r>
          </w:p>
        </w:tc>
      </w:tr>
      <w:tr w:rsidR="00E35C50" w14:paraId="62F35A2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B099624" w14:textId="77777777" w:rsidR="00E35C50" w:rsidRDefault="00E35C50" w:rsidP="00E85F4B">
            <w:pPr>
              <w:jc w:val="center"/>
              <w:rPr>
                <w:rFonts w:ascii="Aptos Narrow" w:hAnsi="Aptos Narrow"/>
                <w:color w:val="000000"/>
              </w:rPr>
            </w:pPr>
            <w:r>
              <w:rPr>
                <w:rFonts w:ascii="Aptos Narrow" w:hAnsi="Aptos Narrow"/>
                <w:color w:val="000000"/>
              </w:rPr>
              <w:t>2006</w:t>
            </w:r>
          </w:p>
        </w:tc>
        <w:tc>
          <w:tcPr>
            <w:tcW w:w="1960" w:type="dxa"/>
            <w:tcBorders>
              <w:top w:val="nil"/>
              <w:left w:val="nil"/>
              <w:bottom w:val="single" w:sz="8" w:space="0" w:color="auto"/>
              <w:right w:val="single" w:sz="8" w:space="0" w:color="auto"/>
            </w:tcBorders>
            <w:shd w:val="clear" w:color="auto" w:fill="auto"/>
            <w:noWrap/>
            <w:vAlign w:val="center"/>
            <w:hideMark/>
          </w:tcPr>
          <w:p w14:paraId="19D1DCB0" w14:textId="77777777" w:rsidR="00E35C50" w:rsidRDefault="00E35C50" w:rsidP="00E85F4B">
            <w:pPr>
              <w:jc w:val="center"/>
              <w:rPr>
                <w:rFonts w:ascii="Aptos Narrow" w:hAnsi="Aptos Narrow"/>
                <w:color w:val="000000"/>
              </w:rPr>
            </w:pPr>
            <w:r>
              <w:rPr>
                <w:rFonts w:ascii="Aptos Narrow" w:hAnsi="Aptos Narrow"/>
                <w:color w:val="000000"/>
              </w:rPr>
              <w:t>41.2403</w:t>
            </w:r>
          </w:p>
        </w:tc>
        <w:tc>
          <w:tcPr>
            <w:tcW w:w="1960" w:type="dxa"/>
            <w:tcBorders>
              <w:top w:val="nil"/>
              <w:left w:val="nil"/>
              <w:bottom w:val="single" w:sz="8" w:space="0" w:color="auto"/>
              <w:right w:val="single" w:sz="8" w:space="0" w:color="auto"/>
            </w:tcBorders>
            <w:shd w:val="clear" w:color="auto" w:fill="auto"/>
            <w:noWrap/>
            <w:vAlign w:val="center"/>
            <w:hideMark/>
          </w:tcPr>
          <w:p w14:paraId="230C1E36" w14:textId="77777777" w:rsidR="00E35C50" w:rsidRDefault="00E35C50" w:rsidP="00E85F4B">
            <w:pPr>
              <w:jc w:val="center"/>
              <w:rPr>
                <w:rFonts w:ascii="Aptos Narrow" w:hAnsi="Aptos Narrow"/>
                <w:color w:val="000000"/>
              </w:rPr>
            </w:pPr>
            <w:r>
              <w:rPr>
                <w:rFonts w:ascii="Aptos Narrow" w:hAnsi="Aptos Narrow"/>
                <w:color w:val="000000"/>
              </w:rPr>
              <w:t>2.5706</w:t>
            </w:r>
          </w:p>
        </w:tc>
        <w:tc>
          <w:tcPr>
            <w:tcW w:w="1760" w:type="dxa"/>
            <w:tcBorders>
              <w:top w:val="nil"/>
              <w:left w:val="nil"/>
              <w:bottom w:val="single" w:sz="8" w:space="0" w:color="auto"/>
              <w:right w:val="single" w:sz="8" w:space="0" w:color="auto"/>
            </w:tcBorders>
            <w:shd w:val="clear" w:color="auto" w:fill="auto"/>
            <w:noWrap/>
            <w:vAlign w:val="center"/>
            <w:hideMark/>
          </w:tcPr>
          <w:p w14:paraId="22EFC207" w14:textId="77777777" w:rsidR="00E35C50" w:rsidRDefault="00E35C50" w:rsidP="00E85F4B">
            <w:pPr>
              <w:jc w:val="center"/>
              <w:rPr>
                <w:rFonts w:ascii="Aptos Narrow" w:hAnsi="Aptos Narrow"/>
                <w:color w:val="000000"/>
              </w:rPr>
            </w:pPr>
            <w:r>
              <w:rPr>
                <w:rFonts w:ascii="Aptos Narrow" w:hAnsi="Aptos Narrow"/>
                <w:color w:val="000000"/>
              </w:rPr>
              <w:t>-5.6280</w:t>
            </w:r>
          </w:p>
        </w:tc>
      </w:tr>
      <w:tr w:rsidR="00E35C50" w14:paraId="1EE87680"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CD6CC02" w14:textId="77777777" w:rsidR="00E35C50" w:rsidRDefault="00E35C50" w:rsidP="00E85F4B">
            <w:pPr>
              <w:jc w:val="center"/>
              <w:rPr>
                <w:rFonts w:ascii="Aptos Narrow" w:hAnsi="Aptos Narrow"/>
                <w:color w:val="000000"/>
              </w:rPr>
            </w:pPr>
            <w:r>
              <w:rPr>
                <w:rFonts w:ascii="Aptos Narrow" w:hAnsi="Aptos Narrow"/>
                <w:color w:val="000000"/>
              </w:rPr>
              <w:t>2007</w:t>
            </w:r>
          </w:p>
        </w:tc>
        <w:tc>
          <w:tcPr>
            <w:tcW w:w="1960" w:type="dxa"/>
            <w:tcBorders>
              <w:top w:val="nil"/>
              <w:left w:val="nil"/>
              <w:bottom w:val="single" w:sz="8" w:space="0" w:color="auto"/>
              <w:right w:val="single" w:sz="8" w:space="0" w:color="auto"/>
            </w:tcBorders>
            <w:shd w:val="clear" w:color="auto" w:fill="auto"/>
            <w:noWrap/>
            <w:vAlign w:val="center"/>
            <w:hideMark/>
          </w:tcPr>
          <w:p w14:paraId="475D3EE5" w14:textId="77777777" w:rsidR="00E35C50" w:rsidRDefault="00E35C50" w:rsidP="00E85F4B">
            <w:pPr>
              <w:jc w:val="center"/>
              <w:rPr>
                <w:rFonts w:ascii="Aptos Narrow" w:hAnsi="Aptos Narrow"/>
                <w:color w:val="000000"/>
              </w:rPr>
            </w:pPr>
            <w:r>
              <w:rPr>
                <w:rFonts w:ascii="Aptos Narrow" w:hAnsi="Aptos Narrow"/>
                <w:color w:val="000000"/>
              </w:rPr>
              <w:t>35.0225</w:t>
            </w:r>
          </w:p>
        </w:tc>
        <w:tc>
          <w:tcPr>
            <w:tcW w:w="1960" w:type="dxa"/>
            <w:tcBorders>
              <w:top w:val="nil"/>
              <w:left w:val="nil"/>
              <w:bottom w:val="single" w:sz="8" w:space="0" w:color="auto"/>
              <w:right w:val="single" w:sz="8" w:space="0" w:color="auto"/>
            </w:tcBorders>
            <w:shd w:val="clear" w:color="auto" w:fill="auto"/>
            <w:noWrap/>
            <w:vAlign w:val="center"/>
            <w:hideMark/>
          </w:tcPr>
          <w:p w14:paraId="5F42ACAF" w14:textId="77777777" w:rsidR="00E35C50" w:rsidRDefault="00E35C50" w:rsidP="00E85F4B">
            <w:pPr>
              <w:jc w:val="center"/>
              <w:rPr>
                <w:rFonts w:ascii="Aptos Narrow" w:hAnsi="Aptos Narrow"/>
                <w:color w:val="000000"/>
              </w:rPr>
            </w:pPr>
            <w:r>
              <w:rPr>
                <w:rFonts w:ascii="Aptos Narrow" w:hAnsi="Aptos Narrow"/>
                <w:color w:val="000000"/>
              </w:rPr>
              <w:t>5.6818</w:t>
            </w:r>
          </w:p>
        </w:tc>
        <w:tc>
          <w:tcPr>
            <w:tcW w:w="1760" w:type="dxa"/>
            <w:tcBorders>
              <w:top w:val="nil"/>
              <w:left w:val="nil"/>
              <w:bottom w:val="single" w:sz="8" w:space="0" w:color="auto"/>
              <w:right w:val="single" w:sz="8" w:space="0" w:color="auto"/>
            </w:tcBorders>
            <w:shd w:val="clear" w:color="auto" w:fill="auto"/>
            <w:noWrap/>
            <w:vAlign w:val="center"/>
            <w:hideMark/>
          </w:tcPr>
          <w:p w14:paraId="1BE79915" w14:textId="77777777" w:rsidR="00E35C50" w:rsidRDefault="00E35C50" w:rsidP="00E85F4B">
            <w:pPr>
              <w:jc w:val="center"/>
              <w:rPr>
                <w:rFonts w:ascii="Aptos Narrow" w:hAnsi="Aptos Narrow"/>
                <w:color w:val="000000"/>
              </w:rPr>
            </w:pPr>
            <w:r>
              <w:rPr>
                <w:rFonts w:ascii="Aptos Narrow" w:hAnsi="Aptos Narrow"/>
                <w:color w:val="000000"/>
              </w:rPr>
              <w:t>9.1872</w:t>
            </w:r>
          </w:p>
        </w:tc>
      </w:tr>
      <w:tr w:rsidR="00E35C50" w14:paraId="097CFD9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716C4FF" w14:textId="77777777" w:rsidR="00E35C50" w:rsidRDefault="00E35C50" w:rsidP="00E85F4B">
            <w:pPr>
              <w:jc w:val="center"/>
              <w:rPr>
                <w:rFonts w:ascii="Aptos Narrow" w:hAnsi="Aptos Narrow"/>
                <w:color w:val="000000"/>
              </w:rPr>
            </w:pPr>
            <w:r>
              <w:rPr>
                <w:rFonts w:ascii="Aptos Narrow" w:hAnsi="Aptos Narrow"/>
                <w:color w:val="000000"/>
              </w:rPr>
              <w:t>2008</w:t>
            </w:r>
          </w:p>
        </w:tc>
        <w:tc>
          <w:tcPr>
            <w:tcW w:w="1960" w:type="dxa"/>
            <w:tcBorders>
              <w:top w:val="nil"/>
              <w:left w:val="nil"/>
              <w:bottom w:val="single" w:sz="8" w:space="0" w:color="auto"/>
              <w:right w:val="single" w:sz="8" w:space="0" w:color="auto"/>
            </w:tcBorders>
            <w:shd w:val="clear" w:color="auto" w:fill="auto"/>
            <w:noWrap/>
            <w:vAlign w:val="center"/>
            <w:hideMark/>
          </w:tcPr>
          <w:p w14:paraId="1F9042D4" w14:textId="77777777" w:rsidR="00E35C50" w:rsidRDefault="00E35C50" w:rsidP="00E85F4B">
            <w:pPr>
              <w:jc w:val="center"/>
              <w:rPr>
                <w:rFonts w:ascii="Aptos Narrow" w:hAnsi="Aptos Narrow"/>
                <w:color w:val="000000"/>
              </w:rPr>
            </w:pPr>
            <w:r>
              <w:rPr>
                <w:rFonts w:ascii="Aptos Narrow" w:hAnsi="Aptos Narrow"/>
                <w:color w:val="000000"/>
              </w:rPr>
              <w:t>35.3668</w:t>
            </w:r>
          </w:p>
        </w:tc>
        <w:tc>
          <w:tcPr>
            <w:tcW w:w="1960" w:type="dxa"/>
            <w:tcBorders>
              <w:top w:val="nil"/>
              <w:left w:val="nil"/>
              <w:bottom w:val="single" w:sz="8" w:space="0" w:color="auto"/>
              <w:right w:val="single" w:sz="8" w:space="0" w:color="auto"/>
            </w:tcBorders>
            <w:shd w:val="clear" w:color="auto" w:fill="auto"/>
            <w:noWrap/>
            <w:vAlign w:val="center"/>
            <w:hideMark/>
          </w:tcPr>
          <w:p w14:paraId="7C6090D5" w14:textId="77777777" w:rsidR="00E35C50" w:rsidRDefault="00E35C50" w:rsidP="00E85F4B">
            <w:pPr>
              <w:jc w:val="center"/>
              <w:rPr>
                <w:rFonts w:ascii="Aptos Narrow" w:hAnsi="Aptos Narrow"/>
                <w:color w:val="000000"/>
              </w:rPr>
            </w:pPr>
            <w:r>
              <w:rPr>
                <w:rFonts w:ascii="Aptos Narrow" w:hAnsi="Aptos Narrow"/>
                <w:color w:val="000000"/>
              </w:rPr>
              <w:t>3.7718</w:t>
            </w:r>
          </w:p>
        </w:tc>
        <w:tc>
          <w:tcPr>
            <w:tcW w:w="1760" w:type="dxa"/>
            <w:tcBorders>
              <w:top w:val="nil"/>
              <w:left w:val="nil"/>
              <w:bottom w:val="single" w:sz="8" w:space="0" w:color="auto"/>
              <w:right w:val="single" w:sz="8" w:space="0" w:color="auto"/>
            </w:tcBorders>
            <w:shd w:val="clear" w:color="auto" w:fill="auto"/>
            <w:noWrap/>
            <w:vAlign w:val="center"/>
            <w:hideMark/>
          </w:tcPr>
          <w:p w14:paraId="1FA14912" w14:textId="77777777" w:rsidR="00E35C50" w:rsidRDefault="00E35C50" w:rsidP="00E85F4B">
            <w:pPr>
              <w:jc w:val="center"/>
              <w:rPr>
                <w:rFonts w:ascii="Aptos Narrow" w:hAnsi="Aptos Narrow"/>
                <w:color w:val="000000"/>
              </w:rPr>
            </w:pPr>
            <w:r>
              <w:rPr>
                <w:rFonts w:ascii="Aptos Narrow" w:hAnsi="Aptos Narrow"/>
                <w:color w:val="000000"/>
              </w:rPr>
              <w:t>6.6849</w:t>
            </w:r>
          </w:p>
        </w:tc>
      </w:tr>
      <w:tr w:rsidR="00E35C50" w14:paraId="4661488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B19AA0E" w14:textId="77777777" w:rsidR="00E35C50" w:rsidRDefault="00E35C50" w:rsidP="00E85F4B">
            <w:pPr>
              <w:jc w:val="center"/>
              <w:rPr>
                <w:rFonts w:ascii="Aptos Narrow" w:hAnsi="Aptos Narrow"/>
                <w:color w:val="000000"/>
              </w:rPr>
            </w:pPr>
            <w:r>
              <w:rPr>
                <w:rFonts w:ascii="Aptos Narrow" w:hAnsi="Aptos Narrow"/>
                <w:color w:val="000000"/>
              </w:rPr>
              <w:t>2009</w:t>
            </w:r>
          </w:p>
        </w:tc>
        <w:tc>
          <w:tcPr>
            <w:tcW w:w="1960" w:type="dxa"/>
            <w:tcBorders>
              <w:top w:val="nil"/>
              <w:left w:val="nil"/>
              <w:bottom w:val="single" w:sz="8" w:space="0" w:color="auto"/>
              <w:right w:val="single" w:sz="8" w:space="0" w:color="auto"/>
            </w:tcBorders>
            <w:shd w:val="clear" w:color="auto" w:fill="auto"/>
            <w:noWrap/>
            <w:vAlign w:val="center"/>
            <w:hideMark/>
          </w:tcPr>
          <w:p w14:paraId="429D9BE6" w14:textId="77777777" w:rsidR="00E35C50" w:rsidRDefault="00E35C50" w:rsidP="00E85F4B">
            <w:pPr>
              <w:jc w:val="center"/>
              <w:rPr>
                <w:rFonts w:ascii="Aptos Narrow" w:hAnsi="Aptos Narrow"/>
                <w:color w:val="000000"/>
              </w:rPr>
            </w:pPr>
            <w:r>
              <w:rPr>
                <w:rFonts w:ascii="Aptos Narrow" w:hAnsi="Aptos Narrow"/>
                <w:color w:val="000000"/>
              </w:rPr>
              <w:t>34.7920</w:t>
            </w:r>
          </w:p>
        </w:tc>
        <w:tc>
          <w:tcPr>
            <w:tcW w:w="1960" w:type="dxa"/>
            <w:tcBorders>
              <w:top w:val="nil"/>
              <w:left w:val="nil"/>
              <w:bottom w:val="single" w:sz="8" w:space="0" w:color="auto"/>
              <w:right w:val="single" w:sz="8" w:space="0" w:color="auto"/>
            </w:tcBorders>
            <w:shd w:val="clear" w:color="auto" w:fill="auto"/>
            <w:noWrap/>
            <w:vAlign w:val="center"/>
            <w:hideMark/>
          </w:tcPr>
          <w:p w14:paraId="3372A4F7" w14:textId="77777777" w:rsidR="00E35C50" w:rsidRDefault="00E35C50" w:rsidP="00E85F4B">
            <w:pPr>
              <w:jc w:val="center"/>
              <w:rPr>
                <w:rFonts w:ascii="Aptos Narrow" w:hAnsi="Aptos Narrow"/>
                <w:color w:val="000000"/>
              </w:rPr>
            </w:pPr>
            <w:r>
              <w:rPr>
                <w:rFonts w:ascii="Aptos Narrow" w:hAnsi="Aptos Narrow"/>
                <w:color w:val="000000"/>
              </w:rPr>
              <w:t>4.8086</w:t>
            </w:r>
          </w:p>
        </w:tc>
        <w:tc>
          <w:tcPr>
            <w:tcW w:w="1760" w:type="dxa"/>
            <w:tcBorders>
              <w:top w:val="nil"/>
              <w:left w:val="nil"/>
              <w:bottom w:val="single" w:sz="8" w:space="0" w:color="auto"/>
              <w:right w:val="single" w:sz="8" w:space="0" w:color="auto"/>
            </w:tcBorders>
            <w:shd w:val="clear" w:color="auto" w:fill="auto"/>
            <w:noWrap/>
            <w:vAlign w:val="center"/>
            <w:hideMark/>
          </w:tcPr>
          <w:p w14:paraId="502F6C79" w14:textId="77777777" w:rsidR="00E35C50" w:rsidRDefault="00E35C50" w:rsidP="00E85F4B">
            <w:pPr>
              <w:jc w:val="center"/>
              <w:rPr>
                <w:rFonts w:ascii="Aptos Narrow" w:hAnsi="Aptos Narrow"/>
                <w:color w:val="000000"/>
              </w:rPr>
            </w:pPr>
            <w:r>
              <w:rPr>
                <w:rFonts w:ascii="Aptos Narrow" w:hAnsi="Aptos Narrow"/>
                <w:color w:val="000000"/>
              </w:rPr>
              <w:t>18.1800</w:t>
            </w:r>
          </w:p>
        </w:tc>
      </w:tr>
      <w:tr w:rsidR="00E35C50" w14:paraId="3412B500"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D2761F2" w14:textId="77777777" w:rsidR="00E35C50" w:rsidRDefault="00E35C50" w:rsidP="00E85F4B">
            <w:pPr>
              <w:jc w:val="center"/>
              <w:rPr>
                <w:rFonts w:ascii="Aptos Narrow" w:hAnsi="Aptos Narrow"/>
                <w:color w:val="000000"/>
              </w:rPr>
            </w:pPr>
            <w:r>
              <w:rPr>
                <w:rFonts w:ascii="Aptos Narrow" w:hAnsi="Aptos Narrow"/>
                <w:color w:val="000000"/>
              </w:rPr>
              <w:t>2010</w:t>
            </w:r>
          </w:p>
        </w:tc>
        <w:tc>
          <w:tcPr>
            <w:tcW w:w="1960" w:type="dxa"/>
            <w:tcBorders>
              <w:top w:val="nil"/>
              <w:left w:val="nil"/>
              <w:bottom w:val="single" w:sz="8" w:space="0" w:color="auto"/>
              <w:right w:val="single" w:sz="8" w:space="0" w:color="auto"/>
            </w:tcBorders>
            <w:shd w:val="clear" w:color="auto" w:fill="auto"/>
            <w:noWrap/>
            <w:vAlign w:val="center"/>
            <w:hideMark/>
          </w:tcPr>
          <w:p w14:paraId="0AE535AB" w14:textId="77777777" w:rsidR="00E35C50" w:rsidRDefault="00E35C50" w:rsidP="00E85F4B">
            <w:pPr>
              <w:jc w:val="center"/>
              <w:rPr>
                <w:rFonts w:ascii="Aptos Narrow" w:hAnsi="Aptos Narrow"/>
                <w:color w:val="000000"/>
              </w:rPr>
            </w:pPr>
            <w:r>
              <w:rPr>
                <w:rFonts w:ascii="Aptos Narrow" w:hAnsi="Aptos Narrow"/>
                <w:color w:val="000000"/>
              </w:rPr>
              <w:t>29.1158</w:t>
            </w:r>
          </w:p>
        </w:tc>
        <w:tc>
          <w:tcPr>
            <w:tcW w:w="1960" w:type="dxa"/>
            <w:tcBorders>
              <w:top w:val="nil"/>
              <w:left w:val="nil"/>
              <w:bottom w:val="single" w:sz="8" w:space="0" w:color="auto"/>
              <w:right w:val="single" w:sz="8" w:space="0" w:color="auto"/>
            </w:tcBorders>
            <w:shd w:val="clear" w:color="auto" w:fill="auto"/>
            <w:noWrap/>
            <w:vAlign w:val="center"/>
            <w:hideMark/>
          </w:tcPr>
          <w:p w14:paraId="16488FCE" w14:textId="77777777" w:rsidR="00E35C50" w:rsidRDefault="00E35C50" w:rsidP="00E85F4B">
            <w:pPr>
              <w:jc w:val="center"/>
              <w:rPr>
                <w:rFonts w:ascii="Aptos Narrow" w:hAnsi="Aptos Narrow"/>
                <w:color w:val="000000"/>
              </w:rPr>
            </w:pPr>
            <w:r>
              <w:rPr>
                <w:rFonts w:ascii="Aptos Narrow" w:hAnsi="Aptos Narrow"/>
                <w:color w:val="000000"/>
              </w:rPr>
              <w:t>-1.9839</w:t>
            </w:r>
          </w:p>
        </w:tc>
        <w:tc>
          <w:tcPr>
            <w:tcW w:w="1760" w:type="dxa"/>
            <w:tcBorders>
              <w:top w:val="nil"/>
              <w:left w:val="nil"/>
              <w:bottom w:val="single" w:sz="8" w:space="0" w:color="auto"/>
              <w:right w:val="single" w:sz="8" w:space="0" w:color="auto"/>
            </w:tcBorders>
            <w:shd w:val="clear" w:color="auto" w:fill="auto"/>
            <w:noWrap/>
            <w:vAlign w:val="center"/>
            <w:hideMark/>
          </w:tcPr>
          <w:p w14:paraId="78C18B87" w14:textId="77777777" w:rsidR="00E35C50" w:rsidRDefault="00E35C50" w:rsidP="00E85F4B">
            <w:pPr>
              <w:jc w:val="center"/>
              <w:rPr>
                <w:rFonts w:ascii="Aptos Narrow" w:hAnsi="Aptos Narrow"/>
                <w:color w:val="000000"/>
              </w:rPr>
            </w:pPr>
            <w:r>
              <w:rPr>
                <w:rFonts w:ascii="Aptos Narrow" w:hAnsi="Aptos Narrow"/>
                <w:color w:val="000000"/>
              </w:rPr>
              <w:t>1.0677</w:t>
            </w:r>
          </w:p>
        </w:tc>
      </w:tr>
      <w:tr w:rsidR="00E35C50" w14:paraId="23F53166"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CB69DB0" w14:textId="77777777" w:rsidR="00E35C50" w:rsidRDefault="00E35C50" w:rsidP="00E85F4B">
            <w:pPr>
              <w:jc w:val="center"/>
              <w:rPr>
                <w:rFonts w:ascii="Aptos Narrow" w:hAnsi="Aptos Narrow"/>
                <w:color w:val="000000"/>
              </w:rPr>
            </w:pPr>
            <w:r>
              <w:rPr>
                <w:rFonts w:ascii="Aptos Narrow" w:hAnsi="Aptos Narrow"/>
                <w:color w:val="000000"/>
              </w:rPr>
              <w:t>2011</w:t>
            </w:r>
          </w:p>
        </w:tc>
        <w:tc>
          <w:tcPr>
            <w:tcW w:w="1960" w:type="dxa"/>
            <w:tcBorders>
              <w:top w:val="nil"/>
              <w:left w:val="nil"/>
              <w:bottom w:val="single" w:sz="8" w:space="0" w:color="auto"/>
              <w:right w:val="single" w:sz="8" w:space="0" w:color="auto"/>
            </w:tcBorders>
            <w:shd w:val="clear" w:color="auto" w:fill="auto"/>
            <w:noWrap/>
            <w:vAlign w:val="center"/>
            <w:hideMark/>
          </w:tcPr>
          <w:p w14:paraId="14CC36DE" w14:textId="77777777" w:rsidR="00E35C50" w:rsidRDefault="00E35C50" w:rsidP="00E85F4B">
            <w:pPr>
              <w:jc w:val="center"/>
              <w:rPr>
                <w:rFonts w:ascii="Aptos Narrow" w:hAnsi="Aptos Narrow"/>
                <w:color w:val="000000"/>
              </w:rPr>
            </w:pPr>
            <w:r>
              <w:rPr>
                <w:rFonts w:ascii="Aptos Narrow" w:hAnsi="Aptos Narrow"/>
                <w:color w:val="000000"/>
              </w:rPr>
              <w:t>32.8335</w:t>
            </w:r>
          </w:p>
        </w:tc>
        <w:tc>
          <w:tcPr>
            <w:tcW w:w="1960" w:type="dxa"/>
            <w:tcBorders>
              <w:top w:val="nil"/>
              <w:left w:val="nil"/>
              <w:bottom w:val="single" w:sz="8" w:space="0" w:color="auto"/>
              <w:right w:val="single" w:sz="8" w:space="0" w:color="auto"/>
            </w:tcBorders>
            <w:shd w:val="clear" w:color="auto" w:fill="auto"/>
            <w:noWrap/>
            <w:vAlign w:val="center"/>
            <w:hideMark/>
          </w:tcPr>
          <w:p w14:paraId="79619286" w14:textId="77777777" w:rsidR="00E35C50" w:rsidRDefault="00E35C50" w:rsidP="00E85F4B">
            <w:pPr>
              <w:jc w:val="center"/>
              <w:rPr>
                <w:rFonts w:ascii="Aptos Narrow" w:hAnsi="Aptos Narrow"/>
                <w:color w:val="000000"/>
              </w:rPr>
            </w:pPr>
            <w:r>
              <w:rPr>
                <w:rFonts w:ascii="Aptos Narrow" w:hAnsi="Aptos Narrow"/>
                <w:color w:val="000000"/>
              </w:rPr>
              <w:t>1.3180</w:t>
            </w:r>
          </w:p>
        </w:tc>
        <w:tc>
          <w:tcPr>
            <w:tcW w:w="1760" w:type="dxa"/>
            <w:tcBorders>
              <w:top w:val="nil"/>
              <w:left w:val="nil"/>
              <w:bottom w:val="single" w:sz="8" w:space="0" w:color="auto"/>
              <w:right w:val="single" w:sz="8" w:space="0" w:color="auto"/>
            </w:tcBorders>
            <w:shd w:val="clear" w:color="auto" w:fill="auto"/>
            <w:noWrap/>
            <w:vAlign w:val="center"/>
            <w:hideMark/>
          </w:tcPr>
          <w:p w14:paraId="2F3F2181" w14:textId="77777777" w:rsidR="00E35C50" w:rsidRDefault="00E35C50" w:rsidP="00E85F4B">
            <w:pPr>
              <w:jc w:val="center"/>
              <w:rPr>
                <w:rFonts w:ascii="Aptos Narrow" w:hAnsi="Aptos Narrow"/>
                <w:color w:val="000000"/>
              </w:rPr>
            </w:pPr>
            <w:r>
              <w:rPr>
                <w:rFonts w:ascii="Aptos Narrow" w:hAnsi="Aptos Narrow"/>
                <w:color w:val="000000"/>
              </w:rPr>
              <w:t>5.6856</w:t>
            </w:r>
          </w:p>
        </w:tc>
      </w:tr>
      <w:tr w:rsidR="00E35C50" w14:paraId="1A21778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074E03D" w14:textId="77777777" w:rsidR="00E35C50" w:rsidRDefault="00E35C50" w:rsidP="00E85F4B">
            <w:pPr>
              <w:jc w:val="center"/>
              <w:rPr>
                <w:rFonts w:ascii="Aptos Narrow" w:hAnsi="Aptos Narrow"/>
                <w:color w:val="000000"/>
              </w:rPr>
            </w:pPr>
            <w:r>
              <w:rPr>
                <w:rFonts w:ascii="Aptos Narrow" w:hAnsi="Aptos Narrow"/>
                <w:color w:val="000000"/>
              </w:rPr>
              <w:t>2012</w:t>
            </w:r>
          </w:p>
        </w:tc>
        <w:tc>
          <w:tcPr>
            <w:tcW w:w="1960" w:type="dxa"/>
            <w:tcBorders>
              <w:top w:val="nil"/>
              <w:left w:val="nil"/>
              <w:bottom w:val="single" w:sz="8" w:space="0" w:color="auto"/>
              <w:right w:val="single" w:sz="8" w:space="0" w:color="auto"/>
            </w:tcBorders>
            <w:shd w:val="clear" w:color="auto" w:fill="auto"/>
            <w:noWrap/>
            <w:vAlign w:val="center"/>
            <w:hideMark/>
          </w:tcPr>
          <w:p w14:paraId="6ECB30E4" w14:textId="77777777" w:rsidR="00E35C50" w:rsidRDefault="00E35C50" w:rsidP="00E85F4B">
            <w:pPr>
              <w:jc w:val="center"/>
              <w:rPr>
                <w:rFonts w:ascii="Aptos Narrow" w:hAnsi="Aptos Narrow"/>
                <w:color w:val="000000"/>
              </w:rPr>
            </w:pPr>
            <w:r>
              <w:rPr>
                <w:rFonts w:ascii="Aptos Narrow" w:hAnsi="Aptos Narrow"/>
                <w:color w:val="000000"/>
              </w:rPr>
              <w:t>26.5821</w:t>
            </w:r>
          </w:p>
        </w:tc>
        <w:tc>
          <w:tcPr>
            <w:tcW w:w="1960" w:type="dxa"/>
            <w:tcBorders>
              <w:top w:val="nil"/>
              <w:left w:val="nil"/>
              <w:bottom w:val="single" w:sz="8" w:space="0" w:color="auto"/>
              <w:right w:val="single" w:sz="8" w:space="0" w:color="auto"/>
            </w:tcBorders>
            <w:shd w:val="clear" w:color="auto" w:fill="auto"/>
            <w:noWrap/>
            <w:vAlign w:val="center"/>
            <w:hideMark/>
          </w:tcPr>
          <w:p w14:paraId="041F8588" w14:textId="77777777" w:rsidR="00E35C50" w:rsidRDefault="00E35C50" w:rsidP="00E85F4B">
            <w:pPr>
              <w:jc w:val="center"/>
              <w:rPr>
                <w:rFonts w:ascii="Aptos Narrow" w:hAnsi="Aptos Narrow"/>
                <w:color w:val="000000"/>
              </w:rPr>
            </w:pPr>
            <w:r>
              <w:rPr>
                <w:rFonts w:ascii="Aptos Narrow" w:hAnsi="Aptos Narrow"/>
                <w:color w:val="000000"/>
              </w:rPr>
              <w:t>2.4735</w:t>
            </w:r>
          </w:p>
        </w:tc>
        <w:tc>
          <w:tcPr>
            <w:tcW w:w="1760" w:type="dxa"/>
            <w:tcBorders>
              <w:top w:val="nil"/>
              <w:left w:val="nil"/>
              <w:bottom w:val="single" w:sz="8" w:space="0" w:color="auto"/>
              <w:right w:val="single" w:sz="8" w:space="0" w:color="auto"/>
            </w:tcBorders>
            <w:shd w:val="clear" w:color="auto" w:fill="auto"/>
            <w:noWrap/>
            <w:vAlign w:val="center"/>
            <w:hideMark/>
          </w:tcPr>
          <w:p w14:paraId="485258B2" w14:textId="77777777" w:rsidR="00E35C50" w:rsidRDefault="00E35C50" w:rsidP="00E85F4B">
            <w:pPr>
              <w:jc w:val="center"/>
              <w:rPr>
                <w:rFonts w:ascii="Aptos Narrow" w:hAnsi="Aptos Narrow"/>
                <w:color w:val="000000"/>
              </w:rPr>
            </w:pPr>
            <w:r>
              <w:rPr>
                <w:rFonts w:ascii="Aptos Narrow" w:hAnsi="Aptos Narrow"/>
                <w:color w:val="000000"/>
              </w:rPr>
              <w:t>6.2248</w:t>
            </w:r>
          </w:p>
        </w:tc>
      </w:tr>
      <w:tr w:rsidR="00E35C50" w14:paraId="16CF600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0F39891" w14:textId="77777777" w:rsidR="00E35C50" w:rsidRDefault="00E35C50" w:rsidP="00E85F4B">
            <w:pPr>
              <w:jc w:val="center"/>
              <w:rPr>
                <w:rFonts w:ascii="Aptos Narrow" w:hAnsi="Aptos Narrow"/>
                <w:color w:val="000000"/>
              </w:rPr>
            </w:pPr>
            <w:r>
              <w:rPr>
                <w:rFonts w:ascii="Aptos Narrow" w:hAnsi="Aptos Narrow"/>
                <w:color w:val="000000"/>
              </w:rPr>
              <w:t>2013</w:t>
            </w:r>
          </w:p>
        </w:tc>
        <w:tc>
          <w:tcPr>
            <w:tcW w:w="1960" w:type="dxa"/>
            <w:tcBorders>
              <w:top w:val="nil"/>
              <w:left w:val="nil"/>
              <w:bottom w:val="single" w:sz="8" w:space="0" w:color="auto"/>
              <w:right w:val="single" w:sz="8" w:space="0" w:color="auto"/>
            </w:tcBorders>
            <w:shd w:val="clear" w:color="auto" w:fill="auto"/>
            <w:noWrap/>
            <w:vAlign w:val="center"/>
            <w:hideMark/>
          </w:tcPr>
          <w:p w14:paraId="6C30A553" w14:textId="77777777" w:rsidR="00E35C50" w:rsidRDefault="00E35C50" w:rsidP="00E85F4B">
            <w:pPr>
              <w:jc w:val="center"/>
              <w:rPr>
                <w:rFonts w:ascii="Aptos Narrow" w:hAnsi="Aptos Narrow"/>
                <w:color w:val="000000"/>
              </w:rPr>
            </w:pPr>
            <w:r>
              <w:rPr>
                <w:rFonts w:ascii="Aptos Narrow" w:hAnsi="Aptos Narrow"/>
                <w:color w:val="000000"/>
              </w:rPr>
              <w:t>18.4988</w:t>
            </w:r>
          </w:p>
        </w:tc>
        <w:tc>
          <w:tcPr>
            <w:tcW w:w="1960" w:type="dxa"/>
            <w:tcBorders>
              <w:top w:val="nil"/>
              <w:left w:val="nil"/>
              <w:bottom w:val="single" w:sz="8" w:space="0" w:color="auto"/>
              <w:right w:val="single" w:sz="8" w:space="0" w:color="auto"/>
            </w:tcBorders>
            <w:shd w:val="clear" w:color="auto" w:fill="auto"/>
            <w:noWrap/>
            <w:vAlign w:val="center"/>
            <w:hideMark/>
          </w:tcPr>
          <w:p w14:paraId="21435944" w14:textId="77777777" w:rsidR="00E35C50" w:rsidRDefault="00E35C50" w:rsidP="00E85F4B">
            <w:pPr>
              <w:jc w:val="center"/>
              <w:rPr>
                <w:rFonts w:ascii="Aptos Narrow" w:hAnsi="Aptos Narrow"/>
                <w:color w:val="000000"/>
              </w:rPr>
            </w:pPr>
            <w:r>
              <w:rPr>
                <w:rFonts w:ascii="Aptos Narrow" w:hAnsi="Aptos Narrow"/>
                <w:color w:val="000000"/>
              </w:rPr>
              <w:t>3.8660</w:t>
            </w:r>
          </w:p>
        </w:tc>
        <w:tc>
          <w:tcPr>
            <w:tcW w:w="1760" w:type="dxa"/>
            <w:tcBorders>
              <w:top w:val="nil"/>
              <w:left w:val="nil"/>
              <w:bottom w:val="single" w:sz="8" w:space="0" w:color="auto"/>
              <w:right w:val="single" w:sz="8" w:space="0" w:color="auto"/>
            </w:tcBorders>
            <w:shd w:val="clear" w:color="auto" w:fill="auto"/>
            <w:noWrap/>
            <w:vAlign w:val="center"/>
            <w:hideMark/>
          </w:tcPr>
          <w:p w14:paraId="2FC43FC6" w14:textId="77777777" w:rsidR="00E35C50" w:rsidRDefault="00E35C50" w:rsidP="00E85F4B">
            <w:pPr>
              <w:jc w:val="center"/>
              <w:rPr>
                <w:rFonts w:ascii="Aptos Narrow" w:hAnsi="Aptos Narrow"/>
                <w:color w:val="000000"/>
              </w:rPr>
            </w:pPr>
            <w:r>
              <w:rPr>
                <w:rFonts w:ascii="Aptos Narrow" w:hAnsi="Aptos Narrow"/>
                <w:color w:val="000000"/>
              </w:rPr>
              <w:t>11.2016</w:t>
            </w:r>
          </w:p>
        </w:tc>
      </w:tr>
      <w:tr w:rsidR="00E35C50" w14:paraId="707CEB33"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CA2CE5F" w14:textId="77777777" w:rsidR="00E35C50" w:rsidRDefault="00E35C50" w:rsidP="00E85F4B">
            <w:pPr>
              <w:jc w:val="center"/>
              <w:rPr>
                <w:rFonts w:ascii="Aptos Narrow" w:hAnsi="Aptos Narrow"/>
                <w:color w:val="000000"/>
              </w:rPr>
            </w:pPr>
            <w:r>
              <w:rPr>
                <w:rFonts w:ascii="Aptos Narrow" w:hAnsi="Aptos Narrow"/>
                <w:color w:val="000000"/>
              </w:rPr>
              <w:t>2014</w:t>
            </w:r>
          </w:p>
        </w:tc>
        <w:tc>
          <w:tcPr>
            <w:tcW w:w="1960" w:type="dxa"/>
            <w:tcBorders>
              <w:top w:val="nil"/>
              <w:left w:val="nil"/>
              <w:bottom w:val="single" w:sz="8" w:space="0" w:color="auto"/>
              <w:right w:val="single" w:sz="8" w:space="0" w:color="auto"/>
            </w:tcBorders>
            <w:shd w:val="clear" w:color="auto" w:fill="auto"/>
            <w:noWrap/>
            <w:vAlign w:val="center"/>
            <w:hideMark/>
          </w:tcPr>
          <w:p w14:paraId="7CD3DB57" w14:textId="77777777" w:rsidR="00E35C50" w:rsidRDefault="00E35C50" w:rsidP="00E85F4B">
            <w:pPr>
              <w:jc w:val="center"/>
              <w:rPr>
                <w:rFonts w:ascii="Aptos Narrow" w:hAnsi="Aptos Narrow"/>
                <w:color w:val="000000"/>
              </w:rPr>
            </w:pPr>
            <w:r>
              <w:rPr>
                <w:rFonts w:ascii="Aptos Narrow" w:hAnsi="Aptos Narrow"/>
                <w:color w:val="000000"/>
              </w:rPr>
              <w:t>22.4037</w:t>
            </w:r>
          </w:p>
        </w:tc>
        <w:tc>
          <w:tcPr>
            <w:tcW w:w="1960" w:type="dxa"/>
            <w:tcBorders>
              <w:top w:val="nil"/>
              <w:left w:val="nil"/>
              <w:bottom w:val="single" w:sz="8" w:space="0" w:color="auto"/>
              <w:right w:val="single" w:sz="8" w:space="0" w:color="auto"/>
            </w:tcBorders>
            <w:shd w:val="clear" w:color="auto" w:fill="auto"/>
            <w:noWrap/>
            <w:vAlign w:val="center"/>
            <w:hideMark/>
          </w:tcPr>
          <w:p w14:paraId="669287B9" w14:textId="77777777" w:rsidR="00E35C50" w:rsidRDefault="00E35C50" w:rsidP="00E85F4B">
            <w:pPr>
              <w:jc w:val="center"/>
              <w:rPr>
                <w:rFonts w:ascii="Aptos Narrow" w:hAnsi="Aptos Narrow"/>
                <w:color w:val="000000"/>
              </w:rPr>
            </w:pPr>
            <w:r>
              <w:rPr>
                <w:rFonts w:ascii="Aptos Narrow" w:hAnsi="Aptos Narrow"/>
                <w:color w:val="000000"/>
              </w:rPr>
              <w:t>6.6952</w:t>
            </w:r>
          </w:p>
        </w:tc>
        <w:tc>
          <w:tcPr>
            <w:tcW w:w="1760" w:type="dxa"/>
            <w:tcBorders>
              <w:top w:val="nil"/>
              <w:left w:val="nil"/>
              <w:bottom w:val="single" w:sz="8" w:space="0" w:color="auto"/>
              <w:right w:val="single" w:sz="8" w:space="0" w:color="auto"/>
            </w:tcBorders>
            <w:shd w:val="clear" w:color="auto" w:fill="auto"/>
            <w:noWrap/>
            <w:vAlign w:val="center"/>
            <w:hideMark/>
          </w:tcPr>
          <w:p w14:paraId="1E6DAC6F" w14:textId="77777777" w:rsidR="00E35C50" w:rsidRDefault="00E35C50" w:rsidP="00E85F4B">
            <w:pPr>
              <w:jc w:val="center"/>
              <w:rPr>
                <w:rFonts w:ascii="Aptos Narrow" w:hAnsi="Aptos Narrow"/>
                <w:color w:val="000000"/>
              </w:rPr>
            </w:pPr>
            <w:r>
              <w:rPr>
                <w:rFonts w:ascii="Aptos Narrow" w:hAnsi="Aptos Narrow"/>
                <w:color w:val="000000"/>
              </w:rPr>
              <w:t>11.3562</w:t>
            </w:r>
          </w:p>
        </w:tc>
      </w:tr>
      <w:tr w:rsidR="00E35C50" w14:paraId="3409A55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357EB4F" w14:textId="77777777" w:rsidR="00E35C50" w:rsidRDefault="00E35C50" w:rsidP="00E85F4B">
            <w:pPr>
              <w:jc w:val="center"/>
              <w:rPr>
                <w:rFonts w:ascii="Aptos Narrow" w:hAnsi="Aptos Narrow"/>
                <w:color w:val="000000"/>
              </w:rPr>
            </w:pPr>
            <w:r>
              <w:rPr>
                <w:rFonts w:ascii="Aptos Narrow" w:hAnsi="Aptos Narrow"/>
                <w:color w:val="000000"/>
              </w:rPr>
              <w:t>2015</w:t>
            </w:r>
          </w:p>
        </w:tc>
        <w:tc>
          <w:tcPr>
            <w:tcW w:w="1960" w:type="dxa"/>
            <w:tcBorders>
              <w:top w:val="nil"/>
              <w:left w:val="nil"/>
              <w:bottom w:val="single" w:sz="8" w:space="0" w:color="auto"/>
              <w:right w:val="single" w:sz="8" w:space="0" w:color="auto"/>
            </w:tcBorders>
            <w:shd w:val="clear" w:color="auto" w:fill="auto"/>
            <w:noWrap/>
            <w:vAlign w:val="center"/>
            <w:hideMark/>
          </w:tcPr>
          <w:p w14:paraId="5EEAD8D7" w14:textId="77777777" w:rsidR="00E35C50" w:rsidRDefault="00E35C50" w:rsidP="00E85F4B">
            <w:pPr>
              <w:jc w:val="center"/>
              <w:rPr>
                <w:rFonts w:ascii="Aptos Narrow" w:hAnsi="Aptos Narrow"/>
                <w:color w:val="000000"/>
              </w:rPr>
            </w:pPr>
            <w:r>
              <w:rPr>
                <w:rFonts w:ascii="Aptos Narrow" w:hAnsi="Aptos Narrow"/>
                <w:color w:val="000000"/>
              </w:rPr>
              <w:t>33.8323</w:t>
            </w:r>
          </w:p>
        </w:tc>
        <w:tc>
          <w:tcPr>
            <w:tcW w:w="1960" w:type="dxa"/>
            <w:tcBorders>
              <w:top w:val="nil"/>
              <w:left w:val="nil"/>
              <w:bottom w:val="single" w:sz="8" w:space="0" w:color="auto"/>
              <w:right w:val="single" w:sz="8" w:space="0" w:color="auto"/>
            </w:tcBorders>
            <w:shd w:val="clear" w:color="auto" w:fill="auto"/>
            <w:noWrap/>
            <w:vAlign w:val="center"/>
            <w:hideMark/>
          </w:tcPr>
          <w:p w14:paraId="728D9136" w14:textId="77777777" w:rsidR="00E35C50" w:rsidRDefault="00E35C50" w:rsidP="00E85F4B">
            <w:pPr>
              <w:jc w:val="center"/>
              <w:rPr>
                <w:rFonts w:ascii="Aptos Narrow" w:hAnsi="Aptos Narrow"/>
                <w:color w:val="000000"/>
              </w:rPr>
            </w:pPr>
            <w:r>
              <w:rPr>
                <w:rFonts w:ascii="Aptos Narrow" w:hAnsi="Aptos Narrow"/>
                <w:color w:val="000000"/>
              </w:rPr>
              <w:t>7.5565</w:t>
            </w:r>
          </w:p>
        </w:tc>
        <w:tc>
          <w:tcPr>
            <w:tcW w:w="1760" w:type="dxa"/>
            <w:tcBorders>
              <w:top w:val="nil"/>
              <w:left w:val="nil"/>
              <w:bottom w:val="single" w:sz="8" w:space="0" w:color="auto"/>
              <w:right w:val="single" w:sz="8" w:space="0" w:color="auto"/>
            </w:tcBorders>
            <w:shd w:val="clear" w:color="auto" w:fill="auto"/>
            <w:noWrap/>
            <w:vAlign w:val="center"/>
            <w:hideMark/>
          </w:tcPr>
          <w:p w14:paraId="3C08AE0B" w14:textId="77777777" w:rsidR="00E35C50" w:rsidRDefault="00E35C50" w:rsidP="00E85F4B">
            <w:pPr>
              <w:jc w:val="center"/>
              <w:rPr>
                <w:rFonts w:ascii="Aptos Narrow" w:hAnsi="Aptos Narrow"/>
                <w:color w:val="000000"/>
              </w:rPr>
            </w:pPr>
            <w:r>
              <w:rPr>
                <w:rFonts w:ascii="Aptos Narrow" w:hAnsi="Aptos Narrow"/>
                <w:color w:val="000000"/>
              </w:rPr>
              <w:t>13.5962</w:t>
            </w:r>
          </w:p>
        </w:tc>
      </w:tr>
      <w:tr w:rsidR="00E35C50" w14:paraId="4FBE3E78"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11940DD" w14:textId="77777777" w:rsidR="00E35C50" w:rsidRDefault="00E35C50" w:rsidP="00E85F4B">
            <w:pPr>
              <w:jc w:val="center"/>
              <w:rPr>
                <w:rFonts w:ascii="Aptos Narrow" w:hAnsi="Aptos Narrow"/>
                <w:color w:val="000000"/>
              </w:rPr>
            </w:pPr>
            <w:r>
              <w:rPr>
                <w:rFonts w:ascii="Aptos Narrow" w:hAnsi="Aptos Narrow"/>
                <w:color w:val="000000"/>
              </w:rPr>
              <w:t>2016</w:t>
            </w:r>
          </w:p>
        </w:tc>
        <w:tc>
          <w:tcPr>
            <w:tcW w:w="1960" w:type="dxa"/>
            <w:tcBorders>
              <w:top w:val="nil"/>
              <w:left w:val="nil"/>
              <w:bottom w:val="single" w:sz="8" w:space="0" w:color="auto"/>
              <w:right w:val="single" w:sz="8" w:space="0" w:color="auto"/>
            </w:tcBorders>
            <w:shd w:val="clear" w:color="auto" w:fill="auto"/>
            <w:noWrap/>
            <w:vAlign w:val="center"/>
            <w:hideMark/>
          </w:tcPr>
          <w:p w14:paraId="70DA4FF3" w14:textId="77777777" w:rsidR="00E35C50" w:rsidRDefault="00E35C50" w:rsidP="00E85F4B">
            <w:pPr>
              <w:jc w:val="center"/>
              <w:rPr>
                <w:rFonts w:ascii="Aptos Narrow" w:hAnsi="Aptos Narrow"/>
                <w:color w:val="000000"/>
              </w:rPr>
            </w:pPr>
            <w:r>
              <w:rPr>
                <w:rFonts w:ascii="Aptos Narrow" w:hAnsi="Aptos Narrow"/>
                <w:color w:val="000000"/>
              </w:rPr>
              <w:t>40.6984</w:t>
            </w:r>
          </w:p>
        </w:tc>
        <w:tc>
          <w:tcPr>
            <w:tcW w:w="1960" w:type="dxa"/>
            <w:tcBorders>
              <w:top w:val="nil"/>
              <w:left w:val="nil"/>
              <w:bottom w:val="single" w:sz="8" w:space="0" w:color="auto"/>
              <w:right w:val="single" w:sz="8" w:space="0" w:color="auto"/>
            </w:tcBorders>
            <w:shd w:val="clear" w:color="auto" w:fill="auto"/>
            <w:noWrap/>
            <w:vAlign w:val="center"/>
            <w:hideMark/>
          </w:tcPr>
          <w:p w14:paraId="023A0C40" w14:textId="77777777" w:rsidR="00E35C50" w:rsidRDefault="00E35C50" w:rsidP="00E85F4B">
            <w:pPr>
              <w:jc w:val="center"/>
              <w:rPr>
                <w:rFonts w:ascii="Aptos Narrow" w:hAnsi="Aptos Narrow"/>
                <w:color w:val="000000"/>
              </w:rPr>
            </w:pPr>
            <w:r>
              <w:rPr>
                <w:rFonts w:ascii="Aptos Narrow" w:hAnsi="Aptos Narrow"/>
                <w:color w:val="000000"/>
              </w:rPr>
              <w:t>6.2327</w:t>
            </w:r>
          </w:p>
        </w:tc>
        <w:tc>
          <w:tcPr>
            <w:tcW w:w="1760" w:type="dxa"/>
            <w:tcBorders>
              <w:top w:val="nil"/>
              <w:left w:val="nil"/>
              <w:bottom w:val="single" w:sz="8" w:space="0" w:color="auto"/>
              <w:right w:val="single" w:sz="8" w:space="0" w:color="auto"/>
            </w:tcBorders>
            <w:shd w:val="clear" w:color="auto" w:fill="auto"/>
            <w:noWrap/>
            <w:vAlign w:val="center"/>
            <w:hideMark/>
          </w:tcPr>
          <w:p w14:paraId="07F4A72E" w14:textId="77777777" w:rsidR="00E35C50" w:rsidRDefault="00E35C50" w:rsidP="00E85F4B">
            <w:pPr>
              <w:jc w:val="center"/>
              <w:rPr>
                <w:rFonts w:ascii="Aptos Narrow" w:hAnsi="Aptos Narrow"/>
                <w:color w:val="000000"/>
              </w:rPr>
            </w:pPr>
            <w:r>
              <w:rPr>
                <w:rFonts w:ascii="Aptos Narrow" w:hAnsi="Aptos Narrow"/>
                <w:color w:val="000000"/>
              </w:rPr>
              <w:t>6.6862</w:t>
            </w:r>
          </w:p>
        </w:tc>
      </w:tr>
      <w:tr w:rsidR="00E35C50" w14:paraId="141E7EA0"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06F5940" w14:textId="77777777" w:rsidR="00E35C50" w:rsidRDefault="00E35C50" w:rsidP="00E85F4B">
            <w:pPr>
              <w:jc w:val="center"/>
              <w:rPr>
                <w:rFonts w:ascii="Aptos Narrow" w:hAnsi="Aptos Narrow"/>
                <w:color w:val="000000"/>
              </w:rPr>
            </w:pPr>
            <w:r>
              <w:rPr>
                <w:rFonts w:ascii="Aptos Narrow" w:hAnsi="Aptos Narrow"/>
                <w:color w:val="000000"/>
              </w:rPr>
              <w:t>2017</w:t>
            </w:r>
          </w:p>
        </w:tc>
        <w:tc>
          <w:tcPr>
            <w:tcW w:w="1960" w:type="dxa"/>
            <w:tcBorders>
              <w:top w:val="nil"/>
              <w:left w:val="nil"/>
              <w:bottom w:val="single" w:sz="8" w:space="0" w:color="auto"/>
              <w:right w:val="single" w:sz="8" w:space="0" w:color="auto"/>
            </w:tcBorders>
            <w:shd w:val="clear" w:color="auto" w:fill="auto"/>
            <w:noWrap/>
            <w:vAlign w:val="center"/>
            <w:hideMark/>
          </w:tcPr>
          <w:p w14:paraId="5ABFCABC" w14:textId="77777777" w:rsidR="00E35C50" w:rsidRDefault="00E35C50" w:rsidP="00E85F4B">
            <w:pPr>
              <w:jc w:val="center"/>
              <w:rPr>
                <w:rFonts w:ascii="Aptos Narrow" w:hAnsi="Aptos Narrow"/>
                <w:color w:val="000000"/>
              </w:rPr>
            </w:pPr>
            <w:r>
              <w:rPr>
                <w:rFonts w:ascii="Aptos Narrow" w:hAnsi="Aptos Narrow"/>
                <w:color w:val="000000"/>
              </w:rPr>
              <w:t>41.7138</w:t>
            </w:r>
          </w:p>
        </w:tc>
        <w:tc>
          <w:tcPr>
            <w:tcW w:w="1960" w:type="dxa"/>
            <w:tcBorders>
              <w:top w:val="nil"/>
              <w:left w:val="nil"/>
              <w:bottom w:val="single" w:sz="8" w:space="0" w:color="auto"/>
              <w:right w:val="single" w:sz="8" w:space="0" w:color="auto"/>
            </w:tcBorders>
            <w:shd w:val="clear" w:color="auto" w:fill="auto"/>
            <w:noWrap/>
            <w:vAlign w:val="center"/>
            <w:hideMark/>
          </w:tcPr>
          <w:p w14:paraId="0AD16A03" w14:textId="77777777" w:rsidR="00E35C50" w:rsidRDefault="00E35C50" w:rsidP="00E85F4B">
            <w:pPr>
              <w:jc w:val="center"/>
              <w:rPr>
                <w:rFonts w:ascii="Aptos Narrow" w:hAnsi="Aptos Narrow"/>
                <w:color w:val="000000"/>
              </w:rPr>
            </w:pPr>
            <w:r>
              <w:rPr>
                <w:rFonts w:ascii="Aptos Narrow" w:hAnsi="Aptos Narrow"/>
                <w:color w:val="000000"/>
              </w:rPr>
              <w:t>5.3276</w:t>
            </w:r>
          </w:p>
        </w:tc>
        <w:tc>
          <w:tcPr>
            <w:tcW w:w="1760" w:type="dxa"/>
            <w:tcBorders>
              <w:top w:val="nil"/>
              <w:left w:val="nil"/>
              <w:bottom w:val="single" w:sz="8" w:space="0" w:color="auto"/>
              <w:right w:val="single" w:sz="8" w:space="0" w:color="auto"/>
            </w:tcBorders>
            <w:shd w:val="clear" w:color="auto" w:fill="auto"/>
            <w:noWrap/>
            <w:vAlign w:val="center"/>
            <w:hideMark/>
          </w:tcPr>
          <w:p w14:paraId="1EDCB528" w14:textId="77777777" w:rsidR="00E35C50" w:rsidRDefault="00E35C50" w:rsidP="00E85F4B">
            <w:pPr>
              <w:jc w:val="center"/>
              <w:rPr>
                <w:rFonts w:ascii="Aptos Narrow" w:hAnsi="Aptos Narrow"/>
                <w:color w:val="000000"/>
              </w:rPr>
            </w:pPr>
            <w:r>
              <w:rPr>
                <w:rFonts w:ascii="Aptos Narrow" w:hAnsi="Aptos Narrow"/>
                <w:color w:val="000000"/>
              </w:rPr>
              <w:t>5.7906</w:t>
            </w:r>
          </w:p>
        </w:tc>
      </w:tr>
      <w:tr w:rsidR="00E35C50" w14:paraId="5D48685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0EC715A" w14:textId="77777777" w:rsidR="00E35C50" w:rsidRDefault="00E35C50" w:rsidP="00E85F4B">
            <w:pPr>
              <w:jc w:val="center"/>
              <w:rPr>
                <w:rFonts w:ascii="Aptos Narrow" w:hAnsi="Aptos Narrow"/>
                <w:color w:val="000000"/>
              </w:rPr>
            </w:pPr>
            <w:r>
              <w:rPr>
                <w:rFonts w:ascii="Aptos Narrow" w:hAnsi="Aptos Narrow"/>
                <w:color w:val="000000"/>
              </w:rPr>
              <w:t>2018</w:t>
            </w:r>
          </w:p>
        </w:tc>
        <w:tc>
          <w:tcPr>
            <w:tcW w:w="1960" w:type="dxa"/>
            <w:tcBorders>
              <w:top w:val="nil"/>
              <w:left w:val="nil"/>
              <w:bottom w:val="single" w:sz="8" w:space="0" w:color="auto"/>
              <w:right w:val="single" w:sz="8" w:space="0" w:color="auto"/>
            </w:tcBorders>
            <w:shd w:val="clear" w:color="auto" w:fill="auto"/>
            <w:noWrap/>
            <w:vAlign w:val="center"/>
            <w:hideMark/>
          </w:tcPr>
          <w:p w14:paraId="39C5707F" w14:textId="77777777" w:rsidR="00E35C50" w:rsidRDefault="00E35C50" w:rsidP="00E85F4B">
            <w:pPr>
              <w:jc w:val="center"/>
              <w:rPr>
                <w:rFonts w:ascii="Aptos Narrow" w:hAnsi="Aptos Narrow"/>
                <w:color w:val="000000"/>
              </w:rPr>
            </w:pPr>
            <w:r>
              <w:rPr>
                <w:rFonts w:ascii="Aptos Narrow" w:hAnsi="Aptos Narrow"/>
                <w:color w:val="000000"/>
              </w:rPr>
              <w:t>33.1023</w:t>
            </w:r>
          </w:p>
        </w:tc>
        <w:tc>
          <w:tcPr>
            <w:tcW w:w="1960" w:type="dxa"/>
            <w:tcBorders>
              <w:top w:val="nil"/>
              <w:left w:val="nil"/>
              <w:bottom w:val="single" w:sz="8" w:space="0" w:color="auto"/>
              <w:right w:val="single" w:sz="8" w:space="0" w:color="auto"/>
            </w:tcBorders>
            <w:shd w:val="clear" w:color="auto" w:fill="auto"/>
            <w:noWrap/>
            <w:vAlign w:val="center"/>
            <w:hideMark/>
          </w:tcPr>
          <w:p w14:paraId="66799A11" w14:textId="77777777" w:rsidR="00E35C50" w:rsidRDefault="00E35C50" w:rsidP="00E85F4B">
            <w:pPr>
              <w:jc w:val="center"/>
              <w:rPr>
                <w:rFonts w:ascii="Aptos Narrow" w:hAnsi="Aptos Narrow"/>
                <w:color w:val="000000"/>
              </w:rPr>
            </w:pPr>
            <w:r>
              <w:rPr>
                <w:rFonts w:ascii="Aptos Narrow" w:hAnsi="Aptos Narrow"/>
                <w:color w:val="000000"/>
              </w:rPr>
              <w:t>5.3617</w:t>
            </w:r>
          </w:p>
        </w:tc>
        <w:tc>
          <w:tcPr>
            <w:tcW w:w="1760" w:type="dxa"/>
            <w:tcBorders>
              <w:top w:val="nil"/>
              <w:left w:val="nil"/>
              <w:bottom w:val="single" w:sz="8" w:space="0" w:color="auto"/>
              <w:right w:val="single" w:sz="8" w:space="0" w:color="auto"/>
            </w:tcBorders>
            <w:shd w:val="clear" w:color="auto" w:fill="auto"/>
            <w:noWrap/>
            <w:vAlign w:val="center"/>
            <w:hideMark/>
          </w:tcPr>
          <w:p w14:paraId="62186786" w14:textId="77777777" w:rsidR="00E35C50" w:rsidRDefault="00E35C50" w:rsidP="00E85F4B">
            <w:pPr>
              <w:jc w:val="center"/>
              <w:rPr>
                <w:rFonts w:ascii="Aptos Narrow" w:hAnsi="Aptos Narrow"/>
                <w:color w:val="000000"/>
              </w:rPr>
            </w:pPr>
            <w:r>
              <w:rPr>
                <w:rFonts w:ascii="Aptos Narrow" w:hAnsi="Aptos Narrow"/>
                <w:color w:val="000000"/>
              </w:rPr>
              <w:t>6.0560</w:t>
            </w:r>
          </w:p>
        </w:tc>
      </w:tr>
      <w:tr w:rsidR="00E35C50" w14:paraId="7792409B"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DD83B62" w14:textId="77777777" w:rsidR="00E35C50" w:rsidRDefault="00E35C50" w:rsidP="00E85F4B">
            <w:pPr>
              <w:jc w:val="center"/>
              <w:rPr>
                <w:rFonts w:ascii="Aptos Narrow" w:hAnsi="Aptos Narrow"/>
                <w:color w:val="000000"/>
              </w:rPr>
            </w:pPr>
            <w:r>
              <w:rPr>
                <w:rFonts w:ascii="Aptos Narrow" w:hAnsi="Aptos Narrow"/>
                <w:color w:val="000000"/>
              </w:rPr>
              <w:t>2019</w:t>
            </w:r>
          </w:p>
        </w:tc>
        <w:tc>
          <w:tcPr>
            <w:tcW w:w="1960" w:type="dxa"/>
            <w:tcBorders>
              <w:top w:val="nil"/>
              <w:left w:val="nil"/>
              <w:bottom w:val="single" w:sz="8" w:space="0" w:color="auto"/>
              <w:right w:val="single" w:sz="8" w:space="0" w:color="auto"/>
            </w:tcBorders>
            <w:shd w:val="clear" w:color="auto" w:fill="auto"/>
            <w:noWrap/>
            <w:vAlign w:val="center"/>
            <w:hideMark/>
          </w:tcPr>
          <w:p w14:paraId="2B6AEDA7" w14:textId="77777777" w:rsidR="00E35C50" w:rsidRDefault="00E35C50" w:rsidP="00E85F4B">
            <w:pPr>
              <w:jc w:val="center"/>
              <w:rPr>
                <w:rFonts w:ascii="Aptos Narrow" w:hAnsi="Aptos Narrow"/>
                <w:color w:val="000000"/>
              </w:rPr>
            </w:pPr>
            <w:r>
              <w:rPr>
                <w:rFonts w:ascii="Aptos Narrow" w:hAnsi="Aptos Narrow"/>
                <w:color w:val="000000"/>
              </w:rPr>
              <w:t>31.9031</w:t>
            </w:r>
          </w:p>
        </w:tc>
        <w:tc>
          <w:tcPr>
            <w:tcW w:w="1960" w:type="dxa"/>
            <w:tcBorders>
              <w:top w:val="nil"/>
              <w:left w:val="nil"/>
              <w:bottom w:val="single" w:sz="8" w:space="0" w:color="auto"/>
              <w:right w:val="single" w:sz="8" w:space="0" w:color="auto"/>
            </w:tcBorders>
            <w:shd w:val="clear" w:color="auto" w:fill="auto"/>
            <w:noWrap/>
            <w:vAlign w:val="center"/>
            <w:hideMark/>
          </w:tcPr>
          <w:p w14:paraId="402BEB59" w14:textId="77777777" w:rsidR="00E35C50" w:rsidRDefault="00E35C50" w:rsidP="00E85F4B">
            <w:pPr>
              <w:jc w:val="center"/>
              <w:rPr>
                <w:rFonts w:ascii="Aptos Narrow" w:hAnsi="Aptos Narrow"/>
                <w:color w:val="000000"/>
              </w:rPr>
            </w:pPr>
            <w:r>
              <w:rPr>
                <w:rFonts w:ascii="Aptos Narrow" w:hAnsi="Aptos Narrow"/>
                <w:color w:val="000000"/>
              </w:rPr>
              <w:t>6.8949</w:t>
            </w:r>
          </w:p>
        </w:tc>
        <w:tc>
          <w:tcPr>
            <w:tcW w:w="1760" w:type="dxa"/>
            <w:tcBorders>
              <w:top w:val="nil"/>
              <w:left w:val="nil"/>
              <w:bottom w:val="single" w:sz="8" w:space="0" w:color="auto"/>
              <w:right w:val="single" w:sz="8" w:space="0" w:color="auto"/>
            </w:tcBorders>
            <w:shd w:val="clear" w:color="auto" w:fill="auto"/>
            <w:noWrap/>
            <w:vAlign w:val="center"/>
            <w:hideMark/>
          </w:tcPr>
          <w:p w14:paraId="6FF07A57" w14:textId="77777777" w:rsidR="00E35C50" w:rsidRDefault="00E35C50" w:rsidP="00E85F4B">
            <w:pPr>
              <w:jc w:val="center"/>
              <w:rPr>
                <w:rFonts w:ascii="Aptos Narrow" w:hAnsi="Aptos Narrow"/>
                <w:color w:val="000000"/>
              </w:rPr>
            </w:pPr>
            <w:r>
              <w:rPr>
                <w:rFonts w:ascii="Aptos Narrow" w:hAnsi="Aptos Narrow"/>
                <w:color w:val="000000"/>
              </w:rPr>
              <w:t>4.5222</w:t>
            </w:r>
          </w:p>
        </w:tc>
      </w:tr>
      <w:tr w:rsidR="00E35C50" w14:paraId="5B4A288C"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0C574D1" w14:textId="77777777" w:rsidR="00E35C50" w:rsidRDefault="00E35C50" w:rsidP="00E85F4B">
            <w:pPr>
              <w:jc w:val="center"/>
              <w:rPr>
                <w:rFonts w:ascii="Aptos Narrow" w:hAnsi="Aptos Narrow"/>
                <w:color w:val="000000"/>
              </w:rPr>
            </w:pPr>
            <w:r>
              <w:rPr>
                <w:rFonts w:ascii="Aptos Narrow" w:hAnsi="Aptos Narrow"/>
                <w:color w:val="000000"/>
              </w:rPr>
              <w:t>2020</w:t>
            </w:r>
          </w:p>
        </w:tc>
        <w:tc>
          <w:tcPr>
            <w:tcW w:w="1960" w:type="dxa"/>
            <w:tcBorders>
              <w:top w:val="nil"/>
              <w:left w:val="nil"/>
              <w:bottom w:val="single" w:sz="8" w:space="0" w:color="auto"/>
              <w:right w:val="single" w:sz="8" w:space="0" w:color="auto"/>
            </w:tcBorders>
            <w:shd w:val="clear" w:color="auto" w:fill="auto"/>
            <w:noWrap/>
            <w:vAlign w:val="center"/>
            <w:hideMark/>
          </w:tcPr>
          <w:p w14:paraId="721F4F2A" w14:textId="77777777" w:rsidR="00E35C50" w:rsidRDefault="00E35C50" w:rsidP="00E85F4B">
            <w:pPr>
              <w:jc w:val="center"/>
              <w:rPr>
                <w:rFonts w:ascii="Aptos Narrow" w:hAnsi="Aptos Narrow"/>
                <w:color w:val="000000"/>
              </w:rPr>
            </w:pPr>
            <w:r>
              <w:rPr>
                <w:rFonts w:ascii="Aptos Narrow" w:hAnsi="Aptos Narrow"/>
                <w:color w:val="000000"/>
              </w:rPr>
              <w:t>21.1972</w:t>
            </w:r>
          </w:p>
        </w:tc>
        <w:tc>
          <w:tcPr>
            <w:tcW w:w="1960" w:type="dxa"/>
            <w:tcBorders>
              <w:top w:val="nil"/>
              <w:left w:val="nil"/>
              <w:bottom w:val="single" w:sz="8" w:space="0" w:color="auto"/>
              <w:right w:val="single" w:sz="8" w:space="0" w:color="auto"/>
            </w:tcBorders>
            <w:shd w:val="clear" w:color="auto" w:fill="auto"/>
            <w:noWrap/>
            <w:vAlign w:val="center"/>
            <w:hideMark/>
          </w:tcPr>
          <w:p w14:paraId="362CE4E9" w14:textId="77777777" w:rsidR="00E35C50" w:rsidRDefault="00E35C50" w:rsidP="00E85F4B">
            <w:pPr>
              <w:jc w:val="center"/>
              <w:rPr>
                <w:rFonts w:ascii="Aptos Narrow" w:hAnsi="Aptos Narrow"/>
                <w:color w:val="000000"/>
              </w:rPr>
            </w:pPr>
            <w:r>
              <w:rPr>
                <w:rFonts w:ascii="Aptos Narrow" w:hAnsi="Aptos Narrow"/>
                <w:color w:val="000000"/>
              </w:rPr>
              <w:t>4.1360</w:t>
            </w:r>
          </w:p>
        </w:tc>
        <w:tc>
          <w:tcPr>
            <w:tcW w:w="1760" w:type="dxa"/>
            <w:tcBorders>
              <w:top w:val="nil"/>
              <w:left w:val="nil"/>
              <w:bottom w:val="single" w:sz="8" w:space="0" w:color="auto"/>
              <w:right w:val="single" w:sz="8" w:space="0" w:color="auto"/>
            </w:tcBorders>
            <w:shd w:val="clear" w:color="auto" w:fill="auto"/>
            <w:noWrap/>
            <w:vAlign w:val="center"/>
            <w:hideMark/>
          </w:tcPr>
          <w:p w14:paraId="735692C9" w14:textId="77777777" w:rsidR="00E35C50" w:rsidRDefault="00E35C50" w:rsidP="00E85F4B">
            <w:pPr>
              <w:jc w:val="center"/>
              <w:rPr>
                <w:rFonts w:ascii="Aptos Narrow" w:hAnsi="Aptos Narrow"/>
                <w:color w:val="000000"/>
              </w:rPr>
            </w:pPr>
            <w:r>
              <w:rPr>
                <w:rFonts w:ascii="Aptos Narrow" w:hAnsi="Aptos Narrow"/>
                <w:color w:val="000000"/>
              </w:rPr>
              <w:t>5.3713</w:t>
            </w:r>
          </w:p>
        </w:tc>
      </w:tr>
      <w:tr w:rsidR="00E35C50" w14:paraId="56B14F5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70262B1" w14:textId="77777777" w:rsidR="00E35C50" w:rsidRDefault="00E35C50" w:rsidP="00E85F4B">
            <w:pPr>
              <w:jc w:val="center"/>
              <w:rPr>
                <w:rFonts w:ascii="Aptos Narrow" w:hAnsi="Aptos Narrow"/>
                <w:color w:val="000000"/>
              </w:rPr>
            </w:pPr>
            <w:r>
              <w:rPr>
                <w:rFonts w:ascii="Aptos Narrow" w:hAnsi="Aptos Narrow"/>
                <w:color w:val="000000"/>
              </w:rPr>
              <w:t>2021</w:t>
            </w:r>
          </w:p>
        </w:tc>
        <w:tc>
          <w:tcPr>
            <w:tcW w:w="1960" w:type="dxa"/>
            <w:tcBorders>
              <w:top w:val="nil"/>
              <w:left w:val="nil"/>
              <w:bottom w:val="single" w:sz="8" w:space="0" w:color="auto"/>
              <w:right w:val="single" w:sz="8" w:space="0" w:color="auto"/>
            </w:tcBorders>
            <w:shd w:val="clear" w:color="auto" w:fill="auto"/>
            <w:noWrap/>
            <w:vAlign w:val="center"/>
            <w:hideMark/>
          </w:tcPr>
          <w:p w14:paraId="4191065A" w14:textId="77777777" w:rsidR="00E35C50" w:rsidRDefault="00E35C50" w:rsidP="00E85F4B">
            <w:pPr>
              <w:jc w:val="center"/>
              <w:rPr>
                <w:rFonts w:ascii="Aptos Narrow" w:hAnsi="Aptos Narrow"/>
                <w:color w:val="000000"/>
              </w:rPr>
            </w:pPr>
            <w:r>
              <w:rPr>
                <w:rFonts w:ascii="Aptos Narrow" w:hAnsi="Aptos Narrow"/>
                <w:color w:val="000000"/>
              </w:rPr>
              <w:t>15.0109</w:t>
            </w:r>
          </w:p>
        </w:tc>
        <w:tc>
          <w:tcPr>
            <w:tcW w:w="1960" w:type="dxa"/>
            <w:tcBorders>
              <w:top w:val="nil"/>
              <w:left w:val="nil"/>
              <w:bottom w:val="single" w:sz="8" w:space="0" w:color="auto"/>
              <w:right w:val="single" w:sz="8" w:space="0" w:color="auto"/>
            </w:tcBorders>
            <w:shd w:val="clear" w:color="auto" w:fill="auto"/>
            <w:noWrap/>
            <w:vAlign w:val="center"/>
            <w:hideMark/>
          </w:tcPr>
          <w:p w14:paraId="73AD93AB" w14:textId="77777777" w:rsidR="00E35C50" w:rsidRDefault="00E35C50" w:rsidP="00E85F4B">
            <w:pPr>
              <w:jc w:val="center"/>
              <w:rPr>
                <w:rFonts w:ascii="Aptos Narrow" w:hAnsi="Aptos Narrow"/>
                <w:color w:val="000000"/>
              </w:rPr>
            </w:pPr>
            <w:r>
              <w:rPr>
                <w:rFonts w:ascii="Aptos Narrow" w:hAnsi="Aptos Narrow"/>
                <w:color w:val="000000"/>
              </w:rPr>
              <w:t>0.3169</w:t>
            </w:r>
          </w:p>
        </w:tc>
        <w:tc>
          <w:tcPr>
            <w:tcW w:w="1760" w:type="dxa"/>
            <w:tcBorders>
              <w:top w:val="nil"/>
              <w:left w:val="nil"/>
              <w:bottom w:val="single" w:sz="8" w:space="0" w:color="auto"/>
              <w:right w:val="single" w:sz="8" w:space="0" w:color="auto"/>
            </w:tcBorders>
            <w:shd w:val="clear" w:color="auto" w:fill="auto"/>
            <w:noWrap/>
            <w:vAlign w:val="center"/>
            <w:hideMark/>
          </w:tcPr>
          <w:p w14:paraId="6506F351" w14:textId="77777777" w:rsidR="00E35C50" w:rsidRDefault="00E35C50" w:rsidP="00E85F4B">
            <w:pPr>
              <w:jc w:val="center"/>
              <w:rPr>
                <w:rFonts w:ascii="Aptos Narrow" w:hAnsi="Aptos Narrow"/>
                <w:color w:val="000000"/>
              </w:rPr>
            </w:pPr>
            <w:r>
              <w:rPr>
                <w:rFonts w:ascii="Aptos Narrow" w:hAnsi="Aptos Narrow"/>
                <w:color w:val="000000"/>
              </w:rPr>
              <w:t>1.2277</w:t>
            </w:r>
          </w:p>
        </w:tc>
      </w:tr>
      <w:tr w:rsidR="00E35C50" w14:paraId="41373000"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6B3E233C" w14:textId="77777777" w:rsidR="00E35C50" w:rsidRDefault="00E35C50" w:rsidP="00E85F4B">
            <w:pPr>
              <w:jc w:val="center"/>
              <w:rPr>
                <w:rFonts w:ascii="Aptos Narrow" w:hAnsi="Aptos Narrow"/>
                <w:color w:val="000000"/>
              </w:rPr>
            </w:pPr>
            <w:r>
              <w:rPr>
                <w:rFonts w:ascii="Aptos Narrow" w:hAnsi="Aptos Narrow"/>
                <w:color w:val="000000"/>
              </w:rPr>
              <w:t>2022</w:t>
            </w:r>
          </w:p>
        </w:tc>
        <w:tc>
          <w:tcPr>
            <w:tcW w:w="1960" w:type="dxa"/>
            <w:tcBorders>
              <w:top w:val="nil"/>
              <w:left w:val="nil"/>
              <w:bottom w:val="single" w:sz="8" w:space="0" w:color="auto"/>
              <w:right w:val="single" w:sz="8" w:space="0" w:color="auto"/>
            </w:tcBorders>
            <w:shd w:val="clear" w:color="auto" w:fill="auto"/>
            <w:noWrap/>
            <w:vAlign w:val="center"/>
            <w:hideMark/>
          </w:tcPr>
          <w:p w14:paraId="49DA9215" w14:textId="77777777" w:rsidR="00E35C50" w:rsidRDefault="00E35C50" w:rsidP="00E85F4B">
            <w:pPr>
              <w:jc w:val="center"/>
              <w:rPr>
                <w:rFonts w:ascii="Aptos Narrow" w:hAnsi="Aptos Narrow"/>
                <w:color w:val="000000"/>
              </w:rPr>
            </w:pPr>
            <w:r>
              <w:rPr>
                <w:rFonts w:ascii="Aptos Narrow" w:hAnsi="Aptos Narrow"/>
                <w:color w:val="000000"/>
              </w:rPr>
              <w:t>28.3961</w:t>
            </w:r>
          </w:p>
        </w:tc>
        <w:tc>
          <w:tcPr>
            <w:tcW w:w="1960" w:type="dxa"/>
            <w:tcBorders>
              <w:top w:val="nil"/>
              <w:left w:val="nil"/>
              <w:bottom w:val="single" w:sz="8" w:space="0" w:color="auto"/>
              <w:right w:val="single" w:sz="8" w:space="0" w:color="auto"/>
            </w:tcBorders>
            <w:shd w:val="clear" w:color="auto" w:fill="auto"/>
            <w:noWrap/>
            <w:vAlign w:val="center"/>
            <w:hideMark/>
          </w:tcPr>
          <w:p w14:paraId="61230F03" w14:textId="77777777" w:rsidR="00E35C50" w:rsidRDefault="00E35C50" w:rsidP="00E85F4B">
            <w:pPr>
              <w:jc w:val="center"/>
              <w:rPr>
                <w:rFonts w:ascii="Aptos Narrow" w:hAnsi="Aptos Narrow"/>
                <w:color w:val="000000"/>
              </w:rPr>
            </w:pPr>
            <w:r>
              <w:rPr>
                <w:rFonts w:ascii="Aptos Narrow" w:hAnsi="Aptos Narrow"/>
                <w:color w:val="000000"/>
              </w:rPr>
              <w:t>1.7046</w:t>
            </w:r>
          </w:p>
        </w:tc>
        <w:tc>
          <w:tcPr>
            <w:tcW w:w="1760" w:type="dxa"/>
            <w:tcBorders>
              <w:top w:val="nil"/>
              <w:left w:val="nil"/>
              <w:bottom w:val="single" w:sz="8" w:space="0" w:color="auto"/>
              <w:right w:val="single" w:sz="8" w:space="0" w:color="auto"/>
            </w:tcBorders>
            <w:shd w:val="clear" w:color="auto" w:fill="auto"/>
            <w:noWrap/>
            <w:vAlign w:val="center"/>
            <w:hideMark/>
          </w:tcPr>
          <w:p w14:paraId="1903C8B3" w14:textId="77777777" w:rsidR="00E35C50" w:rsidRDefault="00E35C50" w:rsidP="00E85F4B">
            <w:pPr>
              <w:jc w:val="center"/>
              <w:rPr>
                <w:rFonts w:ascii="Aptos Narrow" w:hAnsi="Aptos Narrow"/>
                <w:color w:val="000000"/>
              </w:rPr>
            </w:pPr>
            <w:r>
              <w:rPr>
                <w:rFonts w:ascii="Aptos Narrow" w:hAnsi="Aptos Narrow"/>
                <w:color w:val="000000"/>
              </w:rPr>
              <w:t>0.9192</w:t>
            </w:r>
          </w:p>
        </w:tc>
      </w:tr>
    </w:tbl>
    <w:p w14:paraId="7D3959F2" w14:textId="77777777" w:rsidR="00E35C50" w:rsidRDefault="00E35C50" w:rsidP="00E35C50">
      <w:pPr>
        <w:pStyle w:val="NormalWeb"/>
        <w:rPr>
          <w:b/>
          <w:bCs/>
          <w:lang w:val="en-US"/>
        </w:rPr>
      </w:pPr>
    </w:p>
    <w:p w14:paraId="1C3C92FA" w14:textId="77777777" w:rsidR="00E35C50" w:rsidRDefault="00E35C50" w:rsidP="00E35C50">
      <w:pPr>
        <w:spacing w:after="160" w:line="259" w:lineRule="auto"/>
        <w:rPr>
          <w:b/>
          <w:bCs/>
          <w:lang w:val="en-US"/>
        </w:rPr>
      </w:pPr>
      <w:r>
        <w:rPr>
          <w:b/>
          <w:bCs/>
          <w:lang w:val="en-US"/>
        </w:rPr>
        <w:br w:type="page"/>
      </w:r>
    </w:p>
    <w:p w14:paraId="5ADF3040" w14:textId="77777777" w:rsidR="00E35C50" w:rsidRDefault="00E35C50" w:rsidP="00E35C50">
      <w:pPr>
        <w:pStyle w:val="NormalWeb"/>
        <w:rPr>
          <w:b/>
          <w:bCs/>
          <w:lang w:val="en-US"/>
        </w:rPr>
      </w:pPr>
      <w:r w:rsidRPr="00993A5F">
        <w:rPr>
          <w:b/>
          <w:bCs/>
          <w:lang w:val="en-US"/>
        </w:rPr>
        <w:lastRenderedPageBreak/>
        <w:t>A</w:t>
      </w:r>
      <w:r>
        <w:rPr>
          <w:b/>
          <w:bCs/>
          <w:lang w:val="en-US"/>
        </w:rPr>
        <w:t>ppendix 4</w:t>
      </w:r>
      <w:r w:rsidRPr="00993A5F">
        <w:rPr>
          <w:b/>
          <w:bCs/>
          <w:lang w:val="en-US"/>
        </w:rPr>
        <w:t xml:space="preserve">: Data base of </w:t>
      </w:r>
      <w:r>
        <w:rPr>
          <w:b/>
          <w:bCs/>
          <w:lang w:val="en-US"/>
        </w:rPr>
        <w:t>interest rate</w:t>
      </w:r>
    </w:p>
    <w:p w14:paraId="3F4AE044" w14:textId="77777777" w:rsidR="00E35C50" w:rsidRDefault="00E35C50" w:rsidP="00E35C50">
      <w:pPr>
        <w:pStyle w:val="NormalWeb"/>
        <w:rPr>
          <w:b/>
          <w:bCs/>
          <w:lang w:val="en-US"/>
        </w:rPr>
      </w:pPr>
    </w:p>
    <w:tbl>
      <w:tblPr>
        <w:tblW w:w="6440" w:type="dxa"/>
        <w:jc w:val="center"/>
        <w:tblCellMar>
          <w:left w:w="70" w:type="dxa"/>
          <w:right w:w="70" w:type="dxa"/>
        </w:tblCellMar>
        <w:tblLook w:val="04A0" w:firstRow="1" w:lastRow="0" w:firstColumn="1" w:lastColumn="0" w:noHBand="0" w:noVBand="1"/>
      </w:tblPr>
      <w:tblGrid>
        <w:gridCol w:w="760"/>
        <w:gridCol w:w="1960"/>
        <w:gridCol w:w="1960"/>
        <w:gridCol w:w="1760"/>
      </w:tblGrid>
      <w:tr w:rsidR="00E35C50" w14:paraId="2B3B3B33" w14:textId="77777777" w:rsidTr="00E85F4B">
        <w:trPr>
          <w:trHeight w:val="340"/>
          <w:jc w:val="center"/>
        </w:trPr>
        <w:tc>
          <w:tcPr>
            <w:tcW w:w="76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68A6273" w14:textId="77777777" w:rsidR="00E35C50" w:rsidRDefault="00E35C50" w:rsidP="00E85F4B">
            <w:pPr>
              <w:jc w:val="center"/>
              <w:rPr>
                <w:rFonts w:ascii="Aptos Narrow" w:hAnsi="Aptos Narrow"/>
                <w:b/>
                <w:bCs/>
                <w:color w:val="000000"/>
              </w:rPr>
            </w:pPr>
            <w:r>
              <w:rPr>
                <w:rFonts w:ascii="Aptos Narrow" w:hAnsi="Aptos Narrow"/>
                <w:b/>
                <w:bCs/>
                <w:color w:val="000000"/>
              </w:rPr>
              <w:t>Year</w:t>
            </w:r>
          </w:p>
        </w:tc>
        <w:tc>
          <w:tcPr>
            <w:tcW w:w="1960" w:type="dxa"/>
            <w:tcBorders>
              <w:top w:val="single" w:sz="8" w:space="0" w:color="auto"/>
              <w:left w:val="nil"/>
              <w:bottom w:val="single" w:sz="8" w:space="0" w:color="auto"/>
              <w:right w:val="single" w:sz="8" w:space="0" w:color="auto"/>
            </w:tcBorders>
            <w:shd w:val="clear" w:color="auto" w:fill="auto"/>
            <w:noWrap/>
            <w:vAlign w:val="center"/>
            <w:hideMark/>
          </w:tcPr>
          <w:p w14:paraId="75EFB622" w14:textId="77777777" w:rsidR="00E35C50" w:rsidRDefault="00E35C50" w:rsidP="00E85F4B">
            <w:pPr>
              <w:jc w:val="center"/>
              <w:rPr>
                <w:rFonts w:ascii="Aptos Narrow" w:hAnsi="Aptos Narrow"/>
                <w:b/>
                <w:bCs/>
                <w:color w:val="000000"/>
              </w:rPr>
            </w:pPr>
            <w:r>
              <w:rPr>
                <w:rFonts w:ascii="Aptos Narrow" w:hAnsi="Aptos Narrow"/>
                <w:b/>
                <w:bCs/>
                <w:color w:val="000000"/>
              </w:rPr>
              <w:t>Brazil</w:t>
            </w:r>
          </w:p>
        </w:tc>
        <w:tc>
          <w:tcPr>
            <w:tcW w:w="1960" w:type="dxa"/>
            <w:tcBorders>
              <w:top w:val="single" w:sz="8" w:space="0" w:color="auto"/>
              <w:left w:val="nil"/>
              <w:bottom w:val="single" w:sz="8" w:space="0" w:color="auto"/>
              <w:right w:val="single" w:sz="8" w:space="0" w:color="auto"/>
            </w:tcBorders>
            <w:shd w:val="clear" w:color="auto" w:fill="auto"/>
            <w:noWrap/>
            <w:vAlign w:val="center"/>
            <w:hideMark/>
          </w:tcPr>
          <w:p w14:paraId="082B26D3" w14:textId="77777777" w:rsidR="00E35C50" w:rsidRDefault="00E35C50" w:rsidP="00E85F4B">
            <w:pPr>
              <w:jc w:val="center"/>
              <w:rPr>
                <w:rFonts w:ascii="Aptos Narrow" w:hAnsi="Aptos Narrow"/>
                <w:b/>
                <w:bCs/>
                <w:color w:val="000000"/>
              </w:rPr>
            </w:pPr>
            <w:r>
              <w:rPr>
                <w:rFonts w:ascii="Aptos Narrow" w:hAnsi="Aptos Narrow"/>
                <w:b/>
                <w:bCs/>
                <w:color w:val="000000"/>
              </w:rPr>
              <w:t>India</w:t>
            </w:r>
          </w:p>
        </w:tc>
        <w:tc>
          <w:tcPr>
            <w:tcW w:w="1760" w:type="dxa"/>
            <w:tcBorders>
              <w:top w:val="single" w:sz="8" w:space="0" w:color="auto"/>
              <w:left w:val="nil"/>
              <w:bottom w:val="single" w:sz="8" w:space="0" w:color="auto"/>
              <w:right w:val="single" w:sz="8" w:space="0" w:color="auto"/>
            </w:tcBorders>
            <w:shd w:val="clear" w:color="auto" w:fill="auto"/>
            <w:noWrap/>
            <w:vAlign w:val="center"/>
            <w:hideMark/>
          </w:tcPr>
          <w:p w14:paraId="7A7D127D" w14:textId="77777777" w:rsidR="00E35C50" w:rsidRDefault="00E35C50" w:rsidP="00E85F4B">
            <w:pPr>
              <w:jc w:val="center"/>
              <w:rPr>
                <w:rFonts w:ascii="Aptos Narrow" w:hAnsi="Aptos Narrow"/>
                <w:b/>
                <w:bCs/>
                <w:color w:val="000000"/>
              </w:rPr>
            </w:pPr>
            <w:r>
              <w:rPr>
                <w:rFonts w:ascii="Aptos Narrow" w:hAnsi="Aptos Narrow"/>
                <w:b/>
                <w:bCs/>
                <w:color w:val="000000"/>
              </w:rPr>
              <w:t>Nigeria</w:t>
            </w:r>
          </w:p>
        </w:tc>
      </w:tr>
      <w:tr w:rsidR="00E35C50" w14:paraId="488A5F5B"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A5ADBB0" w14:textId="77777777" w:rsidR="00E35C50" w:rsidRDefault="00E35C50" w:rsidP="00E85F4B">
            <w:pPr>
              <w:jc w:val="center"/>
              <w:rPr>
                <w:rFonts w:ascii="Aptos Narrow" w:hAnsi="Aptos Narrow"/>
                <w:color w:val="000000"/>
              </w:rPr>
            </w:pPr>
            <w:r>
              <w:rPr>
                <w:rFonts w:ascii="Aptos Narrow" w:hAnsi="Aptos Narrow"/>
                <w:color w:val="000000"/>
              </w:rPr>
              <w:t>2000</w:t>
            </w:r>
          </w:p>
        </w:tc>
        <w:tc>
          <w:tcPr>
            <w:tcW w:w="1960" w:type="dxa"/>
            <w:tcBorders>
              <w:top w:val="nil"/>
              <w:left w:val="nil"/>
              <w:bottom w:val="single" w:sz="8" w:space="0" w:color="auto"/>
              <w:right w:val="single" w:sz="8" w:space="0" w:color="auto"/>
            </w:tcBorders>
            <w:shd w:val="clear" w:color="auto" w:fill="auto"/>
            <w:noWrap/>
            <w:vAlign w:val="center"/>
            <w:hideMark/>
          </w:tcPr>
          <w:p w14:paraId="2AAA9F58" w14:textId="77777777" w:rsidR="00E35C50" w:rsidRDefault="00E35C50" w:rsidP="00E85F4B">
            <w:pPr>
              <w:jc w:val="center"/>
              <w:rPr>
                <w:rFonts w:ascii="Aptos Narrow" w:hAnsi="Aptos Narrow"/>
                <w:color w:val="000000"/>
              </w:rPr>
            </w:pPr>
            <w:r>
              <w:rPr>
                <w:rFonts w:ascii="Aptos Narrow" w:hAnsi="Aptos Narrow"/>
                <w:color w:val="000000"/>
              </w:rPr>
              <w:t>7.044</w:t>
            </w:r>
          </w:p>
        </w:tc>
        <w:tc>
          <w:tcPr>
            <w:tcW w:w="1960" w:type="dxa"/>
            <w:tcBorders>
              <w:top w:val="nil"/>
              <w:left w:val="nil"/>
              <w:bottom w:val="single" w:sz="8" w:space="0" w:color="auto"/>
              <w:right w:val="single" w:sz="8" w:space="0" w:color="auto"/>
            </w:tcBorders>
            <w:shd w:val="clear" w:color="auto" w:fill="auto"/>
            <w:noWrap/>
            <w:vAlign w:val="center"/>
            <w:hideMark/>
          </w:tcPr>
          <w:p w14:paraId="6EAFB37B" w14:textId="77777777" w:rsidR="00E35C50" w:rsidRDefault="00E35C50" w:rsidP="00E85F4B">
            <w:pPr>
              <w:jc w:val="center"/>
              <w:rPr>
                <w:rFonts w:ascii="Aptos Narrow" w:hAnsi="Aptos Narrow"/>
                <w:color w:val="000000"/>
              </w:rPr>
            </w:pPr>
            <w:r>
              <w:rPr>
                <w:rFonts w:ascii="Aptos Narrow" w:hAnsi="Aptos Narrow"/>
                <w:color w:val="000000"/>
              </w:rPr>
              <w:t>4.009</w:t>
            </w:r>
          </w:p>
        </w:tc>
        <w:tc>
          <w:tcPr>
            <w:tcW w:w="1760" w:type="dxa"/>
            <w:tcBorders>
              <w:top w:val="nil"/>
              <w:left w:val="nil"/>
              <w:bottom w:val="single" w:sz="8" w:space="0" w:color="auto"/>
              <w:right w:val="single" w:sz="8" w:space="0" w:color="auto"/>
            </w:tcBorders>
            <w:shd w:val="clear" w:color="auto" w:fill="auto"/>
            <w:noWrap/>
            <w:vAlign w:val="center"/>
            <w:hideMark/>
          </w:tcPr>
          <w:p w14:paraId="65855E95" w14:textId="77777777" w:rsidR="00E35C50" w:rsidRDefault="00E35C50" w:rsidP="00E85F4B">
            <w:pPr>
              <w:jc w:val="center"/>
              <w:rPr>
                <w:rFonts w:ascii="Aptos Narrow" w:hAnsi="Aptos Narrow"/>
                <w:color w:val="000000"/>
              </w:rPr>
            </w:pPr>
            <w:r>
              <w:rPr>
                <w:rFonts w:ascii="Aptos Narrow" w:hAnsi="Aptos Narrow"/>
                <w:color w:val="000000"/>
              </w:rPr>
              <w:t>6.933</w:t>
            </w:r>
          </w:p>
        </w:tc>
      </w:tr>
      <w:tr w:rsidR="00E35C50" w14:paraId="10A3F545"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F790F1B" w14:textId="77777777" w:rsidR="00E35C50" w:rsidRDefault="00E35C50" w:rsidP="00E85F4B">
            <w:pPr>
              <w:jc w:val="center"/>
              <w:rPr>
                <w:rFonts w:ascii="Aptos Narrow" w:hAnsi="Aptos Narrow"/>
                <w:color w:val="000000"/>
              </w:rPr>
            </w:pPr>
            <w:r>
              <w:rPr>
                <w:rFonts w:ascii="Aptos Narrow" w:hAnsi="Aptos Narrow"/>
                <w:color w:val="000000"/>
              </w:rPr>
              <w:t>2001</w:t>
            </w:r>
          </w:p>
        </w:tc>
        <w:tc>
          <w:tcPr>
            <w:tcW w:w="1960" w:type="dxa"/>
            <w:tcBorders>
              <w:top w:val="nil"/>
              <w:left w:val="nil"/>
              <w:bottom w:val="single" w:sz="8" w:space="0" w:color="auto"/>
              <w:right w:val="single" w:sz="8" w:space="0" w:color="auto"/>
            </w:tcBorders>
            <w:shd w:val="clear" w:color="auto" w:fill="auto"/>
            <w:noWrap/>
            <w:vAlign w:val="center"/>
            <w:hideMark/>
          </w:tcPr>
          <w:p w14:paraId="624571F9" w14:textId="77777777" w:rsidR="00E35C50" w:rsidRDefault="00E35C50" w:rsidP="00E85F4B">
            <w:pPr>
              <w:jc w:val="center"/>
              <w:rPr>
                <w:rFonts w:ascii="Aptos Narrow" w:hAnsi="Aptos Narrow"/>
                <w:color w:val="000000"/>
              </w:rPr>
            </w:pPr>
            <w:r>
              <w:rPr>
                <w:rFonts w:ascii="Aptos Narrow" w:hAnsi="Aptos Narrow"/>
                <w:color w:val="000000"/>
              </w:rPr>
              <w:t>6.84</w:t>
            </w:r>
          </w:p>
        </w:tc>
        <w:tc>
          <w:tcPr>
            <w:tcW w:w="1960" w:type="dxa"/>
            <w:tcBorders>
              <w:top w:val="nil"/>
              <w:left w:val="nil"/>
              <w:bottom w:val="single" w:sz="8" w:space="0" w:color="auto"/>
              <w:right w:val="single" w:sz="8" w:space="0" w:color="auto"/>
            </w:tcBorders>
            <w:shd w:val="clear" w:color="auto" w:fill="auto"/>
            <w:noWrap/>
            <w:vAlign w:val="center"/>
            <w:hideMark/>
          </w:tcPr>
          <w:p w14:paraId="1D323E57" w14:textId="77777777" w:rsidR="00E35C50" w:rsidRDefault="00E35C50" w:rsidP="00E85F4B">
            <w:pPr>
              <w:jc w:val="center"/>
              <w:rPr>
                <w:rFonts w:ascii="Aptos Narrow" w:hAnsi="Aptos Narrow"/>
                <w:color w:val="000000"/>
              </w:rPr>
            </w:pPr>
            <w:r>
              <w:rPr>
                <w:rFonts w:ascii="Aptos Narrow" w:hAnsi="Aptos Narrow"/>
                <w:color w:val="000000"/>
              </w:rPr>
              <w:t>3.779</w:t>
            </w:r>
          </w:p>
        </w:tc>
        <w:tc>
          <w:tcPr>
            <w:tcW w:w="1760" w:type="dxa"/>
            <w:tcBorders>
              <w:top w:val="nil"/>
              <w:left w:val="nil"/>
              <w:bottom w:val="single" w:sz="8" w:space="0" w:color="auto"/>
              <w:right w:val="single" w:sz="8" w:space="0" w:color="auto"/>
            </w:tcBorders>
            <w:shd w:val="clear" w:color="auto" w:fill="auto"/>
            <w:noWrap/>
            <w:vAlign w:val="center"/>
            <w:hideMark/>
          </w:tcPr>
          <w:p w14:paraId="2B8E6420" w14:textId="77777777" w:rsidR="00E35C50" w:rsidRDefault="00E35C50" w:rsidP="00E85F4B">
            <w:pPr>
              <w:jc w:val="center"/>
              <w:rPr>
                <w:rFonts w:ascii="Aptos Narrow" w:hAnsi="Aptos Narrow"/>
                <w:color w:val="000000"/>
              </w:rPr>
            </w:pPr>
            <w:r>
              <w:rPr>
                <w:rFonts w:ascii="Aptos Narrow" w:hAnsi="Aptos Narrow"/>
                <w:color w:val="000000"/>
              </w:rPr>
              <w:t>18.874</w:t>
            </w:r>
          </w:p>
        </w:tc>
      </w:tr>
      <w:tr w:rsidR="00E35C50" w14:paraId="0E27134E"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D052324" w14:textId="77777777" w:rsidR="00E35C50" w:rsidRDefault="00E35C50" w:rsidP="00E85F4B">
            <w:pPr>
              <w:jc w:val="center"/>
              <w:rPr>
                <w:rFonts w:ascii="Aptos Narrow" w:hAnsi="Aptos Narrow"/>
                <w:color w:val="000000"/>
              </w:rPr>
            </w:pPr>
            <w:r>
              <w:rPr>
                <w:rFonts w:ascii="Aptos Narrow" w:hAnsi="Aptos Narrow"/>
                <w:color w:val="000000"/>
              </w:rPr>
              <w:t>2002</w:t>
            </w:r>
          </w:p>
        </w:tc>
        <w:tc>
          <w:tcPr>
            <w:tcW w:w="1960" w:type="dxa"/>
            <w:tcBorders>
              <w:top w:val="nil"/>
              <w:left w:val="nil"/>
              <w:bottom w:val="single" w:sz="8" w:space="0" w:color="auto"/>
              <w:right w:val="single" w:sz="8" w:space="0" w:color="auto"/>
            </w:tcBorders>
            <w:shd w:val="clear" w:color="auto" w:fill="auto"/>
            <w:noWrap/>
            <w:vAlign w:val="center"/>
            <w:hideMark/>
          </w:tcPr>
          <w:p w14:paraId="49221C6E" w14:textId="77777777" w:rsidR="00E35C50" w:rsidRDefault="00E35C50" w:rsidP="00E85F4B">
            <w:pPr>
              <w:jc w:val="center"/>
              <w:rPr>
                <w:rFonts w:ascii="Aptos Narrow" w:hAnsi="Aptos Narrow"/>
                <w:color w:val="000000"/>
              </w:rPr>
            </w:pPr>
            <w:r>
              <w:rPr>
                <w:rFonts w:ascii="Aptos Narrow" w:hAnsi="Aptos Narrow"/>
                <w:color w:val="000000"/>
              </w:rPr>
              <w:t>8.45</w:t>
            </w:r>
          </w:p>
        </w:tc>
        <w:tc>
          <w:tcPr>
            <w:tcW w:w="1960" w:type="dxa"/>
            <w:tcBorders>
              <w:top w:val="nil"/>
              <w:left w:val="nil"/>
              <w:bottom w:val="single" w:sz="8" w:space="0" w:color="auto"/>
              <w:right w:val="single" w:sz="8" w:space="0" w:color="auto"/>
            </w:tcBorders>
            <w:shd w:val="clear" w:color="auto" w:fill="auto"/>
            <w:noWrap/>
            <w:vAlign w:val="center"/>
            <w:hideMark/>
          </w:tcPr>
          <w:p w14:paraId="3CA987A5" w14:textId="77777777" w:rsidR="00E35C50" w:rsidRDefault="00E35C50" w:rsidP="00E85F4B">
            <w:pPr>
              <w:jc w:val="center"/>
              <w:rPr>
                <w:rFonts w:ascii="Aptos Narrow" w:hAnsi="Aptos Narrow"/>
                <w:color w:val="000000"/>
              </w:rPr>
            </w:pPr>
            <w:r>
              <w:rPr>
                <w:rFonts w:ascii="Aptos Narrow" w:hAnsi="Aptos Narrow"/>
                <w:color w:val="000000"/>
              </w:rPr>
              <w:t>4.297</w:t>
            </w:r>
          </w:p>
        </w:tc>
        <w:tc>
          <w:tcPr>
            <w:tcW w:w="1760" w:type="dxa"/>
            <w:tcBorders>
              <w:top w:val="nil"/>
              <w:left w:val="nil"/>
              <w:bottom w:val="single" w:sz="8" w:space="0" w:color="auto"/>
              <w:right w:val="single" w:sz="8" w:space="0" w:color="auto"/>
            </w:tcBorders>
            <w:shd w:val="clear" w:color="auto" w:fill="auto"/>
            <w:noWrap/>
            <w:vAlign w:val="center"/>
            <w:hideMark/>
          </w:tcPr>
          <w:p w14:paraId="4EC59D0E" w14:textId="77777777" w:rsidR="00E35C50" w:rsidRDefault="00E35C50" w:rsidP="00E85F4B">
            <w:pPr>
              <w:jc w:val="center"/>
              <w:rPr>
                <w:rFonts w:ascii="Aptos Narrow" w:hAnsi="Aptos Narrow"/>
                <w:color w:val="000000"/>
              </w:rPr>
            </w:pPr>
            <w:r>
              <w:rPr>
                <w:rFonts w:ascii="Aptos Narrow" w:hAnsi="Aptos Narrow"/>
                <w:color w:val="000000"/>
              </w:rPr>
              <w:t>12.877</w:t>
            </w:r>
          </w:p>
        </w:tc>
      </w:tr>
      <w:tr w:rsidR="00E35C50" w14:paraId="3D2CC63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C1C5C6C" w14:textId="77777777" w:rsidR="00E35C50" w:rsidRDefault="00E35C50" w:rsidP="00E85F4B">
            <w:pPr>
              <w:jc w:val="center"/>
              <w:rPr>
                <w:rFonts w:ascii="Aptos Narrow" w:hAnsi="Aptos Narrow"/>
                <w:color w:val="000000"/>
              </w:rPr>
            </w:pPr>
            <w:r>
              <w:rPr>
                <w:rFonts w:ascii="Aptos Narrow" w:hAnsi="Aptos Narrow"/>
                <w:color w:val="000000"/>
              </w:rPr>
              <w:t>2003</w:t>
            </w:r>
          </w:p>
        </w:tc>
        <w:tc>
          <w:tcPr>
            <w:tcW w:w="1960" w:type="dxa"/>
            <w:tcBorders>
              <w:top w:val="nil"/>
              <w:left w:val="nil"/>
              <w:bottom w:val="single" w:sz="8" w:space="0" w:color="auto"/>
              <w:right w:val="single" w:sz="8" w:space="0" w:color="auto"/>
            </w:tcBorders>
            <w:shd w:val="clear" w:color="auto" w:fill="auto"/>
            <w:noWrap/>
            <w:vAlign w:val="center"/>
            <w:hideMark/>
          </w:tcPr>
          <w:p w14:paraId="371260D8" w14:textId="77777777" w:rsidR="00E35C50" w:rsidRDefault="00E35C50" w:rsidP="00E85F4B">
            <w:pPr>
              <w:jc w:val="center"/>
              <w:rPr>
                <w:rFonts w:ascii="Aptos Narrow" w:hAnsi="Aptos Narrow"/>
                <w:color w:val="000000"/>
              </w:rPr>
            </w:pPr>
            <w:r>
              <w:rPr>
                <w:rFonts w:ascii="Aptos Narrow" w:hAnsi="Aptos Narrow"/>
                <w:color w:val="000000"/>
              </w:rPr>
              <w:t>14.715</w:t>
            </w:r>
          </w:p>
        </w:tc>
        <w:tc>
          <w:tcPr>
            <w:tcW w:w="1960" w:type="dxa"/>
            <w:tcBorders>
              <w:top w:val="nil"/>
              <w:left w:val="nil"/>
              <w:bottom w:val="single" w:sz="8" w:space="0" w:color="auto"/>
              <w:right w:val="single" w:sz="8" w:space="0" w:color="auto"/>
            </w:tcBorders>
            <w:shd w:val="clear" w:color="auto" w:fill="auto"/>
            <w:noWrap/>
            <w:vAlign w:val="center"/>
            <w:hideMark/>
          </w:tcPr>
          <w:p w14:paraId="571A0E7E" w14:textId="77777777" w:rsidR="00E35C50" w:rsidRDefault="00E35C50" w:rsidP="00E85F4B">
            <w:pPr>
              <w:jc w:val="center"/>
              <w:rPr>
                <w:rFonts w:ascii="Aptos Narrow" w:hAnsi="Aptos Narrow"/>
                <w:color w:val="000000"/>
              </w:rPr>
            </w:pPr>
            <w:r>
              <w:rPr>
                <w:rFonts w:ascii="Aptos Narrow" w:hAnsi="Aptos Narrow"/>
                <w:color w:val="000000"/>
              </w:rPr>
              <w:t>3.806</w:t>
            </w:r>
          </w:p>
        </w:tc>
        <w:tc>
          <w:tcPr>
            <w:tcW w:w="1760" w:type="dxa"/>
            <w:tcBorders>
              <w:top w:val="nil"/>
              <w:left w:val="nil"/>
              <w:bottom w:val="single" w:sz="8" w:space="0" w:color="auto"/>
              <w:right w:val="single" w:sz="8" w:space="0" w:color="auto"/>
            </w:tcBorders>
            <w:shd w:val="clear" w:color="auto" w:fill="auto"/>
            <w:noWrap/>
            <w:vAlign w:val="center"/>
            <w:hideMark/>
          </w:tcPr>
          <w:p w14:paraId="1DAAD151" w14:textId="77777777" w:rsidR="00E35C50" w:rsidRDefault="00E35C50" w:rsidP="00E85F4B">
            <w:pPr>
              <w:jc w:val="center"/>
              <w:rPr>
                <w:rFonts w:ascii="Aptos Narrow" w:hAnsi="Aptos Narrow"/>
                <w:color w:val="000000"/>
              </w:rPr>
            </w:pPr>
            <w:r>
              <w:rPr>
                <w:rFonts w:ascii="Aptos Narrow" w:hAnsi="Aptos Narrow"/>
                <w:color w:val="000000"/>
              </w:rPr>
              <w:t>14.032</w:t>
            </w:r>
          </w:p>
        </w:tc>
      </w:tr>
      <w:tr w:rsidR="00E35C50" w14:paraId="7211EFD4"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9BD6294" w14:textId="77777777" w:rsidR="00E35C50" w:rsidRDefault="00E35C50" w:rsidP="00E85F4B">
            <w:pPr>
              <w:jc w:val="center"/>
              <w:rPr>
                <w:rFonts w:ascii="Aptos Narrow" w:hAnsi="Aptos Narrow"/>
                <w:color w:val="000000"/>
              </w:rPr>
            </w:pPr>
            <w:r>
              <w:rPr>
                <w:rFonts w:ascii="Aptos Narrow" w:hAnsi="Aptos Narrow"/>
                <w:color w:val="000000"/>
              </w:rPr>
              <w:t>2004</w:t>
            </w:r>
          </w:p>
        </w:tc>
        <w:tc>
          <w:tcPr>
            <w:tcW w:w="1960" w:type="dxa"/>
            <w:tcBorders>
              <w:top w:val="nil"/>
              <w:left w:val="nil"/>
              <w:bottom w:val="single" w:sz="8" w:space="0" w:color="auto"/>
              <w:right w:val="single" w:sz="8" w:space="0" w:color="auto"/>
            </w:tcBorders>
            <w:shd w:val="clear" w:color="auto" w:fill="auto"/>
            <w:noWrap/>
            <w:vAlign w:val="center"/>
            <w:hideMark/>
          </w:tcPr>
          <w:p w14:paraId="717BBADA" w14:textId="77777777" w:rsidR="00E35C50" w:rsidRDefault="00E35C50" w:rsidP="00E85F4B">
            <w:pPr>
              <w:jc w:val="center"/>
              <w:rPr>
                <w:rFonts w:ascii="Aptos Narrow" w:hAnsi="Aptos Narrow"/>
                <w:color w:val="000000"/>
              </w:rPr>
            </w:pPr>
            <w:r>
              <w:rPr>
                <w:rFonts w:ascii="Aptos Narrow" w:hAnsi="Aptos Narrow"/>
                <w:color w:val="000000"/>
              </w:rPr>
              <w:t>6.597</w:t>
            </w:r>
          </w:p>
        </w:tc>
        <w:tc>
          <w:tcPr>
            <w:tcW w:w="1960" w:type="dxa"/>
            <w:tcBorders>
              <w:top w:val="nil"/>
              <w:left w:val="nil"/>
              <w:bottom w:val="single" w:sz="8" w:space="0" w:color="auto"/>
              <w:right w:val="single" w:sz="8" w:space="0" w:color="auto"/>
            </w:tcBorders>
            <w:shd w:val="clear" w:color="auto" w:fill="auto"/>
            <w:noWrap/>
            <w:vAlign w:val="center"/>
            <w:hideMark/>
          </w:tcPr>
          <w:p w14:paraId="32BC3D66" w14:textId="77777777" w:rsidR="00E35C50" w:rsidRDefault="00E35C50" w:rsidP="00E85F4B">
            <w:pPr>
              <w:jc w:val="center"/>
              <w:rPr>
                <w:rFonts w:ascii="Aptos Narrow" w:hAnsi="Aptos Narrow"/>
                <w:color w:val="000000"/>
              </w:rPr>
            </w:pPr>
            <w:r>
              <w:rPr>
                <w:rFonts w:ascii="Aptos Narrow" w:hAnsi="Aptos Narrow"/>
                <w:color w:val="000000"/>
              </w:rPr>
              <w:t>3.767</w:t>
            </w:r>
          </w:p>
        </w:tc>
        <w:tc>
          <w:tcPr>
            <w:tcW w:w="1760" w:type="dxa"/>
            <w:tcBorders>
              <w:top w:val="nil"/>
              <w:left w:val="nil"/>
              <w:bottom w:val="single" w:sz="8" w:space="0" w:color="auto"/>
              <w:right w:val="single" w:sz="8" w:space="0" w:color="auto"/>
            </w:tcBorders>
            <w:shd w:val="clear" w:color="auto" w:fill="auto"/>
            <w:noWrap/>
            <w:vAlign w:val="center"/>
            <w:hideMark/>
          </w:tcPr>
          <w:p w14:paraId="7A8C43CC" w14:textId="77777777" w:rsidR="00E35C50" w:rsidRDefault="00E35C50" w:rsidP="00E85F4B">
            <w:pPr>
              <w:jc w:val="center"/>
              <w:rPr>
                <w:rFonts w:ascii="Aptos Narrow" w:hAnsi="Aptos Narrow"/>
                <w:color w:val="000000"/>
              </w:rPr>
            </w:pPr>
            <w:r>
              <w:rPr>
                <w:rFonts w:ascii="Aptos Narrow" w:hAnsi="Aptos Narrow"/>
                <w:color w:val="000000"/>
              </w:rPr>
              <w:t>14.998</w:t>
            </w:r>
          </w:p>
        </w:tc>
      </w:tr>
      <w:tr w:rsidR="00E35C50" w14:paraId="2EF66FDF"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52A88A2" w14:textId="77777777" w:rsidR="00E35C50" w:rsidRDefault="00E35C50" w:rsidP="00E85F4B">
            <w:pPr>
              <w:jc w:val="center"/>
              <w:rPr>
                <w:rFonts w:ascii="Aptos Narrow" w:hAnsi="Aptos Narrow"/>
                <w:color w:val="000000"/>
              </w:rPr>
            </w:pPr>
            <w:r>
              <w:rPr>
                <w:rFonts w:ascii="Aptos Narrow" w:hAnsi="Aptos Narrow"/>
                <w:color w:val="000000"/>
              </w:rPr>
              <w:t>2005</w:t>
            </w:r>
          </w:p>
        </w:tc>
        <w:tc>
          <w:tcPr>
            <w:tcW w:w="1960" w:type="dxa"/>
            <w:tcBorders>
              <w:top w:val="nil"/>
              <w:left w:val="nil"/>
              <w:bottom w:val="single" w:sz="8" w:space="0" w:color="auto"/>
              <w:right w:val="single" w:sz="8" w:space="0" w:color="auto"/>
            </w:tcBorders>
            <w:shd w:val="clear" w:color="auto" w:fill="auto"/>
            <w:noWrap/>
            <w:vAlign w:val="center"/>
            <w:hideMark/>
          </w:tcPr>
          <w:p w14:paraId="3BC888FE" w14:textId="77777777" w:rsidR="00E35C50" w:rsidRDefault="00E35C50" w:rsidP="00E85F4B">
            <w:pPr>
              <w:jc w:val="center"/>
              <w:rPr>
                <w:rFonts w:ascii="Aptos Narrow" w:hAnsi="Aptos Narrow"/>
                <w:color w:val="000000"/>
              </w:rPr>
            </w:pPr>
            <w:r>
              <w:rPr>
                <w:rFonts w:ascii="Aptos Narrow" w:hAnsi="Aptos Narrow"/>
                <w:color w:val="000000"/>
              </w:rPr>
              <w:t>6.87</w:t>
            </w:r>
          </w:p>
        </w:tc>
        <w:tc>
          <w:tcPr>
            <w:tcW w:w="1960" w:type="dxa"/>
            <w:tcBorders>
              <w:top w:val="nil"/>
              <w:left w:val="nil"/>
              <w:bottom w:val="single" w:sz="8" w:space="0" w:color="auto"/>
              <w:right w:val="single" w:sz="8" w:space="0" w:color="auto"/>
            </w:tcBorders>
            <w:shd w:val="clear" w:color="auto" w:fill="auto"/>
            <w:noWrap/>
            <w:vAlign w:val="center"/>
            <w:hideMark/>
          </w:tcPr>
          <w:p w14:paraId="173C3F75" w14:textId="77777777" w:rsidR="00E35C50" w:rsidRDefault="00E35C50" w:rsidP="00E85F4B">
            <w:pPr>
              <w:jc w:val="center"/>
              <w:rPr>
                <w:rFonts w:ascii="Aptos Narrow" w:hAnsi="Aptos Narrow"/>
                <w:color w:val="000000"/>
              </w:rPr>
            </w:pPr>
            <w:r>
              <w:rPr>
                <w:rFonts w:ascii="Aptos Narrow" w:hAnsi="Aptos Narrow"/>
                <w:color w:val="000000"/>
              </w:rPr>
              <w:t>4.246</w:t>
            </w:r>
          </w:p>
        </w:tc>
        <w:tc>
          <w:tcPr>
            <w:tcW w:w="1760" w:type="dxa"/>
            <w:tcBorders>
              <w:top w:val="nil"/>
              <w:left w:val="nil"/>
              <w:bottom w:val="single" w:sz="8" w:space="0" w:color="auto"/>
              <w:right w:val="single" w:sz="8" w:space="0" w:color="auto"/>
            </w:tcBorders>
            <w:shd w:val="clear" w:color="auto" w:fill="auto"/>
            <w:noWrap/>
            <w:vAlign w:val="center"/>
            <w:hideMark/>
          </w:tcPr>
          <w:p w14:paraId="7D5B3468" w14:textId="77777777" w:rsidR="00E35C50" w:rsidRDefault="00E35C50" w:rsidP="00E85F4B">
            <w:pPr>
              <w:jc w:val="center"/>
              <w:rPr>
                <w:rFonts w:ascii="Aptos Narrow" w:hAnsi="Aptos Narrow"/>
                <w:color w:val="000000"/>
              </w:rPr>
            </w:pPr>
            <w:r>
              <w:rPr>
                <w:rFonts w:ascii="Aptos Narrow" w:hAnsi="Aptos Narrow"/>
                <w:color w:val="000000"/>
              </w:rPr>
              <w:t>17.863</w:t>
            </w:r>
          </w:p>
        </w:tc>
      </w:tr>
      <w:tr w:rsidR="00E35C50" w14:paraId="107D8AE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F2E7BAE" w14:textId="77777777" w:rsidR="00E35C50" w:rsidRDefault="00E35C50" w:rsidP="00E85F4B">
            <w:pPr>
              <w:jc w:val="center"/>
              <w:rPr>
                <w:rFonts w:ascii="Aptos Narrow" w:hAnsi="Aptos Narrow"/>
                <w:color w:val="000000"/>
              </w:rPr>
            </w:pPr>
            <w:r>
              <w:rPr>
                <w:rFonts w:ascii="Aptos Narrow" w:hAnsi="Aptos Narrow"/>
                <w:color w:val="000000"/>
              </w:rPr>
              <w:t>2006</w:t>
            </w:r>
          </w:p>
        </w:tc>
        <w:tc>
          <w:tcPr>
            <w:tcW w:w="1960" w:type="dxa"/>
            <w:tcBorders>
              <w:top w:val="nil"/>
              <w:left w:val="nil"/>
              <w:bottom w:val="single" w:sz="8" w:space="0" w:color="auto"/>
              <w:right w:val="single" w:sz="8" w:space="0" w:color="auto"/>
            </w:tcBorders>
            <w:shd w:val="clear" w:color="auto" w:fill="auto"/>
            <w:noWrap/>
            <w:vAlign w:val="center"/>
            <w:hideMark/>
          </w:tcPr>
          <w:p w14:paraId="754B887E" w14:textId="77777777" w:rsidR="00E35C50" w:rsidRDefault="00E35C50" w:rsidP="00E85F4B">
            <w:pPr>
              <w:jc w:val="center"/>
              <w:rPr>
                <w:rFonts w:ascii="Aptos Narrow" w:hAnsi="Aptos Narrow"/>
                <w:color w:val="000000"/>
              </w:rPr>
            </w:pPr>
            <w:r>
              <w:rPr>
                <w:rFonts w:ascii="Aptos Narrow" w:hAnsi="Aptos Narrow"/>
                <w:color w:val="000000"/>
              </w:rPr>
              <w:t>4.184</w:t>
            </w:r>
          </w:p>
        </w:tc>
        <w:tc>
          <w:tcPr>
            <w:tcW w:w="1960" w:type="dxa"/>
            <w:tcBorders>
              <w:top w:val="nil"/>
              <w:left w:val="nil"/>
              <w:bottom w:val="single" w:sz="8" w:space="0" w:color="auto"/>
              <w:right w:val="single" w:sz="8" w:space="0" w:color="auto"/>
            </w:tcBorders>
            <w:shd w:val="clear" w:color="auto" w:fill="auto"/>
            <w:noWrap/>
            <w:vAlign w:val="center"/>
            <w:hideMark/>
          </w:tcPr>
          <w:p w14:paraId="6DC03225" w14:textId="77777777" w:rsidR="00E35C50" w:rsidRDefault="00E35C50" w:rsidP="00E85F4B">
            <w:pPr>
              <w:jc w:val="center"/>
              <w:rPr>
                <w:rFonts w:ascii="Aptos Narrow" w:hAnsi="Aptos Narrow"/>
                <w:color w:val="000000"/>
              </w:rPr>
            </w:pPr>
            <w:r>
              <w:rPr>
                <w:rFonts w:ascii="Aptos Narrow" w:hAnsi="Aptos Narrow"/>
                <w:color w:val="000000"/>
              </w:rPr>
              <w:t>5.797</w:t>
            </w:r>
          </w:p>
        </w:tc>
        <w:tc>
          <w:tcPr>
            <w:tcW w:w="1760" w:type="dxa"/>
            <w:tcBorders>
              <w:top w:val="nil"/>
              <w:left w:val="nil"/>
              <w:bottom w:val="single" w:sz="8" w:space="0" w:color="auto"/>
              <w:right w:val="single" w:sz="8" w:space="0" w:color="auto"/>
            </w:tcBorders>
            <w:shd w:val="clear" w:color="auto" w:fill="auto"/>
            <w:noWrap/>
            <w:vAlign w:val="center"/>
            <w:hideMark/>
          </w:tcPr>
          <w:p w14:paraId="0150B6B2" w14:textId="77777777" w:rsidR="00E35C50" w:rsidRDefault="00E35C50" w:rsidP="00E85F4B">
            <w:pPr>
              <w:jc w:val="center"/>
              <w:rPr>
                <w:rFonts w:ascii="Aptos Narrow" w:hAnsi="Aptos Narrow"/>
                <w:color w:val="000000"/>
              </w:rPr>
            </w:pPr>
            <w:r>
              <w:rPr>
                <w:rFonts w:ascii="Aptos Narrow" w:hAnsi="Aptos Narrow"/>
                <w:color w:val="000000"/>
              </w:rPr>
              <w:t>8.225</w:t>
            </w:r>
          </w:p>
        </w:tc>
      </w:tr>
      <w:tr w:rsidR="00E35C50" w14:paraId="2FF7A63E"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B45A6C4" w14:textId="77777777" w:rsidR="00E35C50" w:rsidRDefault="00E35C50" w:rsidP="00E85F4B">
            <w:pPr>
              <w:jc w:val="center"/>
              <w:rPr>
                <w:rFonts w:ascii="Aptos Narrow" w:hAnsi="Aptos Narrow"/>
                <w:color w:val="000000"/>
              </w:rPr>
            </w:pPr>
            <w:r>
              <w:rPr>
                <w:rFonts w:ascii="Aptos Narrow" w:hAnsi="Aptos Narrow"/>
                <w:color w:val="000000"/>
              </w:rPr>
              <w:t>2007</w:t>
            </w:r>
          </w:p>
        </w:tc>
        <w:tc>
          <w:tcPr>
            <w:tcW w:w="1960" w:type="dxa"/>
            <w:tcBorders>
              <w:top w:val="nil"/>
              <w:left w:val="nil"/>
              <w:bottom w:val="single" w:sz="8" w:space="0" w:color="auto"/>
              <w:right w:val="single" w:sz="8" w:space="0" w:color="auto"/>
            </w:tcBorders>
            <w:shd w:val="clear" w:color="auto" w:fill="auto"/>
            <w:noWrap/>
            <w:vAlign w:val="center"/>
            <w:hideMark/>
          </w:tcPr>
          <w:p w14:paraId="7A1B880D" w14:textId="77777777" w:rsidR="00E35C50" w:rsidRDefault="00E35C50" w:rsidP="00E85F4B">
            <w:pPr>
              <w:jc w:val="center"/>
              <w:rPr>
                <w:rFonts w:ascii="Aptos Narrow" w:hAnsi="Aptos Narrow"/>
                <w:color w:val="000000"/>
              </w:rPr>
            </w:pPr>
            <w:r>
              <w:rPr>
                <w:rFonts w:ascii="Aptos Narrow" w:hAnsi="Aptos Narrow"/>
                <w:color w:val="000000"/>
              </w:rPr>
              <w:t>3.641</w:t>
            </w:r>
          </w:p>
        </w:tc>
        <w:tc>
          <w:tcPr>
            <w:tcW w:w="1960" w:type="dxa"/>
            <w:tcBorders>
              <w:top w:val="nil"/>
              <w:left w:val="nil"/>
              <w:bottom w:val="single" w:sz="8" w:space="0" w:color="auto"/>
              <w:right w:val="single" w:sz="8" w:space="0" w:color="auto"/>
            </w:tcBorders>
            <w:shd w:val="clear" w:color="auto" w:fill="auto"/>
            <w:noWrap/>
            <w:vAlign w:val="center"/>
            <w:hideMark/>
          </w:tcPr>
          <w:p w14:paraId="0D3F50F7" w14:textId="77777777" w:rsidR="00E35C50" w:rsidRDefault="00E35C50" w:rsidP="00E85F4B">
            <w:pPr>
              <w:jc w:val="center"/>
              <w:rPr>
                <w:rFonts w:ascii="Aptos Narrow" w:hAnsi="Aptos Narrow"/>
                <w:color w:val="000000"/>
              </w:rPr>
            </w:pPr>
            <w:r>
              <w:rPr>
                <w:rFonts w:ascii="Aptos Narrow" w:hAnsi="Aptos Narrow"/>
                <w:color w:val="000000"/>
              </w:rPr>
              <w:t>6.373</w:t>
            </w:r>
          </w:p>
        </w:tc>
        <w:tc>
          <w:tcPr>
            <w:tcW w:w="1760" w:type="dxa"/>
            <w:tcBorders>
              <w:top w:val="nil"/>
              <w:left w:val="nil"/>
              <w:bottom w:val="single" w:sz="8" w:space="0" w:color="auto"/>
              <w:right w:val="single" w:sz="8" w:space="0" w:color="auto"/>
            </w:tcBorders>
            <w:shd w:val="clear" w:color="auto" w:fill="auto"/>
            <w:noWrap/>
            <w:vAlign w:val="center"/>
            <w:hideMark/>
          </w:tcPr>
          <w:p w14:paraId="5111B91E" w14:textId="77777777" w:rsidR="00E35C50" w:rsidRDefault="00E35C50" w:rsidP="00E85F4B">
            <w:pPr>
              <w:jc w:val="center"/>
              <w:rPr>
                <w:rFonts w:ascii="Aptos Narrow" w:hAnsi="Aptos Narrow"/>
                <w:color w:val="000000"/>
              </w:rPr>
            </w:pPr>
            <w:r>
              <w:rPr>
                <w:rFonts w:ascii="Aptos Narrow" w:hAnsi="Aptos Narrow"/>
                <w:color w:val="000000"/>
              </w:rPr>
              <w:t>5.388</w:t>
            </w:r>
          </w:p>
        </w:tc>
      </w:tr>
      <w:tr w:rsidR="00E35C50" w14:paraId="5FB66F62"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AB1530B" w14:textId="77777777" w:rsidR="00E35C50" w:rsidRDefault="00E35C50" w:rsidP="00E85F4B">
            <w:pPr>
              <w:jc w:val="center"/>
              <w:rPr>
                <w:rFonts w:ascii="Aptos Narrow" w:hAnsi="Aptos Narrow"/>
                <w:color w:val="000000"/>
              </w:rPr>
            </w:pPr>
            <w:r>
              <w:rPr>
                <w:rFonts w:ascii="Aptos Narrow" w:hAnsi="Aptos Narrow"/>
                <w:color w:val="000000"/>
              </w:rPr>
              <w:t>2008</w:t>
            </w:r>
          </w:p>
        </w:tc>
        <w:tc>
          <w:tcPr>
            <w:tcW w:w="1960" w:type="dxa"/>
            <w:tcBorders>
              <w:top w:val="nil"/>
              <w:left w:val="nil"/>
              <w:bottom w:val="single" w:sz="8" w:space="0" w:color="auto"/>
              <w:right w:val="single" w:sz="8" w:space="0" w:color="auto"/>
            </w:tcBorders>
            <w:shd w:val="clear" w:color="auto" w:fill="auto"/>
            <w:noWrap/>
            <w:vAlign w:val="center"/>
            <w:hideMark/>
          </w:tcPr>
          <w:p w14:paraId="0FCBA185" w14:textId="77777777" w:rsidR="00E35C50" w:rsidRDefault="00E35C50" w:rsidP="00E85F4B">
            <w:pPr>
              <w:jc w:val="center"/>
              <w:rPr>
                <w:rFonts w:ascii="Aptos Narrow" w:hAnsi="Aptos Narrow"/>
                <w:color w:val="000000"/>
              </w:rPr>
            </w:pPr>
            <w:r>
              <w:rPr>
                <w:rFonts w:ascii="Aptos Narrow" w:hAnsi="Aptos Narrow"/>
                <w:color w:val="000000"/>
              </w:rPr>
              <w:t>5.679</w:t>
            </w:r>
          </w:p>
        </w:tc>
        <w:tc>
          <w:tcPr>
            <w:tcW w:w="1960" w:type="dxa"/>
            <w:tcBorders>
              <w:top w:val="nil"/>
              <w:left w:val="nil"/>
              <w:bottom w:val="single" w:sz="8" w:space="0" w:color="auto"/>
              <w:right w:val="single" w:sz="8" w:space="0" w:color="auto"/>
            </w:tcBorders>
            <w:shd w:val="clear" w:color="auto" w:fill="auto"/>
            <w:noWrap/>
            <w:vAlign w:val="center"/>
            <w:hideMark/>
          </w:tcPr>
          <w:p w14:paraId="12001A99" w14:textId="77777777" w:rsidR="00E35C50" w:rsidRDefault="00E35C50" w:rsidP="00E85F4B">
            <w:pPr>
              <w:jc w:val="center"/>
              <w:rPr>
                <w:rFonts w:ascii="Aptos Narrow" w:hAnsi="Aptos Narrow"/>
                <w:color w:val="000000"/>
              </w:rPr>
            </w:pPr>
            <w:r>
              <w:rPr>
                <w:rFonts w:ascii="Aptos Narrow" w:hAnsi="Aptos Narrow"/>
                <w:color w:val="000000"/>
              </w:rPr>
              <w:t>8.349</w:t>
            </w:r>
          </w:p>
        </w:tc>
        <w:tc>
          <w:tcPr>
            <w:tcW w:w="1760" w:type="dxa"/>
            <w:tcBorders>
              <w:top w:val="nil"/>
              <w:left w:val="nil"/>
              <w:bottom w:val="single" w:sz="8" w:space="0" w:color="auto"/>
              <w:right w:val="single" w:sz="8" w:space="0" w:color="auto"/>
            </w:tcBorders>
            <w:shd w:val="clear" w:color="auto" w:fill="auto"/>
            <w:noWrap/>
            <w:vAlign w:val="center"/>
            <w:hideMark/>
          </w:tcPr>
          <w:p w14:paraId="29092AA9" w14:textId="77777777" w:rsidR="00E35C50" w:rsidRDefault="00E35C50" w:rsidP="00E85F4B">
            <w:pPr>
              <w:jc w:val="center"/>
              <w:rPr>
                <w:rFonts w:ascii="Aptos Narrow" w:hAnsi="Aptos Narrow"/>
                <w:color w:val="000000"/>
              </w:rPr>
            </w:pPr>
            <w:r>
              <w:rPr>
                <w:rFonts w:ascii="Aptos Narrow" w:hAnsi="Aptos Narrow"/>
                <w:color w:val="000000"/>
              </w:rPr>
              <w:t>11.581</w:t>
            </w:r>
          </w:p>
        </w:tc>
      </w:tr>
      <w:tr w:rsidR="00E35C50" w14:paraId="48CBEF4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4DBE235" w14:textId="77777777" w:rsidR="00E35C50" w:rsidRDefault="00E35C50" w:rsidP="00E85F4B">
            <w:pPr>
              <w:jc w:val="center"/>
              <w:rPr>
                <w:rFonts w:ascii="Aptos Narrow" w:hAnsi="Aptos Narrow"/>
                <w:color w:val="000000"/>
              </w:rPr>
            </w:pPr>
            <w:r>
              <w:rPr>
                <w:rFonts w:ascii="Aptos Narrow" w:hAnsi="Aptos Narrow"/>
                <w:color w:val="000000"/>
              </w:rPr>
              <w:t>2009</w:t>
            </w:r>
          </w:p>
        </w:tc>
        <w:tc>
          <w:tcPr>
            <w:tcW w:w="1960" w:type="dxa"/>
            <w:tcBorders>
              <w:top w:val="nil"/>
              <w:left w:val="nil"/>
              <w:bottom w:val="single" w:sz="8" w:space="0" w:color="auto"/>
              <w:right w:val="single" w:sz="8" w:space="0" w:color="auto"/>
            </w:tcBorders>
            <w:shd w:val="clear" w:color="auto" w:fill="auto"/>
            <w:noWrap/>
            <w:vAlign w:val="center"/>
            <w:hideMark/>
          </w:tcPr>
          <w:p w14:paraId="328202C4" w14:textId="77777777" w:rsidR="00E35C50" w:rsidRDefault="00E35C50" w:rsidP="00E85F4B">
            <w:pPr>
              <w:jc w:val="center"/>
              <w:rPr>
                <w:rFonts w:ascii="Aptos Narrow" w:hAnsi="Aptos Narrow"/>
                <w:color w:val="000000"/>
              </w:rPr>
            </w:pPr>
            <w:r>
              <w:rPr>
                <w:rFonts w:ascii="Aptos Narrow" w:hAnsi="Aptos Narrow"/>
                <w:color w:val="000000"/>
              </w:rPr>
              <w:t>4.888</w:t>
            </w:r>
          </w:p>
        </w:tc>
        <w:tc>
          <w:tcPr>
            <w:tcW w:w="1960" w:type="dxa"/>
            <w:tcBorders>
              <w:top w:val="nil"/>
              <w:left w:val="nil"/>
              <w:bottom w:val="single" w:sz="8" w:space="0" w:color="auto"/>
              <w:right w:val="single" w:sz="8" w:space="0" w:color="auto"/>
            </w:tcBorders>
            <w:shd w:val="clear" w:color="auto" w:fill="auto"/>
            <w:noWrap/>
            <w:vAlign w:val="center"/>
            <w:hideMark/>
          </w:tcPr>
          <w:p w14:paraId="40B0E841" w14:textId="77777777" w:rsidR="00E35C50" w:rsidRDefault="00E35C50" w:rsidP="00E85F4B">
            <w:pPr>
              <w:jc w:val="center"/>
              <w:rPr>
                <w:rFonts w:ascii="Aptos Narrow" w:hAnsi="Aptos Narrow"/>
                <w:color w:val="000000"/>
              </w:rPr>
            </w:pPr>
            <w:r>
              <w:rPr>
                <w:rFonts w:ascii="Aptos Narrow" w:hAnsi="Aptos Narrow"/>
                <w:color w:val="000000"/>
              </w:rPr>
              <w:t>10.882</w:t>
            </w:r>
          </w:p>
        </w:tc>
        <w:tc>
          <w:tcPr>
            <w:tcW w:w="1760" w:type="dxa"/>
            <w:tcBorders>
              <w:top w:val="nil"/>
              <w:left w:val="nil"/>
              <w:bottom w:val="single" w:sz="8" w:space="0" w:color="auto"/>
              <w:right w:val="single" w:sz="8" w:space="0" w:color="auto"/>
            </w:tcBorders>
            <w:shd w:val="clear" w:color="auto" w:fill="auto"/>
            <w:noWrap/>
            <w:vAlign w:val="center"/>
            <w:hideMark/>
          </w:tcPr>
          <w:p w14:paraId="5DCAD14A" w14:textId="77777777" w:rsidR="00E35C50" w:rsidRDefault="00E35C50" w:rsidP="00E85F4B">
            <w:pPr>
              <w:jc w:val="center"/>
              <w:rPr>
                <w:rFonts w:ascii="Aptos Narrow" w:hAnsi="Aptos Narrow"/>
                <w:color w:val="000000"/>
              </w:rPr>
            </w:pPr>
            <w:r>
              <w:rPr>
                <w:rFonts w:ascii="Aptos Narrow" w:hAnsi="Aptos Narrow"/>
                <w:color w:val="000000"/>
              </w:rPr>
              <w:t>12.538</w:t>
            </w:r>
          </w:p>
        </w:tc>
      </w:tr>
      <w:tr w:rsidR="00E35C50" w14:paraId="53233D75"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2A6759E" w14:textId="77777777" w:rsidR="00E35C50" w:rsidRDefault="00E35C50" w:rsidP="00E85F4B">
            <w:pPr>
              <w:jc w:val="center"/>
              <w:rPr>
                <w:rFonts w:ascii="Aptos Narrow" w:hAnsi="Aptos Narrow"/>
                <w:color w:val="000000"/>
              </w:rPr>
            </w:pPr>
            <w:r>
              <w:rPr>
                <w:rFonts w:ascii="Aptos Narrow" w:hAnsi="Aptos Narrow"/>
                <w:color w:val="000000"/>
              </w:rPr>
              <w:t>2010</w:t>
            </w:r>
          </w:p>
        </w:tc>
        <w:tc>
          <w:tcPr>
            <w:tcW w:w="1960" w:type="dxa"/>
            <w:tcBorders>
              <w:top w:val="nil"/>
              <w:left w:val="nil"/>
              <w:bottom w:val="single" w:sz="8" w:space="0" w:color="auto"/>
              <w:right w:val="single" w:sz="8" w:space="0" w:color="auto"/>
            </w:tcBorders>
            <w:shd w:val="clear" w:color="auto" w:fill="auto"/>
            <w:noWrap/>
            <w:vAlign w:val="center"/>
            <w:hideMark/>
          </w:tcPr>
          <w:p w14:paraId="56FB028B" w14:textId="77777777" w:rsidR="00E35C50" w:rsidRDefault="00E35C50" w:rsidP="00E85F4B">
            <w:pPr>
              <w:jc w:val="center"/>
              <w:rPr>
                <w:rFonts w:ascii="Aptos Narrow" w:hAnsi="Aptos Narrow"/>
                <w:color w:val="000000"/>
              </w:rPr>
            </w:pPr>
            <w:r>
              <w:rPr>
                <w:rFonts w:ascii="Aptos Narrow" w:hAnsi="Aptos Narrow"/>
                <w:color w:val="000000"/>
              </w:rPr>
              <w:t>5.039</w:t>
            </w:r>
          </w:p>
        </w:tc>
        <w:tc>
          <w:tcPr>
            <w:tcW w:w="1960" w:type="dxa"/>
            <w:tcBorders>
              <w:top w:val="nil"/>
              <w:left w:val="nil"/>
              <w:bottom w:val="single" w:sz="8" w:space="0" w:color="auto"/>
              <w:right w:val="single" w:sz="8" w:space="0" w:color="auto"/>
            </w:tcBorders>
            <w:shd w:val="clear" w:color="auto" w:fill="auto"/>
            <w:noWrap/>
            <w:vAlign w:val="center"/>
            <w:hideMark/>
          </w:tcPr>
          <w:p w14:paraId="769D67A8" w14:textId="77777777" w:rsidR="00E35C50" w:rsidRDefault="00E35C50" w:rsidP="00E85F4B">
            <w:pPr>
              <w:jc w:val="center"/>
              <w:rPr>
                <w:rFonts w:ascii="Aptos Narrow" w:hAnsi="Aptos Narrow"/>
                <w:color w:val="000000"/>
              </w:rPr>
            </w:pPr>
            <w:r>
              <w:rPr>
                <w:rFonts w:ascii="Aptos Narrow" w:hAnsi="Aptos Narrow"/>
                <w:color w:val="000000"/>
              </w:rPr>
              <w:t>11.989</w:t>
            </w:r>
          </w:p>
        </w:tc>
        <w:tc>
          <w:tcPr>
            <w:tcW w:w="1760" w:type="dxa"/>
            <w:tcBorders>
              <w:top w:val="nil"/>
              <w:left w:val="nil"/>
              <w:bottom w:val="single" w:sz="8" w:space="0" w:color="auto"/>
              <w:right w:val="single" w:sz="8" w:space="0" w:color="auto"/>
            </w:tcBorders>
            <w:shd w:val="clear" w:color="auto" w:fill="auto"/>
            <w:noWrap/>
            <w:vAlign w:val="center"/>
            <w:hideMark/>
          </w:tcPr>
          <w:p w14:paraId="0F9E9E15" w14:textId="77777777" w:rsidR="00E35C50" w:rsidRDefault="00E35C50" w:rsidP="00E85F4B">
            <w:pPr>
              <w:jc w:val="center"/>
              <w:rPr>
                <w:rFonts w:ascii="Aptos Narrow" w:hAnsi="Aptos Narrow"/>
                <w:color w:val="000000"/>
              </w:rPr>
            </w:pPr>
            <w:r>
              <w:rPr>
                <w:rFonts w:ascii="Aptos Narrow" w:hAnsi="Aptos Narrow"/>
                <w:color w:val="000000"/>
              </w:rPr>
              <w:t>13.740</w:t>
            </w:r>
          </w:p>
        </w:tc>
      </w:tr>
      <w:tr w:rsidR="00E35C50" w14:paraId="3DE57522"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9F98354" w14:textId="77777777" w:rsidR="00E35C50" w:rsidRDefault="00E35C50" w:rsidP="00E85F4B">
            <w:pPr>
              <w:jc w:val="center"/>
              <w:rPr>
                <w:rFonts w:ascii="Aptos Narrow" w:hAnsi="Aptos Narrow"/>
                <w:color w:val="000000"/>
              </w:rPr>
            </w:pPr>
            <w:r>
              <w:rPr>
                <w:rFonts w:ascii="Aptos Narrow" w:hAnsi="Aptos Narrow"/>
                <w:color w:val="000000"/>
              </w:rPr>
              <w:t>2011</w:t>
            </w:r>
          </w:p>
        </w:tc>
        <w:tc>
          <w:tcPr>
            <w:tcW w:w="1960" w:type="dxa"/>
            <w:tcBorders>
              <w:top w:val="nil"/>
              <w:left w:val="nil"/>
              <w:bottom w:val="single" w:sz="8" w:space="0" w:color="auto"/>
              <w:right w:val="single" w:sz="8" w:space="0" w:color="auto"/>
            </w:tcBorders>
            <w:shd w:val="clear" w:color="auto" w:fill="auto"/>
            <w:noWrap/>
            <w:vAlign w:val="center"/>
            <w:hideMark/>
          </w:tcPr>
          <w:p w14:paraId="442FEE7B" w14:textId="77777777" w:rsidR="00E35C50" w:rsidRDefault="00E35C50" w:rsidP="00E85F4B">
            <w:pPr>
              <w:jc w:val="center"/>
              <w:rPr>
                <w:rFonts w:ascii="Aptos Narrow" w:hAnsi="Aptos Narrow"/>
                <w:color w:val="000000"/>
              </w:rPr>
            </w:pPr>
            <w:r>
              <w:rPr>
                <w:rFonts w:ascii="Aptos Narrow" w:hAnsi="Aptos Narrow"/>
                <w:color w:val="000000"/>
              </w:rPr>
              <w:t>6.636</w:t>
            </w:r>
          </w:p>
        </w:tc>
        <w:tc>
          <w:tcPr>
            <w:tcW w:w="1960" w:type="dxa"/>
            <w:tcBorders>
              <w:top w:val="nil"/>
              <w:left w:val="nil"/>
              <w:bottom w:val="single" w:sz="8" w:space="0" w:color="auto"/>
              <w:right w:val="single" w:sz="8" w:space="0" w:color="auto"/>
            </w:tcBorders>
            <w:shd w:val="clear" w:color="auto" w:fill="auto"/>
            <w:noWrap/>
            <w:vAlign w:val="center"/>
            <w:hideMark/>
          </w:tcPr>
          <w:p w14:paraId="7DDCAAAA" w14:textId="77777777" w:rsidR="00E35C50" w:rsidRDefault="00E35C50" w:rsidP="00E85F4B">
            <w:pPr>
              <w:jc w:val="center"/>
              <w:rPr>
                <w:rFonts w:ascii="Aptos Narrow" w:hAnsi="Aptos Narrow"/>
                <w:color w:val="000000"/>
              </w:rPr>
            </w:pPr>
            <w:r>
              <w:rPr>
                <w:rFonts w:ascii="Aptos Narrow" w:hAnsi="Aptos Narrow"/>
                <w:color w:val="000000"/>
              </w:rPr>
              <w:t>8.912</w:t>
            </w:r>
          </w:p>
        </w:tc>
        <w:tc>
          <w:tcPr>
            <w:tcW w:w="1760" w:type="dxa"/>
            <w:tcBorders>
              <w:top w:val="nil"/>
              <w:left w:val="nil"/>
              <w:bottom w:val="single" w:sz="8" w:space="0" w:color="auto"/>
              <w:right w:val="single" w:sz="8" w:space="0" w:color="auto"/>
            </w:tcBorders>
            <w:shd w:val="clear" w:color="auto" w:fill="auto"/>
            <w:noWrap/>
            <w:vAlign w:val="center"/>
            <w:hideMark/>
          </w:tcPr>
          <w:p w14:paraId="158C2EA0" w14:textId="77777777" w:rsidR="00E35C50" w:rsidRDefault="00E35C50" w:rsidP="00E85F4B">
            <w:pPr>
              <w:jc w:val="center"/>
              <w:rPr>
                <w:rFonts w:ascii="Aptos Narrow" w:hAnsi="Aptos Narrow"/>
                <w:color w:val="000000"/>
              </w:rPr>
            </w:pPr>
            <w:r>
              <w:rPr>
                <w:rFonts w:ascii="Aptos Narrow" w:hAnsi="Aptos Narrow"/>
                <w:color w:val="000000"/>
              </w:rPr>
              <w:t>10.826</w:t>
            </w:r>
          </w:p>
        </w:tc>
      </w:tr>
      <w:tr w:rsidR="00E35C50" w14:paraId="1A036AAF"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6CB7E5B" w14:textId="77777777" w:rsidR="00E35C50" w:rsidRDefault="00E35C50" w:rsidP="00E85F4B">
            <w:pPr>
              <w:jc w:val="center"/>
              <w:rPr>
                <w:rFonts w:ascii="Aptos Narrow" w:hAnsi="Aptos Narrow"/>
                <w:color w:val="000000"/>
              </w:rPr>
            </w:pPr>
            <w:r>
              <w:rPr>
                <w:rFonts w:ascii="Aptos Narrow" w:hAnsi="Aptos Narrow"/>
                <w:color w:val="000000"/>
              </w:rPr>
              <w:t>2012</w:t>
            </w:r>
          </w:p>
        </w:tc>
        <w:tc>
          <w:tcPr>
            <w:tcW w:w="1960" w:type="dxa"/>
            <w:tcBorders>
              <w:top w:val="nil"/>
              <w:left w:val="nil"/>
              <w:bottom w:val="single" w:sz="8" w:space="0" w:color="auto"/>
              <w:right w:val="single" w:sz="8" w:space="0" w:color="auto"/>
            </w:tcBorders>
            <w:shd w:val="clear" w:color="auto" w:fill="auto"/>
            <w:noWrap/>
            <w:vAlign w:val="center"/>
            <w:hideMark/>
          </w:tcPr>
          <w:p w14:paraId="67BB3D33" w14:textId="77777777" w:rsidR="00E35C50" w:rsidRDefault="00E35C50" w:rsidP="00E85F4B">
            <w:pPr>
              <w:jc w:val="center"/>
              <w:rPr>
                <w:rFonts w:ascii="Aptos Narrow" w:hAnsi="Aptos Narrow"/>
                <w:color w:val="000000"/>
              </w:rPr>
            </w:pPr>
            <w:r>
              <w:rPr>
                <w:rFonts w:ascii="Aptos Narrow" w:hAnsi="Aptos Narrow"/>
                <w:color w:val="000000"/>
              </w:rPr>
              <w:t>5.403</w:t>
            </w:r>
          </w:p>
        </w:tc>
        <w:tc>
          <w:tcPr>
            <w:tcW w:w="1960" w:type="dxa"/>
            <w:tcBorders>
              <w:top w:val="nil"/>
              <w:left w:val="nil"/>
              <w:bottom w:val="single" w:sz="8" w:space="0" w:color="auto"/>
              <w:right w:val="single" w:sz="8" w:space="0" w:color="auto"/>
            </w:tcBorders>
            <w:shd w:val="clear" w:color="auto" w:fill="auto"/>
            <w:noWrap/>
            <w:vAlign w:val="center"/>
            <w:hideMark/>
          </w:tcPr>
          <w:p w14:paraId="1527CD0F" w14:textId="77777777" w:rsidR="00E35C50" w:rsidRDefault="00E35C50" w:rsidP="00E85F4B">
            <w:pPr>
              <w:jc w:val="center"/>
              <w:rPr>
                <w:rFonts w:ascii="Aptos Narrow" w:hAnsi="Aptos Narrow"/>
                <w:color w:val="000000"/>
              </w:rPr>
            </w:pPr>
            <w:r>
              <w:rPr>
                <w:rFonts w:ascii="Aptos Narrow" w:hAnsi="Aptos Narrow"/>
                <w:color w:val="000000"/>
              </w:rPr>
              <w:t>9.479</w:t>
            </w:r>
          </w:p>
        </w:tc>
        <w:tc>
          <w:tcPr>
            <w:tcW w:w="1760" w:type="dxa"/>
            <w:tcBorders>
              <w:top w:val="nil"/>
              <w:left w:val="nil"/>
              <w:bottom w:val="single" w:sz="8" w:space="0" w:color="auto"/>
              <w:right w:val="single" w:sz="8" w:space="0" w:color="auto"/>
            </w:tcBorders>
            <w:shd w:val="clear" w:color="auto" w:fill="auto"/>
            <w:noWrap/>
            <w:vAlign w:val="center"/>
            <w:hideMark/>
          </w:tcPr>
          <w:p w14:paraId="32F271C5" w14:textId="77777777" w:rsidR="00E35C50" w:rsidRDefault="00E35C50" w:rsidP="00E85F4B">
            <w:pPr>
              <w:jc w:val="center"/>
              <w:rPr>
                <w:rFonts w:ascii="Aptos Narrow" w:hAnsi="Aptos Narrow"/>
                <w:color w:val="000000"/>
              </w:rPr>
            </w:pPr>
            <w:r>
              <w:rPr>
                <w:rFonts w:ascii="Aptos Narrow" w:hAnsi="Aptos Narrow"/>
                <w:color w:val="000000"/>
              </w:rPr>
              <w:t>12.224</w:t>
            </w:r>
          </w:p>
        </w:tc>
      </w:tr>
      <w:tr w:rsidR="00E35C50" w14:paraId="0BA3AE7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020866E" w14:textId="77777777" w:rsidR="00E35C50" w:rsidRDefault="00E35C50" w:rsidP="00E85F4B">
            <w:pPr>
              <w:jc w:val="center"/>
              <w:rPr>
                <w:rFonts w:ascii="Aptos Narrow" w:hAnsi="Aptos Narrow"/>
                <w:color w:val="000000"/>
              </w:rPr>
            </w:pPr>
            <w:r>
              <w:rPr>
                <w:rFonts w:ascii="Aptos Narrow" w:hAnsi="Aptos Narrow"/>
                <w:color w:val="000000"/>
              </w:rPr>
              <w:t>2013</w:t>
            </w:r>
          </w:p>
        </w:tc>
        <w:tc>
          <w:tcPr>
            <w:tcW w:w="1960" w:type="dxa"/>
            <w:tcBorders>
              <w:top w:val="nil"/>
              <w:left w:val="nil"/>
              <w:bottom w:val="single" w:sz="8" w:space="0" w:color="auto"/>
              <w:right w:val="single" w:sz="8" w:space="0" w:color="auto"/>
            </w:tcBorders>
            <w:shd w:val="clear" w:color="auto" w:fill="auto"/>
            <w:noWrap/>
            <w:vAlign w:val="center"/>
            <w:hideMark/>
          </w:tcPr>
          <w:p w14:paraId="4AD1EF0B" w14:textId="77777777" w:rsidR="00E35C50" w:rsidRDefault="00E35C50" w:rsidP="00E85F4B">
            <w:pPr>
              <w:jc w:val="center"/>
              <w:rPr>
                <w:rFonts w:ascii="Aptos Narrow" w:hAnsi="Aptos Narrow"/>
                <w:color w:val="000000"/>
              </w:rPr>
            </w:pPr>
            <w:r>
              <w:rPr>
                <w:rFonts w:ascii="Aptos Narrow" w:hAnsi="Aptos Narrow"/>
                <w:color w:val="000000"/>
              </w:rPr>
              <w:t>6.204</w:t>
            </w:r>
          </w:p>
        </w:tc>
        <w:tc>
          <w:tcPr>
            <w:tcW w:w="1960" w:type="dxa"/>
            <w:tcBorders>
              <w:top w:val="nil"/>
              <w:left w:val="nil"/>
              <w:bottom w:val="single" w:sz="8" w:space="0" w:color="auto"/>
              <w:right w:val="single" w:sz="8" w:space="0" w:color="auto"/>
            </w:tcBorders>
            <w:shd w:val="clear" w:color="auto" w:fill="auto"/>
            <w:noWrap/>
            <w:vAlign w:val="center"/>
            <w:hideMark/>
          </w:tcPr>
          <w:p w14:paraId="72CC64F7" w14:textId="77777777" w:rsidR="00E35C50" w:rsidRDefault="00E35C50" w:rsidP="00E85F4B">
            <w:pPr>
              <w:jc w:val="center"/>
              <w:rPr>
                <w:rFonts w:ascii="Aptos Narrow" w:hAnsi="Aptos Narrow"/>
                <w:color w:val="000000"/>
              </w:rPr>
            </w:pPr>
            <w:r>
              <w:rPr>
                <w:rFonts w:ascii="Aptos Narrow" w:hAnsi="Aptos Narrow"/>
                <w:color w:val="000000"/>
              </w:rPr>
              <w:t>10.018</w:t>
            </w:r>
          </w:p>
        </w:tc>
        <w:tc>
          <w:tcPr>
            <w:tcW w:w="1760" w:type="dxa"/>
            <w:tcBorders>
              <w:top w:val="nil"/>
              <w:left w:val="nil"/>
              <w:bottom w:val="single" w:sz="8" w:space="0" w:color="auto"/>
              <w:right w:val="single" w:sz="8" w:space="0" w:color="auto"/>
            </w:tcBorders>
            <w:shd w:val="clear" w:color="auto" w:fill="auto"/>
            <w:noWrap/>
            <w:vAlign w:val="center"/>
            <w:hideMark/>
          </w:tcPr>
          <w:p w14:paraId="264A4E1E" w14:textId="77777777" w:rsidR="00E35C50" w:rsidRDefault="00E35C50" w:rsidP="00E85F4B">
            <w:pPr>
              <w:jc w:val="center"/>
              <w:rPr>
                <w:rFonts w:ascii="Aptos Narrow" w:hAnsi="Aptos Narrow"/>
                <w:color w:val="000000"/>
              </w:rPr>
            </w:pPr>
            <w:r>
              <w:rPr>
                <w:rFonts w:ascii="Aptos Narrow" w:hAnsi="Aptos Narrow"/>
                <w:color w:val="000000"/>
              </w:rPr>
              <w:t>8.496</w:t>
            </w:r>
          </w:p>
        </w:tc>
      </w:tr>
      <w:tr w:rsidR="00E35C50" w14:paraId="78147A5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167DADA" w14:textId="77777777" w:rsidR="00E35C50" w:rsidRDefault="00E35C50" w:rsidP="00E85F4B">
            <w:pPr>
              <w:jc w:val="center"/>
              <w:rPr>
                <w:rFonts w:ascii="Aptos Narrow" w:hAnsi="Aptos Narrow"/>
                <w:color w:val="000000"/>
              </w:rPr>
            </w:pPr>
            <w:r>
              <w:rPr>
                <w:rFonts w:ascii="Aptos Narrow" w:hAnsi="Aptos Narrow"/>
                <w:color w:val="000000"/>
              </w:rPr>
              <w:t>2014</w:t>
            </w:r>
          </w:p>
        </w:tc>
        <w:tc>
          <w:tcPr>
            <w:tcW w:w="1960" w:type="dxa"/>
            <w:tcBorders>
              <w:top w:val="nil"/>
              <w:left w:val="nil"/>
              <w:bottom w:val="single" w:sz="8" w:space="0" w:color="auto"/>
              <w:right w:val="single" w:sz="8" w:space="0" w:color="auto"/>
            </w:tcBorders>
            <w:shd w:val="clear" w:color="auto" w:fill="auto"/>
            <w:noWrap/>
            <w:vAlign w:val="center"/>
            <w:hideMark/>
          </w:tcPr>
          <w:p w14:paraId="2843A0B5" w14:textId="77777777" w:rsidR="00E35C50" w:rsidRDefault="00E35C50" w:rsidP="00E85F4B">
            <w:pPr>
              <w:jc w:val="center"/>
              <w:rPr>
                <w:rFonts w:ascii="Aptos Narrow" w:hAnsi="Aptos Narrow"/>
                <w:color w:val="000000"/>
              </w:rPr>
            </w:pPr>
            <w:r>
              <w:rPr>
                <w:rFonts w:ascii="Aptos Narrow" w:hAnsi="Aptos Narrow"/>
                <w:color w:val="000000"/>
              </w:rPr>
              <w:t>6.329</w:t>
            </w:r>
          </w:p>
        </w:tc>
        <w:tc>
          <w:tcPr>
            <w:tcW w:w="1960" w:type="dxa"/>
            <w:tcBorders>
              <w:top w:val="nil"/>
              <w:left w:val="nil"/>
              <w:bottom w:val="single" w:sz="8" w:space="0" w:color="auto"/>
              <w:right w:val="single" w:sz="8" w:space="0" w:color="auto"/>
            </w:tcBorders>
            <w:shd w:val="clear" w:color="auto" w:fill="auto"/>
            <w:noWrap/>
            <w:vAlign w:val="center"/>
            <w:hideMark/>
          </w:tcPr>
          <w:p w14:paraId="45790C7B" w14:textId="77777777" w:rsidR="00E35C50" w:rsidRDefault="00E35C50" w:rsidP="00E85F4B">
            <w:pPr>
              <w:jc w:val="center"/>
              <w:rPr>
                <w:rFonts w:ascii="Aptos Narrow" w:hAnsi="Aptos Narrow"/>
                <w:color w:val="000000"/>
              </w:rPr>
            </w:pPr>
            <w:r>
              <w:rPr>
                <w:rFonts w:ascii="Aptos Narrow" w:hAnsi="Aptos Narrow"/>
                <w:color w:val="000000"/>
              </w:rPr>
              <w:t>6.666</w:t>
            </w:r>
          </w:p>
        </w:tc>
        <w:tc>
          <w:tcPr>
            <w:tcW w:w="1760" w:type="dxa"/>
            <w:tcBorders>
              <w:top w:val="nil"/>
              <w:left w:val="nil"/>
              <w:bottom w:val="single" w:sz="8" w:space="0" w:color="auto"/>
              <w:right w:val="single" w:sz="8" w:space="0" w:color="auto"/>
            </w:tcBorders>
            <w:shd w:val="clear" w:color="auto" w:fill="auto"/>
            <w:noWrap/>
            <w:vAlign w:val="center"/>
            <w:hideMark/>
          </w:tcPr>
          <w:p w14:paraId="4FE0A486" w14:textId="77777777" w:rsidR="00E35C50" w:rsidRDefault="00E35C50" w:rsidP="00E85F4B">
            <w:pPr>
              <w:jc w:val="center"/>
              <w:rPr>
                <w:rFonts w:ascii="Aptos Narrow" w:hAnsi="Aptos Narrow"/>
                <w:color w:val="000000"/>
              </w:rPr>
            </w:pPr>
            <w:r>
              <w:rPr>
                <w:rFonts w:ascii="Aptos Narrow" w:hAnsi="Aptos Narrow"/>
                <w:color w:val="000000"/>
              </w:rPr>
              <w:t>8.047</w:t>
            </w:r>
          </w:p>
        </w:tc>
      </w:tr>
      <w:tr w:rsidR="00E35C50" w14:paraId="435A498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4A6A816" w14:textId="77777777" w:rsidR="00E35C50" w:rsidRDefault="00E35C50" w:rsidP="00E85F4B">
            <w:pPr>
              <w:jc w:val="center"/>
              <w:rPr>
                <w:rFonts w:ascii="Aptos Narrow" w:hAnsi="Aptos Narrow"/>
                <w:color w:val="000000"/>
              </w:rPr>
            </w:pPr>
            <w:r>
              <w:rPr>
                <w:rFonts w:ascii="Aptos Narrow" w:hAnsi="Aptos Narrow"/>
                <w:color w:val="000000"/>
              </w:rPr>
              <w:t>2015</w:t>
            </w:r>
          </w:p>
        </w:tc>
        <w:tc>
          <w:tcPr>
            <w:tcW w:w="1960" w:type="dxa"/>
            <w:tcBorders>
              <w:top w:val="nil"/>
              <w:left w:val="nil"/>
              <w:bottom w:val="single" w:sz="8" w:space="0" w:color="auto"/>
              <w:right w:val="single" w:sz="8" w:space="0" w:color="auto"/>
            </w:tcBorders>
            <w:shd w:val="clear" w:color="auto" w:fill="auto"/>
            <w:noWrap/>
            <w:vAlign w:val="center"/>
            <w:hideMark/>
          </w:tcPr>
          <w:p w14:paraId="488B224B" w14:textId="77777777" w:rsidR="00E35C50" w:rsidRDefault="00E35C50" w:rsidP="00E85F4B">
            <w:pPr>
              <w:jc w:val="center"/>
              <w:rPr>
                <w:rFonts w:ascii="Aptos Narrow" w:hAnsi="Aptos Narrow"/>
                <w:color w:val="000000"/>
              </w:rPr>
            </w:pPr>
            <w:r>
              <w:rPr>
                <w:rFonts w:ascii="Aptos Narrow" w:hAnsi="Aptos Narrow"/>
                <w:color w:val="000000"/>
              </w:rPr>
              <w:t>9.03</w:t>
            </w:r>
          </w:p>
        </w:tc>
        <w:tc>
          <w:tcPr>
            <w:tcW w:w="1960" w:type="dxa"/>
            <w:tcBorders>
              <w:top w:val="nil"/>
              <w:left w:val="nil"/>
              <w:bottom w:val="single" w:sz="8" w:space="0" w:color="auto"/>
              <w:right w:val="single" w:sz="8" w:space="0" w:color="auto"/>
            </w:tcBorders>
            <w:shd w:val="clear" w:color="auto" w:fill="auto"/>
            <w:noWrap/>
            <w:vAlign w:val="center"/>
            <w:hideMark/>
          </w:tcPr>
          <w:p w14:paraId="1CAF69F8" w14:textId="77777777" w:rsidR="00E35C50" w:rsidRDefault="00E35C50" w:rsidP="00E85F4B">
            <w:pPr>
              <w:jc w:val="center"/>
              <w:rPr>
                <w:rFonts w:ascii="Aptos Narrow" w:hAnsi="Aptos Narrow"/>
                <w:color w:val="000000"/>
              </w:rPr>
            </w:pPr>
            <w:r>
              <w:rPr>
                <w:rFonts w:ascii="Aptos Narrow" w:hAnsi="Aptos Narrow"/>
                <w:color w:val="000000"/>
              </w:rPr>
              <w:t>4.907</w:t>
            </w:r>
          </w:p>
        </w:tc>
        <w:tc>
          <w:tcPr>
            <w:tcW w:w="1760" w:type="dxa"/>
            <w:tcBorders>
              <w:top w:val="nil"/>
              <w:left w:val="nil"/>
              <w:bottom w:val="single" w:sz="8" w:space="0" w:color="auto"/>
              <w:right w:val="single" w:sz="8" w:space="0" w:color="auto"/>
            </w:tcBorders>
            <w:shd w:val="clear" w:color="auto" w:fill="auto"/>
            <w:noWrap/>
            <w:vAlign w:val="center"/>
            <w:hideMark/>
          </w:tcPr>
          <w:p w14:paraId="108116F4" w14:textId="77777777" w:rsidR="00E35C50" w:rsidRDefault="00E35C50" w:rsidP="00E85F4B">
            <w:pPr>
              <w:jc w:val="center"/>
              <w:rPr>
                <w:rFonts w:ascii="Aptos Narrow" w:hAnsi="Aptos Narrow"/>
                <w:color w:val="000000"/>
              </w:rPr>
            </w:pPr>
            <w:r>
              <w:rPr>
                <w:rFonts w:ascii="Aptos Narrow" w:hAnsi="Aptos Narrow"/>
                <w:color w:val="000000"/>
              </w:rPr>
              <w:t>9.009</w:t>
            </w:r>
          </w:p>
        </w:tc>
      </w:tr>
      <w:tr w:rsidR="00E35C50" w14:paraId="0E691285"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9C3DDC4" w14:textId="77777777" w:rsidR="00E35C50" w:rsidRDefault="00E35C50" w:rsidP="00E85F4B">
            <w:pPr>
              <w:jc w:val="center"/>
              <w:rPr>
                <w:rFonts w:ascii="Aptos Narrow" w:hAnsi="Aptos Narrow"/>
                <w:color w:val="000000"/>
              </w:rPr>
            </w:pPr>
            <w:r>
              <w:rPr>
                <w:rFonts w:ascii="Aptos Narrow" w:hAnsi="Aptos Narrow"/>
                <w:color w:val="000000"/>
              </w:rPr>
              <w:t>2016</w:t>
            </w:r>
          </w:p>
        </w:tc>
        <w:tc>
          <w:tcPr>
            <w:tcW w:w="1960" w:type="dxa"/>
            <w:tcBorders>
              <w:top w:val="nil"/>
              <w:left w:val="nil"/>
              <w:bottom w:val="single" w:sz="8" w:space="0" w:color="auto"/>
              <w:right w:val="single" w:sz="8" w:space="0" w:color="auto"/>
            </w:tcBorders>
            <w:shd w:val="clear" w:color="auto" w:fill="auto"/>
            <w:noWrap/>
            <w:vAlign w:val="center"/>
            <w:hideMark/>
          </w:tcPr>
          <w:p w14:paraId="6A1F8F9A" w14:textId="77777777" w:rsidR="00E35C50" w:rsidRDefault="00E35C50" w:rsidP="00E85F4B">
            <w:pPr>
              <w:jc w:val="center"/>
              <w:rPr>
                <w:rFonts w:ascii="Aptos Narrow" w:hAnsi="Aptos Narrow"/>
                <w:color w:val="000000"/>
              </w:rPr>
            </w:pPr>
            <w:r>
              <w:rPr>
                <w:rFonts w:ascii="Aptos Narrow" w:hAnsi="Aptos Narrow"/>
                <w:color w:val="000000"/>
              </w:rPr>
              <w:t>8.739</w:t>
            </w:r>
          </w:p>
        </w:tc>
        <w:tc>
          <w:tcPr>
            <w:tcW w:w="1960" w:type="dxa"/>
            <w:tcBorders>
              <w:top w:val="nil"/>
              <w:left w:val="nil"/>
              <w:bottom w:val="single" w:sz="8" w:space="0" w:color="auto"/>
              <w:right w:val="single" w:sz="8" w:space="0" w:color="auto"/>
            </w:tcBorders>
            <w:shd w:val="clear" w:color="auto" w:fill="auto"/>
            <w:noWrap/>
            <w:vAlign w:val="center"/>
            <w:hideMark/>
          </w:tcPr>
          <w:p w14:paraId="57D4FA42" w14:textId="77777777" w:rsidR="00E35C50" w:rsidRDefault="00E35C50" w:rsidP="00E85F4B">
            <w:pPr>
              <w:jc w:val="center"/>
              <w:rPr>
                <w:rFonts w:ascii="Aptos Narrow" w:hAnsi="Aptos Narrow"/>
                <w:color w:val="000000"/>
              </w:rPr>
            </w:pPr>
            <w:r>
              <w:rPr>
                <w:rFonts w:ascii="Aptos Narrow" w:hAnsi="Aptos Narrow"/>
                <w:color w:val="000000"/>
              </w:rPr>
              <w:t>4.948</w:t>
            </w:r>
          </w:p>
        </w:tc>
        <w:tc>
          <w:tcPr>
            <w:tcW w:w="1760" w:type="dxa"/>
            <w:tcBorders>
              <w:top w:val="nil"/>
              <w:left w:val="nil"/>
              <w:bottom w:val="single" w:sz="8" w:space="0" w:color="auto"/>
              <w:right w:val="single" w:sz="8" w:space="0" w:color="auto"/>
            </w:tcBorders>
            <w:shd w:val="clear" w:color="auto" w:fill="auto"/>
            <w:noWrap/>
            <w:vAlign w:val="center"/>
            <w:hideMark/>
          </w:tcPr>
          <w:p w14:paraId="2091A4B9" w14:textId="77777777" w:rsidR="00E35C50" w:rsidRDefault="00E35C50" w:rsidP="00E85F4B">
            <w:pPr>
              <w:jc w:val="center"/>
              <w:rPr>
                <w:rFonts w:ascii="Aptos Narrow" w:hAnsi="Aptos Narrow"/>
                <w:color w:val="000000"/>
              </w:rPr>
            </w:pPr>
            <w:r>
              <w:rPr>
                <w:rFonts w:ascii="Aptos Narrow" w:hAnsi="Aptos Narrow"/>
                <w:color w:val="000000"/>
              </w:rPr>
              <w:t>15.697</w:t>
            </w:r>
          </w:p>
        </w:tc>
      </w:tr>
      <w:tr w:rsidR="00E35C50" w14:paraId="745CB8C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6FF82C77" w14:textId="77777777" w:rsidR="00E35C50" w:rsidRDefault="00E35C50" w:rsidP="00E85F4B">
            <w:pPr>
              <w:jc w:val="center"/>
              <w:rPr>
                <w:rFonts w:ascii="Aptos Narrow" w:hAnsi="Aptos Narrow"/>
                <w:color w:val="000000"/>
              </w:rPr>
            </w:pPr>
            <w:r>
              <w:rPr>
                <w:rFonts w:ascii="Aptos Narrow" w:hAnsi="Aptos Narrow"/>
                <w:color w:val="000000"/>
              </w:rPr>
              <w:t>2017</w:t>
            </w:r>
          </w:p>
        </w:tc>
        <w:tc>
          <w:tcPr>
            <w:tcW w:w="1960" w:type="dxa"/>
            <w:tcBorders>
              <w:top w:val="nil"/>
              <w:left w:val="nil"/>
              <w:bottom w:val="single" w:sz="8" w:space="0" w:color="auto"/>
              <w:right w:val="single" w:sz="8" w:space="0" w:color="auto"/>
            </w:tcBorders>
            <w:shd w:val="clear" w:color="auto" w:fill="auto"/>
            <w:noWrap/>
            <w:vAlign w:val="center"/>
            <w:hideMark/>
          </w:tcPr>
          <w:p w14:paraId="1ECEBB42" w14:textId="77777777" w:rsidR="00E35C50" w:rsidRDefault="00E35C50" w:rsidP="00E85F4B">
            <w:pPr>
              <w:jc w:val="center"/>
              <w:rPr>
                <w:rFonts w:ascii="Aptos Narrow" w:hAnsi="Aptos Narrow"/>
                <w:color w:val="000000"/>
              </w:rPr>
            </w:pPr>
            <w:r>
              <w:rPr>
                <w:rFonts w:ascii="Aptos Narrow" w:hAnsi="Aptos Narrow"/>
                <w:color w:val="000000"/>
              </w:rPr>
              <w:t>3.446</w:t>
            </w:r>
          </w:p>
        </w:tc>
        <w:tc>
          <w:tcPr>
            <w:tcW w:w="1960" w:type="dxa"/>
            <w:tcBorders>
              <w:top w:val="nil"/>
              <w:left w:val="nil"/>
              <w:bottom w:val="single" w:sz="8" w:space="0" w:color="auto"/>
              <w:right w:val="single" w:sz="8" w:space="0" w:color="auto"/>
            </w:tcBorders>
            <w:shd w:val="clear" w:color="auto" w:fill="auto"/>
            <w:noWrap/>
            <w:vAlign w:val="center"/>
            <w:hideMark/>
          </w:tcPr>
          <w:p w14:paraId="7BF28759" w14:textId="77777777" w:rsidR="00E35C50" w:rsidRDefault="00E35C50" w:rsidP="00E85F4B">
            <w:pPr>
              <w:jc w:val="center"/>
              <w:rPr>
                <w:rFonts w:ascii="Aptos Narrow" w:hAnsi="Aptos Narrow"/>
                <w:color w:val="000000"/>
              </w:rPr>
            </w:pPr>
            <w:r>
              <w:rPr>
                <w:rFonts w:ascii="Aptos Narrow" w:hAnsi="Aptos Narrow"/>
                <w:color w:val="000000"/>
              </w:rPr>
              <w:t>3.328</w:t>
            </w:r>
          </w:p>
        </w:tc>
        <w:tc>
          <w:tcPr>
            <w:tcW w:w="1760" w:type="dxa"/>
            <w:tcBorders>
              <w:top w:val="nil"/>
              <w:left w:val="nil"/>
              <w:bottom w:val="single" w:sz="8" w:space="0" w:color="auto"/>
              <w:right w:val="single" w:sz="8" w:space="0" w:color="auto"/>
            </w:tcBorders>
            <w:shd w:val="clear" w:color="auto" w:fill="auto"/>
            <w:noWrap/>
            <w:vAlign w:val="center"/>
            <w:hideMark/>
          </w:tcPr>
          <w:p w14:paraId="223F6043" w14:textId="77777777" w:rsidR="00E35C50" w:rsidRDefault="00E35C50" w:rsidP="00E85F4B">
            <w:pPr>
              <w:jc w:val="center"/>
              <w:rPr>
                <w:rFonts w:ascii="Aptos Narrow" w:hAnsi="Aptos Narrow"/>
                <w:color w:val="000000"/>
              </w:rPr>
            </w:pPr>
            <w:r>
              <w:rPr>
                <w:rFonts w:ascii="Aptos Narrow" w:hAnsi="Aptos Narrow"/>
                <w:color w:val="000000"/>
              </w:rPr>
              <w:t>16.502</w:t>
            </w:r>
          </w:p>
        </w:tc>
      </w:tr>
      <w:tr w:rsidR="00E35C50" w14:paraId="467A020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429FE0B" w14:textId="77777777" w:rsidR="00E35C50" w:rsidRDefault="00E35C50" w:rsidP="00E85F4B">
            <w:pPr>
              <w:jc w:val="center"/>
              <w:rPr>
                <w:rFonts w:ascii="Aptos Narrow" w:hAnsi="Aptos Narrow"/>
                <w:color w:val="000000"/>
              </w:rPr>
            </w:pPr>
            <w:r>
              <w:rPr>
                <w:rFonts w:ascii="Aptos Narrow" w:hAnsi="Aptos Narrow"/>
                <w:color w:val="000000"/>
              </w:rPr>
              <w:t>2018</w:t>
            </w:r>
          </w:p>
        </w:tc>
        <w:tc>
          <w:tcPr>
            <w:tcW w:w="1960" w:type="dxa"/>
            <w:tcBorders>
              <w:top w:val="nil"/>
              <w:left w:val="nil"/>
              <w:bottom w:val="single" w:sz="8" w:space="0" w:color="auto"/>
              <w:right w:val="single" w:sz="8" w:space="0" w:color="auto"/>
            </w:tcBorders>
            <w:shd w:val="clear" w:color="auto" w:fill="auto"/>
            <w:noWrap/>
            <w:vAlign w:val="center"/>
            <w:hideMark/>
          </w:tcPr>
          <w:p w14:paraId="7A03ABC2" w14:textId="77777777" w:rsidR="00E35C50" w:rsidRDefault="00E35C50" w:rsidP="00E85F4B">
            <w:pPr>
              <w:jc w:val="center"/>
              <w:rPr>
                <w:rFonts w:ascii="Aptos Narrow" w:hAnsi="Aptos Narrow"/>
                <w:color w:val="000000"/>
              </w:rPr>
            </w:pPr>
            <w:r>
              <w:rPr>
                <w:rFonts w:ascii="Aptos Narrow" w:hAnsi="Aptos Narrow"/>
                <w:color w:val="000000"/>
              </w:rPr>
              <w:t>3.665</w:t>
            </w:r>
          </w:p>
        </w:tc>
        <w:tc>
          <w:tcPr>
            <w:tcW w:w="1960" w:type="dxa"/>
            <w:tcBorders>
              <w:top w:val="nil"/>
              <w:left w:val="nil"/>
              <w:bottom w:val="single" w:sz="8" w:space="0" w:color="auto"/>
              <w:right w:val="single" w:sz="8" w:space="0" w:color="auto"/>
            </w:tcBorders>
            <w:shd w:val="clear" w:color="auto" w:fill="auto"/>
            <w:noWrap/>
            <w:vAlign w:val="center"/>
            <w:hideMark/>
          </w:tcPr>
          <w:p w14:paraId="79E1216B" w14:textId="77777777" w:rsidR="00E35C50" w:rsidRDefault="00E35C50" w:rsidP="00E85F4B">
            <w:pPr>
              <w:jc w:val="center"/>
              <w:rPr>
                <w:rFonts w:ascii="Aptos Narrow" w:hAnsi="Aptos Narrow"/>
                <w:color w:val="000000"/>
              </w:rPr>
            </w:pPr>
            <w:r>
              <w:rPr>
                <w:rFonts w:ascii="Aptos Narrow" w:hAnsi="Aptos Narrow"/>
                <w:color w:val="000000"/>
              </w:rPr>
              <w:t>3.939</w:t>
            </w:r>
          </w:p>
        </w:tc>
        <w:tc>
          <w:tcPr>
            <w:tcW w:w="1760" w:type="dxa"/>
            <w:tcBorders>
              <w:top w:val="nil"/>
              <w:left w:val="nil"/>
              <w:bottom w:val="single" w:sz="8" w:space="0" w:color="auto"/>
              <w:right w:val="single" w:sz="8" w:space="0" w:color="auto"/>
            </w:tcBorders>
            <w:shd w:val="clear" w:color="auto" w:fill="auto"/>
            <w:noWrap/>
            <w:vAlign w:val="center"/>
            <w:hideMark/>
          </w:tcPr>
          <w:p w14:paraId="4CCBEE19" w14:textId="77777777" w:rsidR="00E35C50" w:rsidRDefault="00E35C50" w:rsidP="00E85F4B">
            <w:pPr>
              <w:jc w:val="center"/>
              <w:rPr>
                <w:rFonts w:ascii="Aptos Narrow" w:hAnsi="Aptos Narrow"/>
                <w:color w:val="000000"/>
              </w:rPr>
            </w:pPr>
            <w:r>
              <w:rPr>
                <w:rFonts w:ascii="Aptos Narrow" w:hAnsi="Aptos Narrow"/>
                <w:color w:val="000000"/>
              </w:rPr>
              <w:t>12.095</w:t>
            </w:r>
          </w:p>
        </w:tc>
      </w:tr>
      <w:tr w:rsidR="00E35C50" w14:paraId="2B042195"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1ACDBA6" w14:textId="77777777" w:rsidR="00E35C50" w:rsidRDefault="00E35C50" w:rsidP="00E85F4B">
            <w:pPr>
              <w:jc w:val="center"/>
              <w:rPr>
                <w:rFonts w:ascii="Aptos Narrow" w:hAnsi="Aptos Narrow"/>
                <w:color w:val="000000"/>
              </w:rPr>
            </w:pPr>
            <w:r>
              <w:rPr>
                <w:rFonts w:ascii="Aptos Narrow" w:hAnsi="Aptos Narrow"/>
                <w:color w:val="000000"/>
              </w:rPr>
              <w:t>2019</w:t>
            </w:r>
          </w:p>
        </w:tc>
        <w:tc>
          <w:tcPr>
            <w:tcW w:w="1960" w:type="dxa"/>
            <w:tcBorders>
              <w:top w:val="nil"/>
              <w:left w:val="nil"/>
              <w:bottom w:val="single" w:sz="8" w:space="0" w:color="auto"/>
              <w:right w:val="single" w:sz="8" w:space="0" w:color="auto"/>
            </w:tcBorders>
            <w:shd w:val="clear" w:color="auto" w:fill="auto"/>
            <w:noWrap/>
            <w:vAlign w:val="center"/>
            <w:hideMark/>
          </w:tcPr>
          <w:p w14:paraId="6F735AF9" w14:textId="77777777" w:rsidR="00E35C50" w:rsidRDefault="00E35C50" w:rsidP="00E85F4B">
            <w:pPr>
              <w:jc w:val="center"/>
              <w:rPr>
                <w:rFonts w:ascii="Aptos Narrow" w:hAnsi="Aptos Narrow"/>
                <w:color w:val="000000"/>
              </w:rPr>
            </w:pPr>
            <w:r>
              <w:rPr>
                <w:rFonts w:ascii="Aptos Narrow" w:hAnsi="Aptos Narrow"/>
                <w:color w:val="000000"/>
              </w:rPr>
              <w:t>3.733</w:t>
            </w:r>
          </w:p>
        </w:tc>
        <w:tc>
          <w:tcPr>
            <w:tcW w:w="1960" w:type="dxa"/>
            <w:tcBorders>
              <w:top w:val="nil"/>
              <w:left w:val="nil"/>
              <w:bottom w:val="single" w:sz="8" w:space="0" w:color="auto"/>
              <w:right w:val="single" w:sz="8" w:space="0" w:color="auto"/>
            </w:tcBorders>
            <w:shd w:val="clear" w:color="auto" w:fill="auto"/>
            <w:noWrap/>
            <w:vAlign w:val="center"/>
            <w:hideMark/>
          </w:tcPr>
          <w:p w14:paraId="37760356" w14:textId="77777777" w:rsidR="00E35C50" w:rsidRDefault="00E35C50" w:rsidP="00E85F4B">
            <w:pPr>
              <w:jc w:val="center"/>
              <w:rPr>
                <w:rFonts w:ascii="Aptos Narrow" w:hAnsi="Aptos Narrow"/>
                <w:color w:val="000000"/>
              </w:rPr>
            </w:pPr>
            <w:r>
              <w:rPr>
                <w:rFonts w:ascii="Aptos Narrow" w:hAnsi="Aptos Narrow"/>
                <w:color w:val="000000"/>
              </w:rPr>
              <w:t>3.730</w:t>
            </w:r>
          </w:p>
        </w:tc>
        <w:tc>
          <w:tcPr>
            <w:tcW w:w="1760" w:type="dxa"/>
            <w:tcBorders>
              <w:top w:val="nil"/>
              <w:left w:val="nil"/>
              <w:bottom w:val="single" w:sz="8" w:space="0" w:color="auto"/>
              <w:right w:val="single" w:sz="8" w:space="0" w:color="auto"/>
            </w:tcBorders>
            <w:shd w:val="clear" w:color="auto" w:fill="auto"/>
            <w:noWrap/>
            <w:vAlign w:val="center"/>
            <w:hideMark/>
          </w:tcPr>
          <w:p w14:paraId="456ABDE7" w14:textId="77777777" w:rsidR="00E35C50" w:rsidRDefault="00E35C50" w:rsidP="00E85F4B">
            <w:pPr>
              <w:jc w:val="center"/>
              <w:rPr>
                <w:rFonts w:ascii="Aptos Narrow" w:hAnsi="Aptos Narrow"/>
                <w:color w:val="000000"/>
              </w:rPr>
            </w:pPr>
            <w:r>
              <w:rPr>
                <w:rFonts w:ascii="Aptos Narrow" w:hAnsi="Aptos Narrow"/>
                <w:color w:val="000000"/>
              </w:rPr>
              <w:t>11.396</w:t>
            </w:r>
          </w:p>
        </w:tc>
      </w:tr>
      <w:tr w:rsidR="00E35C50" w14:paraId="5A7DA093"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88922BA" w14:textId="77777777" w:rsidR="00E35C50" w:rsidRDefault="00E35C50" w:rsidP="00E85F4B">
            <w:pPr>
              <w:jc w:val="center"/>
              <w:rPr>
                <w:rFonts w:ascii="Aptos Narrow" w:hAnsi="Aptos Narrow"/>
                <w:color w:val="000000"/>
              </w:rPr>
            </w:pPr>
            <w:r>
              <w:rPr>
                <w:rFonts w:ascii="Aptos Narrow" w:hAnsi="Aptos Narrow"/>
                <w:color w:val="000000"/>
              </w:rPr>
              <w:t>2020</w:t>
            </w:r>
          </w:p>
        </w:tc>
        <w:tc>
          <w:tcPr>
            <w:tcW w:w="1960" w:type="dxa"/>
            <w:tcBorders>
              <w:top w:val="nil"/>
              <w:left w:val="nil"/>
              <w:bottom w:val="single" w:sz="8" w:space="0" w:color="auto"/>
              <w:right w:val="single" w:sz="8" w:space="0" w:color="auto"/>
            </w:tcBorders>
            <w:shd w:val="clear" w:color="auto" w:fill="auto"/>
            <w:noWrap/>
            <w:vAlign w:val="center"/>
            <w:hideMark/>
          </w:tcPr>
          <w:p w14:paraId="20060BFE" w14:textId="77777777" w:rsidR="00E35C50" w:rsidRDefault="00E35C50" w:rsidP="00E85F4B">
            <w:pPr>
              <w:jc w:val="center"/>
              <w:rPr>
                <w:rFonts w:ascii="Aptos Narrow" w:hAnsi="Aptos Narrow"/>
                <w:color w:val="000000"/>
              </w:rPr>
            </w:pPr>
            <w:r>
              <w:rPr>
                <w:rFonts w:ascii="Aptos Narrow" w:hAnsi="Aptos Narrow"/>
                <w:color w:val="000000"/>
              </w:rPr>
              <w:t>3.212</w:t>
            </w:r>
          </w:p>
        </w:tc>
        <w:tc>
          <w:tcPr>
            <w:tcW w:w="1960" w:type="dxa"/>
            <w:tcBorders>
              <w:top w:val="nil"/>
              <w:left w:val="nil"/>
              <w:bottom w:val="single" w:sz="8" w:space="0" w:color="auto"/>
              <w:right w:val="single" w:sz="8" w:space="0" w:color="auto"/>
            </w:tcBorders>
            <w:shd w:val="clear" w:color="auto" w:fill="auto"/>
            <w:noWrap/>
            <w:vAlign w:val="center"/>
            <w:hideMark/>
          </w:tcPr>
          <w:p w14:paraId="2306E19F" w14:textId="77777777" w:rsidR="00E35C50" w:rsidRDefault="00E35C50" w:rsidP="00E85F4B">
            <w:pPr>
              <w:jc w:val="center"/>
              <w:rPr>
                <w:rFonts w:ascii="Aptos Narrow" w:hAnsi="Aptos Narrow"/>
                <w:color w:val="000000"/>
              </w:rPr>
            </w:pPr>
            <w:r>
              <w:rPr>
                <w:rFonts w:ascii="Aptos Narrow" w:hAnsi="Aptos Narrow"/>
                <w:color w:val="000000"/>
              </w:rPr>
              <w:t>6.623</w:t>
            </w:r>
          </w:p>
        </w:tc>
        <w:tc>
          <w:tcPr>
            <w:tcW w:w="1760" w:type="dxa"/>
            <w:tcBorders>
              <w:top w:val="nil"/>
              <w:left w:val="nil"/>
              <w:bottom w:val="single" w:sz="8" w:space="0" w:color="auto"/>
              <w:right w:val="single" w:sz="8" w:space="0" w:color="auto"/>
            </w:tcBorders>
            <w:shd w:val="clear" w:color="auto" w:fill="auto"/>
            <w:noWrap/>
            <w:vAlign w:val="center"/>
            <w:hideMark/>
          </w:tcPr>
          <w:p w14:paraId="5A0A5C23" w14:textId="77777777" w:rsidR="00E35C50" w:rsidRDefault="00E35C50" w:rsidP="00E85F4B">
            <w:pPr>
              <w:jc w:val="center"/>
              <w:rPr>
                <w:rFonts w:ascii="Aptos Narrow" w:hAnsi="Aptos Narrow"/>
                <w:color w:val="000000"/>
              </w:rPr>
            </w:pPr>
            <w:r>
              <w:rPr>
                <w:rFonts w:ascii="Aptos Narrow" w:hAnsi="Aptos Narrow"/>
                <w:color w:val="000000"/>
              </w:rPr>
              <w:t>13.246</w:t>
            </w:r>
          </w:p>
        </w:tc>
      </w:tr>
      <w:tr w:rsidR="00E35C50" w14:paraId="3CD1B37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0861CE4" w14:textId="77777777" w:rsidR="00E35C50" w:rsidRDefault="00E35C50" w:rsidP="00E85F4B">
            <w:pPr>
              <w:jc w:val="center"/>
              <w:rPr>
                <w:rFonts w:ascii="Aptos Narrow" w:hAnsi="Aptos Narrow"/>
                <w:color w:val="000000"/>
              </w:rPr>
            </w:pPr>
            <w:r>
              <w:rPr>
                <w:rFonts w:ascii="Aptos Narrow" w:hAnsi="Aptos Narrow"/>
                <w:color w:val="000000"/>
              </w:rPr>
              <w:t>2021</w:t>
            </w:r>
          </w:p>
        </w:tc>
        <w:tc>
          <w:tcPr>
            <w:tcW w:w="1960" w:type="dxa"/>
            <w:tcBorders>
              <w:top w:val="nil"/>
              <w:left w:val="nil"/>
              <w:bottom w:val="single" w:sz="8" w:space="0" w:color="auto"/>
              <w:right w:val="single" w:sz="8" w:space="0" w:color="auto"/>
            </w:tcBorders>
            <w:shd w:val="clear" w:color="auto" w:fill="auto"/>
            <w:noWrap/>
            <w:vAlign w:val="center"/>
            <w:hideMark/>
          </w:tcPr>
          <w:p w14:paraId="540F2979" w14:textId="77777777" w:rsidR="00E35C50" w:rsidRDefault="00E35C50" w:rsidP="00E85F4B">
            <w:pPr>
              <w:jc w:val="center"/>
              <w:rPr>
                <w:rFonts w:ascii="Aptos Narrow" w:hAnsi="Aptos Narrow"/>
                <w:color w:val="000000"/>
              </w:rPr>
            </w:pPr>
            <w:r>
              <w:rPr>
                <w:rFonts w:ascii="Aptos Narrow" w:hAnsi="Aptos Narrow"/>
                <w:color w:val="000000"/>
              </w:rPr>
              <w:t>8.302</w:t>
            </w:r>
          </w:p>
        </w:tc>
        <w:tc>
          <w:tcPr>
            <w:tcW w:w="1960" w:type="dxa"/>
            <w:tcBorders>
              <w:top w:val="nil"/>
              <w:left w:val="nil"/>
              <w:bottom w:val="single" w:sz="8" w:space="0" w:color="auto"/>
              <w:right w:val="single" w:sz="8" w:space="0" w:color="auto"/>
            </w:tcBorders>
            <w:shd w:val="clear" w:color="auto" w:fill="auto"/>
            <w:noWrap/>
            <w:vAlign w:val="center"/>
            <w:hideMark/>
          </w:tcPr>
          <w:p w14:paraId="64B6EE35" w14:textId="77777777" w:rsidR="00E35C50" w:rsidRDefault="00E35C50" w:rsidP="00E85F4B">
            <w:pPr>
              <w:jc w:val="center"/>
              <w:rPr>
                <w:rFonts w:ascii="Aptos Narrow" w:hAnsi="Aptos Narrow"/>
                <w:color w:val="000000"/>
              </w:rPr>
            </w:pPr>
            <w:r>
              <w:rPr>
                <w:rFonts w:ascii="Aptos Narrow" w:hAnsi="Aptos Narrow"/>
                <w:color w:val="000000"/>
              </w:rPr>
              <w:t>5.131</w:t>
            </w:r>
          </w:p>
        </w:tc>
        <w:tc>
          <w:tcPr>
            <w:tcW w:w="1760" w:type="dxa"/>
            <w:tcBorders>
              <w:top w:val="nil"/>
              <w:left w:val="nil"/>
              <w:bottom w:val="single" w:sz="8" w:space="0" w:color="auto"/>
              <w:right w:val="single" w:sz="8" w:space="0" w:color="auto"/>
            </w:tcBorders>
            <w:shd w:val="clear" w:color="auto" w:fill="auto"/>
            <w:noWrap/>
            <w:vAlign w:val="center"/>
            <w:hideMark/>
          </w:tcPr>
          <w:p w14:paraId="58DD4CA1" w14:textId="77777777" w:rsidR="00E35C50" w:rsidRDefault="00E35C50" w:rsidP="00E85F4B">
            <w:pPr>
              <w:jc w:val="center"/>
              <w:rPr>
                <w:rFonts w:ascii="Aptos Narrow" w:hAnsi="Aptos Narrow"/>
                <w:color w:val="000000"/>
              </w:rPr>
            </w:pPr>
            <w:r>
              <w:rPr>
                <w:rFonts w:ascii="Aptos Narrow" w:hAnsi="Aptos Narrow"/>
                <w:color w:val="000000"/>
              </w:rPr>
              <w:t>16.953</w:t>
            </w:r>
          </w:p>
        </w:tc>
      </w:tr>
      <w:tr w:rsidR="00E35C50" w14:paraId="1A457B6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3DF13E1" w14:textId="77777777" w:rsidR="00E35C50" w:rsidRDefault="00E35C50" w:rsidP="00E85F4B">
            <w:pPr>
              <w:jc w:val="center"/>
              <w:rPr>
                <w:rFonts w:ascii="Aptos Narrow" w:hAnsi="Aptos Narrow"/>
                <w:color w:val="000000"/>
              </w:rPr>
            </w:pPr>
            <w:r>
              <w:rPr>
                <w:rFonts w:ascii="Aptos Narrow" w:hAnsi="Aptos Narrow"/>
                <w:color w:val="000000"/>
              </w:rPr>
              <w:t>2022</w:t>
            </w:r>
          </w:p>
        </w:tc>
        <w:tc>
          <w:tcPr>
            <w:tcW w:w="1960" w:type="dxa"/>
            <w:tcBorders>
              <w:top w:val="nil"/>
              <w:left w:val="nil"/>
              <w:bottom w:val="single" w:sz="8" w:space="0" w:color="auto"/>
              <w:right w:val="single" w:sz="8" w:space="0" w:color="auto"/>
            </w:tcBorders>
            <w:shd w:val="clear" w:color="auto" w:fill="auto"/>
            <w:noWrap/>
            <w:vAlign w:val="center"/>
            <w:hideMark/>
          </w:tcPr>
          <w:p w14:paraId="300A804C" w14:textId="77777777" w:rsidR="00E35C50" w:rsidRDefault="00E35C50" w:rsidP="00E85F4B">
            <w:pPr>
              <w:jc w:val="center"/>
              <w:rPr>
                <w:rFonts w:ascii="Aptos Narrow" w:hAnsi="Aptos Narrow"/>
                <w:color w:val="000000"/>
              </w:rPr>
            </w:pPr>
            <w:r>
              <w:rPr>
                <w:rFonts w:ascii="Aptos Narrow" w:hAnsi="Aptos Narrow"/>
                <w:color w:val="000000"/>
              </w:rPr>
              <w:t>9.280</w:t>
            </w:r>
          </w:p>
        </w:tc>
        <w:tc>
          <w:tcPr>
            <w:tcW w:w="1960" w:type="dxa"/>
            <w:tcBorders>
              <w:top w:val="nil"/>
              <w:left w:val="nil"/>
              <w:bottom w:val="single" w:sz="8" w:space="0" w:color="auto"/>
              <w:right w:val="single" w:sz="8" w:space="0" w:color="auto"/>
            </w:tcBorders>
            <w:shd w:val="clear" w:color="auto" w:fill="auto"/>
            <w:noWrap/>
            <w:vAlign w:val="center"/>
            <w:hideMark/>
          </w:tcPr>
          <w:p w14:paraId="1DE8AA1F" w14:textId="77777777" w:rsidR="00E35C50" w:rsidRDefault="00E35C50" w:rsidP="00E85F4B">
            <w:pPr>
              <w:jc w:val="center"/>
              <w:rPr>
                <w:rFonts w:ascii="Aptos Narrow" w:hAnsi="Aptos Narrow"/>
                <w:color w:val="000000"/>
              </w:rPr>
            </w:pPr>
            <w:r>
              <w:rPr>
                <w:rFonts w:ascii="Aptos Narrow" w:hAnsi="Aptos Narrow"/>
                <w:color w:val="000000"/>
              </w:rPr>
              <w:t>6.699</w:t>
            </w:r>
          </w:p>
        </w:tc>
        <w:tc>
          <w:tcPr>
            <w:tcW w:w="1760" w:type="dxa"/>
            <w:tcBorders>
              <w:top w:val="nil"/>
              <w:left w:val="nil"/>
              <w:bottom w:val="single" w:sz="8" w:space="0" w:color="auto"/>
              <w:right w:val="single" w:sz="8" w:space="0" w:color="auto"/>
            </w:tcBorders>
            <w:shd w:val="clear" w:color="auto" w:fill="auto"/>
            <w:noWrap/>
            <w:vAlign w:val="center"/>
            <w:hideMark/>
          </w:tcPr>
          <w:p w14:paraId="01D317D2" w14:textId="77777777" w:rsidR="00E35C50" w:rsidRDefault="00E35C50" w:rsidP="00E85F4B">
            <w:pPr>
              <w:jc w:val="center"/>
              <w:rPr>
                <w:rFonts w:ascii="Aptos Narrow" w:hAnsi="Aptos Narrow"/>
                <w:color w:val="000000"/>
              </w:rPr>
            </w:pPr>
            <w:r>
              <w:rPr>
                <w:rFonts w:ascii="Aptos Narrow" w:hAnsi="Aptos Narrow"/>
                <w:color w:val="000000"/>
              </w:rPr>
              <w:t>18.847</w:t>
            </w:r>
          </w:p>
        </w:tc>
      </w:tr>
    </w:tbl>
    <w:p w14:paraId="769AF288" w14:textId="77777777" w:rsidR="00E35C50" w:rsidRPr="00D36B48" w:rsidRDefault="00E35C50" w:rsidP="00E35C50">
      <w:pPr>
        <w:pStyle w:val="NormalWeb"/>
        <w:rPr>
          <w:lang w:val="en-US"/>
        </w:rPr>
      </w:pPr>
    </w:p>
    <w:p w14:paraId="31574863" w14:textId="77777777" w:rsidR="00E35C50" w:rsidRDefault="00E35C50" w:rsidP="00E35C50">
      <w:pPr>
        <w:pStyle w:val="NormalWeb"/>
        <w:rPr>
          <w:b/>
          <w:bCs/>
          <w:lang w:val="en-US"/>
        </w:rPr>
      </w:pPr>
    </w:p>
    <w:p w14:paraId="7C80D6E7" w14:textId="77777777" w:rsidR="00E35C50" w:rsidRDefault="00E35C50" w:rsidP="00E35C50">
      <w:pPr>
        <w:pStyle w:val="NormalWeb"/>
        <w:rPr>
          <w:b/>
          <w:bCs/>
          <w:lang w:val="en-US"/>
        </w:rPr>
      </w:pPr>
    </w:p>
    <w:p w14:paraId="75C14D0F" w14:textId="77777777" w:rsidR="00E35C50" w:rsidRDefault="00E35C50" w:rsidP="00E35C50">
      <w:pPr>
        <w:pStyle w:val="NormalWeb"/>
        <w:rPr>
          <w:b/>
          <w:bCs/>
          <w:lang w:val="en-US"/>
        </w:rPr>
      </w:pPr>
    </w:p>
    <w:p w14:paraId="13B61D15" w14:textId="77777777" w:rsidR="00E35C50" w:rsidRDefault="00E35C50" w:rsidP="00E35C50">
      <w:pPr>
        <w:pStyle w:val="NormalWeb"/>
        <w:rPr>
          <w:b/>
          <w:bCs/>
          <w:lang w:val="en-US"/>
        </w:rPr>
      </w:pPr>
    </w:p>
    <w:p w14:paraId="4C866002" w14:textId="77777777" w:rsidR="00E35C50" w:rsidRDefault="00E35C50" w:rsidP="00E35C50">
      <w:pPr>
        <w:pStyle w:val="NormalWeb"/>
        <w:rPr>
          <w:b/>
          <w:bCs/>
          <w:lang w:val="en-US"/>
        </w:rPr>
      </w:pPr>
    </w:p>
    <w:p w14:paraId="5A1DFB1A" w14:textId="77777777" w:rsidR="00E35C50" w:rsidRDefault="00E35C50" w:rsidP="00E35C50">
      <w:pPr>
        <w:pStyle w:val="NormalWeb"/>
        <w:rPr>
          <w:b/>
          <w:bCs/>
          <w:lang w:val="en-US"/>
        </w:rPr>
      </w:pPr>
    </w:p>
    <w:p w14:paraId="4B36EE22" w14:textId="77777777" w:rsidR="00E35C50" w:rsidRDefault="00E35C50" w:rsidP="00E35C50">
      <w:pPr>
        <w:pStyle w:val="NormalWeb"/>
        <w:rPr>
          <w:b/>
          <w:bCs/>
          <w:lang w:val="en-US"/>
        </w:rPr>
      </w:pPr>
      <w:r>
        <w:rPr>
          <w:b/>
          <w:bCs/>
          <w:lang w:val="en-US"/>
        </w:rPr>
        <w:lastRenderedPageBreak/>
        <w:t>Appendix 5:</w:t>
      </w:r>
      <w:r w:rsidRPr="00993A5F">
        <w:rPr>
          <w:b/>
          <w:bCs/>
          <w:lang w:val="en-US"/>
        </w:rPr>
        <w:t xml:space="preserve"> Data base of </w:t>
      </w:r>
      <w:r>
        <w:rPr>
          <w:b/>
          <w:bCs/>
          <w:lang w:val="en-US"/>
        </w:rPr>
        <w:t>change rate in USD</w:t>
      </w:r>
    </w:p>
    <w:p w14:paraId="155A7874" w14:textId="77777777" w:rsidR="00E35C50" w:rsidRDefault="00E35C50" w:rsidP="00E35C50">
      <w:pPr>
        <w:pStyle w:val="NormalWeb"/>
        <w:rPr>
          <w:b/>
          <w:bCs/>
          <w:lang w:val="en-US"/>
        </w:rPr>
      </w:pPr>
    </w:p>
    <w:tbl>
      <w:tblPr>
        <w:tblW w:w="6440" w:type="dxa"/>
        <w:jc w:val="center"/>
        <w:tblCellMar>
          <w:left w:w="70" w:type="dxa"/>
          <w:right w:w="70" w:type="dxa"/>
        </w:tblCellMar>
        <w:tblLook w:val="04A0" w:firstRow="1" w:lastRow="0" w:firstColumn="1" w:lastColumn="0" w:noHBand="0" w:noVBand="1"/>
      </w:tblPr>
      <w:tblGrid>
        <w:gridCol w:w="760"/>
        <w:gridCol w:w="1960"/>
        <w:gridCol w:w="1960"/>
        <w:gridCol w:w="1760"/>
      </w:tblGrid>
      <w:tr w:rsidR="00E35C50" w14:paraId="278F1D11" w14:textId="77777777" w:rsidTr="00E85F4B">
        <w:trPr>
          <w:trHeight w:val="340"/>
          <w:jc w:val="center"/>
        </w:trPr>
        <w:tc>
          <w:tcPr>
            <w:tcW w:w="76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ACBB569" w14:textId="77777777" w:rsidR="00E35C50" w:rsidRDefault="00E35C50" w:rsidP="00E85F4B">
            <w:pPr>
              <w:jc w:val="center"/>
              <w:rPr>
                <w:rFonts w:ascii="Aptos Narrow" w:hAnsi="Aptos Narrow"/>
                <w:b/>
                <w:bCs/>
                <w:color w:val="000000"/>
              </w:rPr>
            </w:pPr>
            <w:r>
              <w:rPr>
                <w:rFonts w:ascii="Aptos Narrow" w:hAnsi="Aptos Narrow"/>
                <w:b/>
                <w:bCs/>
                <w:color w:val="000000"/>
              </w:rPr>
              <w:t>Year</w:t>
            </w:r>
          </w:p>
        </w:tc>
        <w:tc>
          <w:tcPr>
            <w:tcW w:w="1960" w:type="dxa"/>
            <w:tcBorders>
              <w:top w:val="single" w:sz="8" w:space="0" w:color="auto"/>
              <w:left w:val="nil"/>
              <w:bottom w:val="single" w:sz="8" w:space="0" w:color="auto"/>
              <w:right w:val="single" w:sz="8" w:space="0" w:color="auto"/>
            </w:tcBorders>
            <w:shd w:val="clear" w:color="auto" w:fill="auto"/>
            <w:noWrap/>
            <w:vAlign w:val="center"/>
            <w:hideMark/>
          </w:tcPr>
          <w:p w14:paraId="03FB4AA0" w14:textId="77777777" w:rsidR="00E35C50" w:rsidRDefault="00E35C50" w:rsidP="00E85F4B">
            <w:pPr>
              <w:jc w:val="center"/>
              <w:rPr>
                <w:rFonts w:ascii="Aptos Narrow" w:hAnsi="Aptos Narrow"/>
                <w:b/>
                <w:bCs/>
                <w:color w:val="000000"/>
              </w:rPr>
            </w:pPr>
            <w:r>
              <w:rPr>
                <w:rFonts w:ascii="Aptos Narrow" w:hAnsi="Aptos Narrow"/>
                <w:b/>
                <w:bCs/>
                <w:color w:val="000000"/>
              </w:rPr>
              <w:t>Brazil</w:t>
            </w:r>
          </w:p>
        </w:tc>
        <w:tc>
          <w:tcPr>
            <w:tcW w:w="1960" w:type="dxa"/>
            <w:tcBorders>
              <w:top w:val="single" w:sz="8" w:space="0" w:color="auto"/>
              <w:left w:val="nil"/>
              <w:bottom w:val="single" w:sz="8" w:space="0" w:color="auto"/>
              <w:right w:val="single" w:sz="8" w:space="0" w:color="auto"/>
            </w:tcBorders>
            <w:shd w:val="clear" w:color="auto" w:fill="auto"/>
            <w:noWrap/>
            <w:vAlign w:val="center"/>
            <w:hideMark/>
          </w:tcPr>
          <w:p w14:paraId="5A6A888E" w14:textId="77777777" w:rsidR="00E35C50" w:rsidRDefault="00E35C50" w:rsidP="00E85F4B">
            <w:pPr>
              <w:jc w:val="center"/>
              <w:rPr>
                <w:rFonts w:ascii="Aptos Narrow" w:hAnsi="Aptos Narrow"/>
                <w:b/>
                <w:bCs/>
                <w:color w:val="000000"/>
              </w:rPr>
            </w:pPr>
            <w:r>
              <w:rPr>
                <w:rFonts w:ascii="Aptos Narrow" w:hAnsi="Aptos Narrow"/>
                <w:b/>
                <w:bCs/>
                <w:color w:val="000000"/>
              </w:rPr>
              <w:t>India</w:t>
            </w:r>
          </w:p>
        </w:tc>
        <w:tc>
          <w:tcPr>
            <w:tcW w:w="1760" w:type="dxa"/>
            <w:tcBorders>
              <w:top w:val="single" w:sz="8" w:space="0" w:color="auto"/>
              <w:left w:val="nil"/>
              <w:bottom w:val="single" w:sz="8" w:space="0" w:color="auto"/>
              <w:right w:val="single" w:sz="8" w:space="0" w:color="auto"/>
            </w:tcBorders>
            <w:shd w:val="clear" w:color="auto" w:fill="auto"/>
            <w:noWrap/>
            <w:vAlign w:val="center"/>
            <w:hideMark/>
          </w:tcPr>
          <w:p w14:paraId="4405A4C6" w14:textId="77777777" w:rsidR="00E35C50" w:rsidRDefault="00E35C50" w:rsidP="00E85F4B">
            <w:pPr>
              <w:jc w:val="center"/>
              <w:rPr>
                <w:rFonts w:ascii="Aptos Narrow" w:hAnsi="Aptos Narrow"/>
                <w:b/>
                <w:bCs/>
                <w:color w:val="000000"/>
              </w:rPr>
            </w:pPr>
            <w:r>
              <w:rPr>
                <w:rFonts w:ascii="Aptos Narrow" w:hAnsi="Aptos Narrow"/>
                <w:b/>
                <w:bCs/>
                <w:color w:val="000000"/>
              </w:rPr>
              <w:t>Nigeria</w:t>
            </w:r>
          </w:p>
        </w:tc>
      </w:tr>
      <w:tr w:rsidR="00E35C50" w14:paraId="0E3CFC58"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85AE68C" w14:textId="77777777" w:rsidR="00E35C50" w:rsidRDefault="00E35C50" w:rsidP="00E85F4B">
            <w:pPr>
              <w:jc w:val="center"/>
              <w:rPr>
                <w:rFonts w:ascii="Aptos Narrow" w:hAnsi="Aptos Narrow"/>
                <w:color w:val="000000"/>
              </w:rPr>
            </w:pPr>
            <w:r>
              <w:rPr>
                <w:rFonts w:ascii="Aptos Narrow" w:hAnsi="Aptos Narrow"/>
                <w:color w:val="000000"/>
              </w:rPr>
              <w:t>2000</w:t>
            </w:r>
          </w:p>
        </w:tc>
        <w:tc>
          <w:tcPr>
            <w:tcW w:w="1960" w:type="dxa"/>
            <w:tcBorders>
              <w:top w:val="nil"/>
              <w:left w:val="nil"/>
              <w:bottom w:val="single" w:sz="8" w:space="0" w:color="auto"/>
              <w:right w:val="single" w:sz="8" w:space="0" w:color="auto"/>
            </w:tcBorders>
            <w:shd w:val="clear" w:color="auto" w:fill="auto"/>
            <w:noWrap/>
            <w:vAlign w:val="center"/>
            <w:hideMark/>
          </w:tcPr>
          <w:p w14:paraId="124B6CBE" w14:textId="77777777" w:rsidR="00E35C50" w:rsidRDefault="00E35C50" w:rsidP="00E85F4B">
            <w:pPr>
              <w:jc w:val="center"/>
              <w:rPr>
                <w:rFonts w:ascii="Aptos Narrow" w:hAnsi="Aptos Narrow"/>
                <w:color w:val="000000"/>
              </w:rPr>
            </w:pPr>
            <w:r>
              <w:rPr>
                <w:rFonts w:ascii="Aptos Narrow" w:hAnsi="Aptos Narrow"/>
                <w:color w:val="000000"/>
              </w:rPr>
              <w:t>1.8294</w:t>
            </w:r>
          </w:p>
        </w:tc>
        <w:tc>
          <w:tcPr>
            <w:tcW w:w="1960" w:type="dxa"/>
            <w:tcBorders>
              <w:top w:val="nil"/>
              <w:left w:val="nil"/>
              <w:bottom w:val="single" w:sz="8" w:space="0" w:color="auto"/>
              <w:right w:val="single" w:sz="8" w:space="0" w:color="auto"/>
            </w:tcBorders>
            <w:shd w:val="clear" w:color="auto" w:fill="auto"/>
            <w:noWrap/>
            <w:vAlign w:val="center"/>
            <w:hideMark/>
          </w:tcPr>
          <w:p w14:paraId="72976D5E" w14:textId="77777777" w:rsidR="00E35C50" w:rsidRDefault="00E35C50" w:rsidP="00E85F4B">
            <w:pPr>
              <w:jc w:val="center"/>
              <w:rPr>
                <w:rFonts w:ascii="Aptos Narrow" w:hAnsi="Aptos Narrow"/>
                <w:color w:val="000000"/>
              </w:rPr>
            </w:pPr>
            <w:r>
              <w:rPr>
                <w:rFonts w:ascii="Aptos Narrow" w:hAnsi="Aptos Narrow"/>
                <w:color w:val="000000"/>
              </w:rPr>
              <w:t>44.9416</w:t>
            </w:r>
          </w:p>
        </w:tc>
        <w:tc>
          <w:tcPr>
            <w:tcW w:w="1760" w:type="dxa"/>
            <w:tcBorders>
              <w:top w:val="nil"/>
              <w:left w:val="nil"/>
              <w:bottom w:val="single" w:sz="8" w:space="0" w:color="auto"/>
              <w:right w:val="single" w:sz="8" w:space="0" w:color="auto"/>
            </w:tcBorders>
            <w:shd w:val="clear" w:color="auto" w:fill="auto"/>
            <w:noWrap/>
            <w:vAlign w:val="center"/>
            <w:hideMark/>
          </w:tcPr>
          <w:p w14:paraId="364B9FC4" w14:textId="77777777" w:rsidR="00E35C50" w:rsidRDefault="00E35C50" w:rsidP="00E85F4B">
            <w:pPr>
              <w:jc w:val="center"/>
              <w:rPr>
                <w:rFonts w:ascii="Aptos Narrow" w:hAnsi="Aptos Narrow"/>
                <w:color w:val="000000"/>
              </w:rPr>
            </w:pPr>
            <w:r>
              <w:rPr>
                <w:rFonts w:ascii="Aptos Narrow" w:hAnsi="Aptos Narrow"/>
                <w:color w:val="000000"/>
              </w:rPr>
              <w:t>101.6973</w:t>
            </w:r>
          </w:p>
        </w:tc>
      </w:tr>
      <w:tr w:rsidR="00E35C50" w14:paraId="10FC6AD1"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4A98326" w14:textId="77777777" w:rsidR="00E35C50" w:rsidRDefault="00E35C50" w:rsidP="00E85F4B">
            <w:pPr>
              <w:jc w:val="center"/>
              <w:rPr>
                <w:rFonts w:ascii="Aptos Narrow" w:hAnsi="Aptos Narrow"/>
                <w:color w:val="000000"/>
              </w:rPr>
            </w:pPr>
            <w:r>
              <w:rPr>
                <w:rFonts w:ascii="Aptos Narrow" w:hAnsi="Aptos Narrow"/>
                <w:color w:val="000000"/>
              </w:rPr>
              <w:t>2001</w:t>
            </w:r>
          </w:p>
        </w:tc>
        <w:tc>
          <w:tcPr>
            <w:tcW w:w="1960" w:type="dxa"/>
            <w:tcBorders>
              <w:top w:val="nil"/>
              <w:left w:val="nil"/>
              <w:bottom w:val="single" w:sz="8" w:space="0" w:color="auto"/>
              <w:right w:val="single" w:sz="8" w:space="0" w:color="auto"/>
            </w:tcBorders>
            <w:shd w:val="clear" w:color="auto" w:fill="auto"/>
            <w:noWrap/>
            <w:vAlign w:val="center"/>
            <w:hideMark/>
          </w:tcPr>
          <w:p w14:paraId="06193814" w14:textId="77777777" w:rsidR="00E35C50" w:rsidRDefault="00E35C50" w:rsidP="00E85F4B">
            <w:pPr>
              <w:jc w:val="center"/>
              <w:rPr>
                <w:rFonts w:ascii="Aptos Narrow" w:hAnsi="Aptos Narrow"/>
                <w:color w:val="000000"/>
              </w:rPr>
            </w:pPr>
            <w:r>
              <w:rPr>
                <w:rFonts w:ascii="Aptos Narrow" w:hAnsi="Aptos Narrow"/>
                <w:color w:val="000000"/>
              </w:rPr>
              <w:t>2.3496</w:t>
            </w:r>
          </w:p>
        </w:tc>
        <w:tc>
          <w:tcPr>
            <w:tcW w:w="1960" w:type="dxa"/>
            <w:tcBorders>
              <w:top w:val="nil"/>
              <w:left w:val="nil"/>
              <w:bottom w:val="single" w:sz="8" w:space="0" w:color="auto"/>
              <w:right w:val="single" w:sz="8" w:space="0" w:color="auto"/>
            </w:tcBorders>
            <w:shd w:val="clear" w:color="auto" w:fill="auto"/>
            <w:noWrap/>
            <w:vAlign w:val="center"/>
            <w:hideMark/>
          </w:tcPr>
          <w:p w14:paraId="108900A1" w14:textId="77777777" w:rsidR="00E35C50" w:rsidRDefault="00E35C50" w:rsidP="00E85F4B">
            <w:pPr>
              <w:jc w:val="center"/>
              <w:rPr>
                <w:rFonts w:ascii="Aptos Narrow" w:hAnsi="Aptos Narrow"/>
                <w:color w:val="000000"/>
              </w:rPr>
            </w:pPr>
            <w:r>
              <w:rPr>
                <w:rFonts w:ascii="Aptos Narrow" w:hAnsi="Aptos Narrow"/>
                <w:color w:val="000000"/>
              </w:rPr>
              <w:t>47.1864</w:t>
            </w:r>
          </w:p>
        </w:tc>
        <w:tc>
          <w:tcPr>
            <w:tcW w:w="1760" w:type="dxa"/>
            <w:tcBorders>
              <w:top w:val="nil"/>
              <w:left w:val="nil"/>
              <w:bottom w:val="single" w:sz="8" w:space="0" w:color="auto"/>
              <w:right w:val="single" w:sz="8" w:space="0" w:color="auto"/>
            </w:tcBorders>
            <w:shd w:val="clear" w:color="auto" w:fill="auto"/>
            <w:noWrap/>
            <w:vAlign w:val="center"/>
            <w:hideMark/>
          </w:tcPr>
          <w:p w14:paraId="72E9DE27" w14:textId="77777777" w:rsidR="00E35C50" w:rsidRDefault="00E35C50" w:rsidP="00E85F4B">
            <w:pPr>
              <w:jc w:val="center"/>
              <w:rPr>
                <w:rFonts w:ascii="Aptos Narrow" w:hAnsi="Aptos Narrow"/>
                <w:color w:val="000000"/>
              </w:rPr>
            </w:pPr>
            <w:r>
              <w:rPr>
                <w:rFonts w:ascii="Aptos Narrow" w:hAnsi="Aptos Narrow"/>
                <w:color w:val="000000"/>
              </w:rPr>
              <w:t>111.2313</w:t>
            </w:r>
          </w:p>
        </w:tc>
      </w:tr>
      <w:tr w:rsidR="00E35C50" w14:paraId="447C2F1C"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E9A9616" w14:textId="77777777" w:rsidR="00E35C50" w:rsidRDefault="00E35C50" w:rsidP="00E85F4B">
            <w:pPr>
              <w:jc w:val="center"/>
              <w:rPr>
                <w:rFonts w:ascii="Aptos Narrow" w:hAnsi="Aptos Narrow"/>
                <w:color w:val="000000"/>
              </w:rPr>
            </w:pPr>
            <w:r>
              <w:rPr>
                <w:rFonts w:ascii="Aptos Narrow" w:hAnsi="Aptos Narrow"/>
                <w:color w:val="000000"/>
              </w:rPr>
              <w:t>2002</w:t>
            </w:r>
          </w:p>
        </w:tc>
        <w:tc>
          <w:tcPr>
            <w:tcW w:w="1960" w:type="dxa"/>
            <w:tcBorders>
              <w:top w:val="nil"/>
              <w:left w:val="nil"/>
              <w:bottom w:val="single" w:sz="8" w:space="0" w:color="auto"/>
              <w:right w:val="single" w:sz="8" w:space="0" w:color="auto"/>
            </w:tcBorders>
            <w:shd w:val="clear" w:color="auto" w:fill="auto"/>
            <w:noWrap/>
            <w:vAlign w:val="center"/>
            <w:hideMark/>
          </w:tcPr>
          <w:p w14:paraId="4B7CB2BE" w14:textId="77777777" w:rsidR="00E35C50" w:rsidRDefault="00E35C50" w:rsidP="00E85F4B">
            <w:pPr>
              <w:jc w:val="center"/>
              <w:rPr>
                <w:rFonts w:ascii="Aptos Narrow" w:hAnsi="Aptos Narrow"/>
                <w:color w:val="000000"/>
              </w:rPr>
            </w:pPr>
            <w:r>
              <w:rPr>
                <w:rFonts w:ascii="Aptos Narrow" w:hAnsi="Aptos Narrow"/>
                <w:color w:val="000000"/>
              </w:rPr>
              <w:t>2.9204</w:t>
            </w:r>
          </w:p>
        </w:tc>
        <w:tc>
          <w:tcPr>
            <w:tcW w:w="1960" w:type="dxa"/>
            <w:tcBorders>
              <w:top w:val="nil"/>
              <w:left w:val="nil"/>
              <w:bottom w:val="single" w:sz="8" w:space="0" w:color="auto"/>
              <w:right w:val="single" w:sz="8" w:space="0" w:color="auto"/>
            </w:tcBorders>
            <w:shd w:val="clear" w:color="auto" w:fill="auto"/>
            <w:noWrap/>
            <w:vAlign w:val="center"/>
            <w:hideMark/>
          </w:tcPr>
          <w:p w14:paraId="09E1FA52" w14:textId="77777777" w:rsidR="00E35C50" w:rsidRDefault="00E35C50" w:rsidP="00E85F4B">
            <w:pPr>
              <w:jc w:val="center"/>
              <w:rPr>
                <w:rFonts w:ascii="Aptos Narrow" w:hAnsi="Aptos Narrow"/>
                <w:color w:val="000000"/>
              </w:rPr>
            </w:pPr>
            <w:r>
              <w:rPr>
                <w:rFonts w:ascii="Aptos Narrow" w:hAnsi="Aptos Narrow"/>
                <w:color w:val="000000"/>
              </w:rPr>
              <w:t>48.6103</w:t>
            </w:r>
          </w:p>
        </w:tc>
        <w:tc>
          <w:tcPr>
            <w:tcW w:w="1760" w:type="dxa"/>
            <w:tcBorders>
              <w:top w:val="nil"/>
              <w:left w:val="nil"/>
              <w:bottom w:val="single" w:sz="8" w:space="0" w:color="auto"/>
              <w:right w:val="single" w:sz="8" w:space="0" w:color="auto"/>
            </w:tcBorders>
            <w:shd w:val="clear" w:color="auto" w:fill="auto"/>
            <w:noWrap/>
            <w:vAlign w:val="center"/>
            <w:hideMark/>
          </w:tcPr>
          <w:p w14:paraId="3D4CC05B" w14:textId="77777777" w:rsidR="00E35C50" w:rsidRDefault="00E35C50" w:rsidP="00E85F4B">
            <w:pPr>
              <w:jc w:val="center"/>
              <w:rPr>
                <w:rFonts w:ascii="Aptos Narrow" w:hAnsi="Aptos Narrow"/>
                <w:color w:val="000000"/>
              </w:rPr>
            </w:pPr>
            <w:r>
              <w:rPr>
                <w:rFonts w:ascii="Aptos Narrow" w:hAnsi="Aptos Narrow"/>
                <w:color w:val="000000"/>
              </w:rPr>
              <w:t>120.5782</w:t>
            </w:r>
          </w:p>
        </w:tc>
      </w:tr>
      <w:tr w:rsidR="00E35C50" w14:paraId="303670E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6B282D05" w14:textId="77777777" w:rsidR="00E35C50" w:rsidRDefault="00E35C50" w:rsidP="00E85F4B">
            <w:pPr>
              <w:jc w:val="center"/>
              <w:rPr>
                <w:rFonts w:ascii="Aptos Narrow" w:hAnsi="Aptos Narrow"/>
                <w:color w:val="000000"/>
              </w:rPr>
            </w:pPr>
            <w:r>
              <w:rPr>
                <w:rFonts w:ascii="Aptos Narrow" w:hAnsi="Aptos Narrow"/>
                <w:color w:val="000000"/>
              </w:rPr>
              <w:t>2003</w:t>
            </w:r>
          </w:p>
        </w:tc>
        <w:tc>
          <w:tcPr>
            <w:tcW w:w="1960" w:type="dxa"/>
            <w:tcBorders>
              <w:top w:val="nil"/>
              <w:left w:val="nil"/>
              <w:bottom w:val="single" w:sz="8" w:space="0" w:color="auto"/>
              <w:right w:val="single" w:sz="8" w:space="0" w:color="auto"/>
            </w:tcBorders>
            <w:shd w:val="clear" w:color="auto" w:fill="auto"/>
            <w:noWrap/>
            <w:vAlign w:val="center"/>
            <w:hideMark/>
          </w:tcPr>
          <w:p w14:paraId="7F540F93" w14:textId="77777777" w:rsidR="00E35C50" w:rsidRDefault="00E35C50" w:rsidP="00E85F4B">
            <w:pPr>
              <w:jc w:val="center"/>
              <w:rPr>
                <w:rFonts w:ascii="Aptos Narrow" w:hAnsi="Aptos Narrow"/>
                <w:color w:val="000000"/>
              </w:rPr>
            </w:pPr>
            <w:r>
              <w:rPr>
                <w:rFonts w:ascii="Aptos Narrow" w:hAnsi="Aptos Narrow"/>
                <w:color w:val="000000"/>
              </w:rPr>
              <w:t>3.0775</w:t>
            </w:r>
          </w:p>
        </w:tc>
        <w:tc>
          <w:tcPr>
            <w:tcW w:w="1960" w:type="dxa"/>
            <w:tcBorders>
              <w:top w:val="nil"/>
              <w:left w:val="nil"/>
              <w:bottom w:val="single" w:sz="8" w:space="0" w:color="auto"/>
              <w:right w:val="single" w:sz="8" w:space="0" w:color="auto"/>
            </w:tcBorders>
            <w:shd w:val="clear" w:color="auto" w:fill="auto"/>
            <w:noWrap/>
            <w:vAlign w:val="center"/>
            <w:hideMark/>
          </w:tcPr>
          <w:p w14:paraId="56E676DB" w14:textId="77777777" w:rsidR="00E35C50" w:rsidRDefault="00E35C50" w:rsidP="00E85F4B">
            <w:pPr>
              <w:jc w:val="center"/>
              <w:rPr>
                <w:rFonts w:ascii="Aptos Narrow" w:hAnsi="Aptos Narrow"/>
                <w:color w:val="000000"/>
              </w:rPr>
            </w:pPr>
            <w:r>
              <w:rPr>
                <w:rFonts w:ascii="Aptos Narrow" w:hAnsi="Aptos Narrow"/>
                <w:color w:val="000000"/>
              </w:rPr>
              <w:t>46.5833</w:t>
            </w:r>
          </w:p>
        </w:tc>
        <w:tc>
          <w:tcPr>
            <w:tcW w:w="1760" w:type="dxa"/>
            <w:tcBorders>
              <w:top w:val="nil"/>
              <w:left w:val="nil"/>
              <w:bottom w:val="single" w:sz="8" w:space="0" w:color="auto"/>
              <w:right w:val="single" w:sz="8" w:space="0" w:color="auto"/>
            </w:tcBorders>
            <w:shd w:val="clear" w:color="auto" w:fill="auto"/>
            <w:noWrap/>
            <w:vAlign w:val="center"/>
            <w:hideMark/>
          </w:tcPr>
          <w:p w14:paraId="626AA485" w14:textId="77777777" w:rsidR="00E35C50" w:rsidRDefault="00E35C50" w:rsidP="00E85F4B">
            <w:pPr>
              <w:jc w:val="center"/>
              <w:rPr>
                <w:rFonts w:ascii="Aptos Narrow" w:hAnsi="Aptos Narrow"/>
                <w:color w:val="000000"/>
              </w:rPr>
            </w:pPr>
            <w:r>
              <w:rPr>
                <w:rFonts w:ascii="Aptos Narrow" w:hAnsi="Aptos Narrow"/>
                <w:color w:val="000000"/>
              </w:rPr>
              <w:t>129.2224</w:t>
            </w:r>
          </w:p>
        </w:tc>
      </w:tr>
      <w:tr w:rsidR="00E35C50" w14:paraId="0D330B20"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3967862" w14:textId="77777777" w:rsidR="00E35C50" w:rsidRDefault="00E35C50" w:rsidP="00E85F4B">
            <w:pPr>
              <w:jc w:val="center"/>
              <w:rPr>
                <w:rFonts w:ascii="Aptos Narrow" w:hAnsi="Aptos Narrow"/>
                <w:color w:val="000000"/>
              </w:rPr>
            </w:pPr>
            <w:r>
              <w:rPr>
                <w:rFonts w:ascii="Aptos Narrow" w:hAnsi="Aptos Narrow"/>
                <w:color w:val="000000"/>
              </w:rPr>
              <w:t>2004</w:t>
            </w:r>
          </w:p>
        </w:tc>
        <w:tc>
          <w:tcPr>
            <w:tcW w:w="1960" w:type="dxa"/>
            <w:tcBorders>
              <w:top w:val="nil"/>
              <w:left w:val="nil"/>
              <w:bottom w:val="single" w:sz="8" w:space="0" w:color="auto"/>
              <w:right w:val="single" w:sz="8" w:space="0" w:color="auto"/>
            </w:tcBorders>
            <w:shd w:val="clear" w:color="auto" w:fill="auto"/>
            <w:noWrap/>
            <w:vAlign w:val="center"/>
            <w:hideMark/>
          </w:tcPr>
          <w:p w14:paraId="2E9503FF" w14:textId="77777777" w:rsidR="00E35C50" w:rsidRDefault="00E35C50" w:rsidP="00E85F4B">
            <w:pPr>
              <w:jc w:val="center"/>
              <w:rPr>
                <w:rFonts w:ascii="Aptos Narrow" w:hAnsi="Aptos Narrow"/>
                <w:color w:val="000000"/>
              </w:rPr>
            </w:pPr>
            <w:r>
              <w:rPr>
                <w:rFonts w:ascii="Aptos Narrow" w:hAnsi="Aptos Narrow"/>
                <w:color w:val="000000"/>
              </w:rPr>
              <w:t>2.9251</w:t>
            </w:r>
          </w:p>
        </w:tc>
        <w:tc>
          <w:tcPr>
            <w:tcW w:w="1960" w:type="dxa"/>
            <w:tcBorders>
              <w:top w:val="nil"/>
              <w:left w:val="nil"/>
              <w:bottom w:val="single" w:sz="8" w:space="0" w:color="auto"/>
              <w:right w:val="single" w:sz="8" w:space="0" w:color="auto"/>
            </w:tcBorders>
            <w:shd w:val="clear" w:color="auto" w:fill="auto"/>
            <w:noWrap/>
            <w:vAlign w:val="center"/>
            <w:hideMark/>
          </w:tcPr>
          <w:p w14:paraId="25C7108D" w14:textId="77777777" w:rsidR="00E35C50" w:rsidRDefault="00E35C50" w:rsidP="00E85F4B">
            <w:pPr>
              <w:jc w:val="center"/>
              <w:rPr>
                <w:rFonts w:ascii="Aptos Narrow" w:hAnsi="Aptos Narrow"/>
                <w:color w:val="000000"/>
              </w:rPr>
            </w:pPr>
            <w:r>
              <w:rPr>
                <w:rFonts w:ascii="Aptos Narrow" w:hAnsi="Aptos Narrow"/>
                <w:color w:val="000000"/>
              </w:rPr>
              <w:t>45.3165</w:t>
            </w:r>
          </w:p>
        </w:tc>
        <w:tc>
          <w:tcPr>
            <w:tcW w:w="1760" w:type="dxa"/>
            <w:tcBorders>
              <w:top w:val="nil"/>
              <w:left w:val="nil"/>
              <w:bottom w:val="single" w:sz="8" w:space="0" w:color="auto"/>
              <w:right w:val="single" w:sz="8" w:space="0" w:color="auto"/>
            </w:tcBorders>
            <w:shd w:val="clear" w:color="auto" w:fill="auto"/>
            <w:noWrap/>
            <w:vAlign w:val="center"/>
            <w:hideMark/>
          </w:tcPr>
          <w:p w14:paraId="60D2AC90" w14:textId="77777777" w:rsidR="00E35C50" w:rsidRDefault="00E35C50" w:rsidP="00E85F4B">
            <w:pPr>
              <w:jc w:val="center"/>
              <w:rPr>
                <w:rFonts w:ascii="Aptos Narrow" w:hAnsi="Aptos Narrow"/>
                <w:color w:val="000000"/>
              </w:rPr>
            </w:pPr>
            <w:r>
              <w:rPr>
                <w:rFonts w:ascii="Aptos Narrow" w:hAnsi="Aptos Narrow"/>
                <w:color w:val="000000"/>
              </w:rPr>
              <w:t>132.8880</w:t>
            </w:r>
          </w:p>
        </w:tc>
      </w:tr>
      <w:tr w:rsidR="00E35C50" w14:paraId="64FEC7D5"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A3E72EF" w14:textId="77777777" w:rsidR="00E35C50" w:rsidRDefault="00E35C50" w:rsidP="00E85F4B">
            <w:pPr>
              <w:jc w:val="center"/>
              <w:rPr>
                <w:rFonts w:ascii="Aptos Narrow" w:hAnsi="Aptos Narrow"/>
                <w:color w:val="000000"/>
              </w:rPr>
            </w:pPr>
            <w:r>
              <w:rPr>
                <w:rFonts w:ascii="Aptos Narrow" w:hAnsi="Aptos Narrow"/>
                <w:color w:val="000000"/>
              </w:rPr>
              <w:t>2005</w:t>
            </w:r>
          </w:p>
        </w:tc>
        <w:tc>
          <w:tcPr>
            <w:tcW w:w="1960" w:type="dxa"/>
            <w:tcBorders>
              <w:top w:val="nil"/>
              <w:left w:val="nil"/>
              <w:bottom w:val="single" w:sz="8" w:space="0" w:color="auto"/>
              <w:right w:val="single" w:sz="8" w:space="0" w:color="auto"/>
            </w:tcBorders>
            <w:shd w:val="clear" w:color="auto" w:fill="auto"/>
            <w:noWrap/>
            <w:vAlign w:val="center"/>
            <w:hideMark/>
          </w:tcPr>
          <w:p w14:paraId="48CC3063" w14:textId="77777777" w:rsidR="00E35C50" w:rsidRDefault="00E35C50" w:rsidP="00E85F4B">
            <w:pPr>
              <w:jc w:val="center"/>
              <w:rPr>
                <w:rFonts w:ascii="Aptos Narrow" w:hAnsi="Aptos Narrow"/>
                <w:color w:val="000000"/>
              </w:rPr>
            </w:pPr>
            <w:r>
              <w:rPr>
                <w:rFonts w:ascii="Aptos Narrow" w:hAnsi="Aptos Narrow"/>
                <w:color w:val="000000"/>
              </w:rPr>
              <w:t>2.4344</w:t>
            </w:r>
          </w:p>
        </w:tc>
        <w:tc>
          <w:tcPr>
            <w:tcW w:w="1960" w:type="dxa"/>
            <w:tcBorders>
              <w:top w:val="nil"/>
              <w:left w:val="nil"/>
              <w:bottom w:val="single" w:sz="8" w:space="0" w:color="auto"/>
              <w:right w:val="single" w:sz="8" w:space="0" w:color="auto"/>
            </w:tcBorders>
            <w:shd w:val="clear" w:color="auto" w:fill="auto"/>
            <w:noWrap/>
            <w:vAlign w:val="center"/>
            <w:hideMark/>
          </w:tcPr>
          <w:p w14:paraId="5C691FA7" w14:textId="77777777" w:rsidR="00E35C50" w:rsidRDefault="00E35C50" w:rsidP="00E85F4B">
            <w:pPr>
              <w:jc w:val="center"/>
              <w:rPr>
                <w:rFonts w:ascii="Aptos Narrow" w:hAnsi="Aptos Narrow"/>
                <w:color w:val="000000"/>
              </w:rPr>
            </w:pPr>
            <w:r>
              <w:rPr>
                <w:rFonts w:ascii="Aptos Narrow" w:hAnsi="Aptos Narrow"/>
                <w:color w:val="000000"/>
              </w:rPr>
              <w:t>44.1000</w:t>
            </w:r>
          </w:p>
        </w:tc>
        <w:tc>
          <w:tcPr>
            <w:tcW w:w="1760" w:type="dxa"/>
            <w:tcBorders>
              <w:top w:val="nil"/>
              <w:left w:val="nil"/>
              <w:bottom w:val="single" w:sz="8" w:space="0" w:color="auto"/>
              <w:right w:val="single" w:sz="8" w:space="0" w:color="auto"/>
            </w:tcBorders>
            <w:shd w:val="clear" w:color="auto" w:fill="auto"/>
            <w:noWrap/>
            <w:vAlign w:val="center"/>
            <w:hideMark/>
          </w:tcPr>
          <w:p w14:paraId="47F033C4" w14:textId="77777777" w:rsidR="00E35C50" w:rsidRDefault="00E35C50" w:rsidP="00E85F4B">
            <w:pPr>
              <w:jc w:val="center"/>
              <w:rPr>
                <w:rFonts w:ascii="Aptos Narrow" w:hAnsi="Aptos Narrow"/>
                <w:color w:val="000000"/>
              </w:rPr>
            </w:pPr>
            <w:r>
              <w:rPr>
                <w:rFonts w:ascii="Aptos Narrow" w:hAnsi="Aptos Narrow"/>
                <w:color w:val="000000"/>
              </w:rPr>
              <w:t>131.2743</w:t>
            </w:r>
          </w:p>
        </w:tc>
      </w:tr>
      <w:tr w:rsidR="00E35C50" w14:paraId="2E410D13"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D452A38" w14:textId="77777777" w:rsidR="00E35C50" w:rsidRDefault="00E35C50" w:rsidP="00E85F4B">
            <w:pPr>
              <w:jc w:val="center"/>
              <w:rPr>
                <w:rFonts w:ascii="Aptos Narrow" w:hAnsi="Aptos Narrow"/>
                <w:color w:val="000000"/>
              </w:rPr>
            </w:pPr>
            <w:r>
              <w:rPr>
                <w:rFonts w:ascii="Aptos Narrow" w:hAnsi="Aptos Narrow"/>
                <w:color w:val="000000"/>
              </w:rPr>
              <w:t>2006</w:t>
            </w:r>
          </w:p>
        </w:tc>
        <w:tc>
          <w:tcPr>
            <w:tcW w:w="1960" w:type="dxa"/>
            <w:tcBorders>
              <w:top w:val="nil"/>
              <w:left w:val="nil"/>
              <w:bottom w:val="single" w:sz="8" w:space="0" w:color="auto"/>
              <w:right w:val="single" w:sz="8" w:space="0" w:color="auto"/>
            </w:tcBorders>
            <w:shd w:val="clear" w:color="auto" w:fill="auto"/>
            <w:noWrap/>
            <w:vAlign w:val="center"/>
            <w:hideMark/>
          </w:tcPr>
          <w:p w14:paraId="01717925" w14:textId="77777777" w:rsidR="00E35C50" w:rsidRDefault="00E35C50" w:rsidP="00E85F4B">
            <w:pPr>
              <w:jc w:val="center"/>
              <w:rPr>
                <w:rFonts w:ascii="Aptos Narrow" w:hAnsi="Aptos Narrow"/>
                <w:color w:val="000000"/>
              </w:rPr>
            </w:pPr>
            <w:r>
              <w:rPr>
                <w:rFonts w:ascii="Aptos Narrow" w:hAnsi="Aptos Narrow"/>
                <w:color w:val="000000"/>
              </w:rPr>
              <w:t>2.1753</w:t>
            </w:r>
          </w:p>
        </w:tc>
        <w:tc>
          <w:tcPr>
            <w:tcW w:w="1960" w:type="dxa"/>
            <w:tcBorders>
              <w:top w:val="nil"/>
              <w:left w:val="nil"/>
              <w:bottom w:val="single" w:sz="8" w:space="0" w:color="auto"/>
              <w:right w:val="single" w:sz="8" w:space="0" w:color="auto"/>
            </w:tcBorders>
            <w:shd w:val="clear" w:color="auto" w:fill="auto"/>
            <w:noWrap/>
            <w:vAlign w:val="center"/>
            <w:hideMark/>
          </w:tcPr>
          <w:p w14:paraId="794128E6" w14:textId="77777777" w:rsidR="00E35C50" w:rsidRDefault="00E35C50" w:rsidP="00E85F4B">
            <w:pPr>
              <w:jc w:val="center"/>
              <w:rPr>
                <w:rFonts w:ascii="Aptos Narrow" w:hAnsi="Aptos Narrow"/>
                <w:color w:val="000000"/>
              </w:rPr>
            </w:pPr>
            <w:r>
              <w:rPr>
                <w:rFonts w:ascii="Aptos Narrow" w:hAnsi="Aptos Narrow"/>
                <w:color w:val="000000"/>
              </w:rPr>
              <w:t>45.3070</w:t>
            </w:r>
          </w:p>
        </w:tc>
        <w:tc>
          <w:tcPr>
            <w:tcW w:w="1760" w:type="dxa"/>
            <w:tcBorders>
              <w:top w:val="nil"/>
              <w:left w:val="nil"/>
              <w:bottom w:val="single" w:sz="8" w:space="0" w:color="auto"/>
              <w:right w:val="single" w:sz="8" w:space="0" w:color="auto"/>
            </w:tcBorders>
            <w:shd w:val="clear" w:color="auto" w:fill="auto"/>
            <w:noWrap/>
            <w:vAlign w:val="center"/>
            <w:hideMark/>
          </w:tcPr>
          <w:p w14:paraId="53CB030E" w14:textId="77777777" w:rsidR="00E35C50" w:rsidRDefault="00E35C50" w:rsidP="00E85F4B">
            <w:pPr>
              <w:jc w:val="center"/>
              <w:rPr>
                <w:rFonts w:ascii="Aptos Narrow" w:hAnsi="Aptos Narrow"/>
                <w:color w:val="000000"/>
              </w:rPr>
            </w:pPr>
            <w:r>
              <w:rPr>
                <w:rFonts w:ascii="Aptos Narrow" w:hAnsi="Aptos Narrow"/>
                <w:color w:val="000000"/>
              </w:rPr>
              <w:t>128.6517</w:t>
            </w:r>
          </w:p>
        </w:tc>
      </w:tr>
      <w:tr w:rsidR="00E35C50" w14:paraId="3FB92B7C"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09F5557" w14:textId="77777777" w:rsidR="00E35C50" w:rsidRDefault="00E35C50" w:rsidP="00E85F4B">
            <w:pPr>
              <w:jc w:val="center"/>
              <w:rPr>
                <w:rFonts w:ascii="Aptos Narrow" w:hAnsi="Aptos Narrow"/>
                <w:color w:val="000000"/>
              </w:rPr>
            </w:pPr>
            <w:r>
              <w:rPr>
                <w:rFonts w:ascii="Aptos Narrow" w:hAnsi="Aptos Narrow"/>
                <w:color w:val="000000"/>
              </w:rPr>
              <w:t>2007</w:t>
            </w:r>
          </w:p>
        </w:tc>
        <w:tc>
          <w:tcPr>
            <w:tcW w:w="1960" w:type="dxa"/>
            <w:tcBorders>
              <w:top w:val="nil"/>
              <w:left w:val="nil"/>
              <w:bottom w:val="single" w:sz="8" w:space="0" w:color="auto"/>
              <w:right w:val="single" w:sz="8" w:space="0" w:color="auto"/>
            </w:tcBorders>
            <w:shd w:val="clear" w:color="auto" w:fill="auto"/>
            <w:noWrap/>
            <w:vAlign w:val="center"/>
            <w:hideMark/>
          </w:tcPr>
          <w:p w14:paraId="4B99B05D" w14:textId="77777777" w:rsidR="00E35C50" w:rsidRDefault="00E35C50" w:rsidP="00E85F4B">
            <w:pPr>
              <w:jc w:val="center"/>
              <w:rPr>
                <w:rFonts w:ascii="Aptos Narrow" w:hAnsi="Aptos Narrow"/>
                <w:color w:val="000000"/>
              </w:rPr>
            </w:pPr>
            <w:r>
              <w:rPr>
                <w:rFonts w:ascii="Aptos Narrow" w:hAnsi="Aptos Narrow"/>
                <w:color w:val="000000"/>
              </w:rPr>
              <w:t>1.9471</w:t>
            </w:r>
          </w:p>
        </w:tc>
        <w:tc>
          <w:tcPr>
            <w:tcW w:w="1960" w:type="dxa"/>
            <w:tcBorders>
              <w:top w:val="nil"/>
              <w:left w:val="nil"/>
              <w:bottom w:val="single" w:sz="8" w:space="0" w:color="auto"/>
              <w:right w:val="single" w:sz="8" w:space="0" w:color="auto"/>
            </w:tcBorders>
            <w:shd w:val="clear" w:color="auto" w:fill="auto"/>
            <w:noWrap/>
            <w:vAlign w:val="center"/>
            <w:hideMark/>
          </w:tcPr>
          <w:p w14:paraId="620FBDBE" w14:textId="77777777" w:rsidR="00E35C50" w:rsidRDefault="00E35C50" w:rsidP="00E85F4B">
            <w:pPr>
              <w:jc w:val="center"/>
              <w:rPr>
                <w:rFonts w:ascii="Aptos Narrow" w:hAnsi="Aptos Narrow"/>
                <w:color w:val="000000"/>
              </w:rPr>
            </w:pPr>
            <w:r>
              <w:rPr>
                <w:rFonts w:ascii="Aptos Narrow" w:hAnsi="Aptos Narrow"/>
                <w:color w:val="000000"/>
              </w:rPr>
              <w:t>41.3485</w:t>
            </w:r>
          </w:p>
        </w:tc>
        <w:tc>
          <w:tcPr>
            <w:tcW w:w="1760" w:type="dxa"/>
            <w:tcBorders>
              <w:top w:val="nil"/>
              <w:left w:val="nil"/>
              <w:bottom w:val="single" w:sz="8" w:space="0" w:color="auto"/>
              <w:right w:val="single" w:sz="8" w:space="0" w:color="auto"/>
            </w:tcBorders>
            <w:shd w:val="clear" w:color="auto" w:fill="auto"/>
            <w:noWrap/>
            <w:vAlign w:val="center"/>
            <w:hideMark/>
          </w:tcPr>
          <w:p w14:paraId="10EF19B0" w14:textId="77777777" w:rsidR="00E35C50" w:rsidRDefault="00E35C50" w:rsidP="00E85F4B">
            <w:pPr>
              <w:jc w:val="center"/>
              <w:rPr>
                <w:rFonts w:ascii="Aptos Narrow" w:hAnsi="Aptos Narrow"/>
                <w:color w:val="000000"/>
              </w:rPr>
            </w:pPr>
            <w:r>
              <w:rPr>
                <w:rFonts w:ascii="Aptos Narrow" w:hAnsi="Aptos Narrow"/>
                <w:color w:val="000000"/>
              </w:rPr>
              <w:t>125.8081</w:t>
            </w:r>
          </w:p>
        </w:tc>
      </w:tr>
      <w:tr w:rsidR="00E35C50" w14:paraId="4FE3CE2C"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DC616E1" w14:textId="77777777" w:rsidR="00E35C50" w:rsidRDefault="00E35C50" w:rsidP="00E85F4B">
            <w:pPr>
              <w:jc w:val="center"/>
              <w:rPr>
                <w:rFonts w:ascii="Aptos Narrow" w:hAnsi="Aptos Narrow"/>
                <w:color w:val="000000"/>
              </w:rPr>
            </w:pPr>
            <w:r>
              <w:rPr>
                <w:rFonts w:ascii="Aptos Narrow" w:hAnsi="Aptos Narrow"/>
                <w:color w:val="000000"/>
              </w:rPr>
              <w:t>2008</w:t>
            </w:r>
          </w:p>
        </w:tc>
        <w:tc>
          <w:tcPr>
            <w:tcW w:w="1960" w:type="dxa"/>
            <w:tcBorders>
              <w:top w:val="nil"/>
              <w:left w:val="nil"/>
              <w:bottom w:val="single" w:sz="8" w:space="0" w:color="auto"/>
              <w:right w:val="single" w:sz="8" w:space="0" w:color="auto"/>
            </w:tcBorders>
            <w:shd w:val="clear" w:color="auto" w:fill="auto"/>
            <w:noWrap/>
            <w:vAlign w:val="center"/>
            <w:hideMark/>
          </w:tcPr>
          <w:p w14:paraId="73687F9D" w14:textId="77777777" w:rsidR="00E35C50" w:rsidRDefault="00E35C50" w:rsidP="00E85F4B">
            <w:pPr>
              <w:jc w:val="center"/>
              <w:rPr>
                <w:rFonts w:ascii="Aptos Narrow" w:hAnsi="Aptos Narrow"/>
                <w:color w:val="000000"/>
              </w:rPr>
            </w:pPr>
            <w:r>
              <w:rPr>
                <w:rFonts w:ascii="Aptos Narrow" w:hAnsi="Aptos Narrow"/>
                <w:color w:val="000000"/>
              </w:rPr>
              <w:t>1.8338</w:t>
            </w:r>
          </w:p>
        </w:tc>
        <w:tc>
          <w:tcPr>
            <w:tcW w:w="1960" w:type="dxa"/>
            <w:tcBorders>
              <w:top w:val="nil"/>
              <w:left w:val="nil"/>
              <w:bottom w:val="single" w:sz="8" w:space="0" w:color="auto"/>
              <w:right w:val="single" w:sz="8" w:space="0" w:color="auto"/>
            </w:tcBorders>
            <w:shd w:val="clear" w:color="auto" w:fill="auto"/>
            <w:noWrap/>
            <w:vAlign w:val="center"/>
            <w:hideMark/>
          </w:tcPr>
          <w:p w14:paraId="0AF4ADFD" w14:textId="77777777" w:rsidR="00E35C50" w:rsidRDefault="00E35C50" w:rsidP="00E85F4B">
            <w:pPr>
              <w:jc w:val="center"/>
              <w:rPr>
                <w:rFonts w:ascii="Aptos Narrow" w:hAnsi="Aptos Narrow"/>
                <w:color w:val="000000"/>
              </w:rPr>
            </w:pPr>
            <w:r>
              <w:rPr>
                <w:rFonts w:ascii="Aptos Narrow" w:hAnsi="Aptos Narrow"/>
                <w:color w:val="000000"/>
              </w:rPr>
              <w:t>43.5052</w:t>
            </w:r>
          </w:p>
        </w:tc>
        <w:tc>
          <w:tcPr>
            <w:tcW w:w="1760" w:type="dxa"/>
            <w:tcBorders>
              <w:top w:val="nil"/>
              <w:left w:val="nil"/>
              <w:bottom w:val="single" w:sz="8" w:space="0" w:color="auto"/>
              <w:right w:val="single" w:sz="8" w:space="0" w:color="auto"/>
            </w:tcBorders>
            <w:shd w:val="clear" w:color="auto" w:fill="auto"/>
            <w:noWrap/>
            <w:vAlign w:val="center"/>
            <w:hideMark/>
          </w:tcPr>
          <w:p w14:paraId="67C37170" w14:textId="77777777" w:rsidR="00E35C50" w:rsidRDefault="00E35C50" w:rsidP="00E85F4B">
            <w:pPr>
              <w:jc w:val="center"/>
              <w:rPr>
                <w:rFonts w:ascii="Aptos Narrow" w:hAnsi="Aptos Narrow"/>
                <w:color w:val="000000"/>
              </w:rPr>
            </w:pPr>
            <w:r>
              <w:rPr>
                <w:rFonts w:ascii="Aptos Narrow" w:hAnsi="Aptos Narrow"/>
                <w:color w:val="000000"/>
              </w:rPr>
              <w:t>118.5667</w:t>
            </w:r>
          </w:p>
        </w:tc>
      </w:tr>
      <w:tr w:rsidR="00E35C50" w14:paraId="24BF3160"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71694AD1" w14:textId="77777777" w:rsidR="00E35C50" w:rsidRDefault="00E35C50" w:rsidP="00E85F4B">
            <w:pPr>
              <w:jc w:val="center"/>
              <w:rPr>
                <w:rFonts w:ascii="Aptos Narrow" w:hAnsi="Aptos Narrow"/>
                <w:color w:val="000000"/>
              </w:rPr>
            </w:pPr>
            <w:r>
              <w:rPr>
                <w:rFonts w:ascii="Aptos Narrow" w:hAnsi="Aptos Narrow"/>
                <w:color w:val="000000"/>
              </w:rPr>
              <w:t>2009</w:t>
            </w:r>
          </w:p>
        </w:tc>
        <w:tc>
          <w:tcPr>
            <w:tcW w:w="1960" w:type="dxa"/>
            <w:tcBorders>
              <w:top w:val="nil"/>
              <w:left w:val="nil"/>
              <w:bottom w:val="single" w:sz="8" w:space="0" w:color="auto"/>
              <w:right w:val="single" w:sz="8" w:space="0" w:color="auto"/>
            </w:tcBorders>
            <w:shd w:val="clear" w:color="auto" w:fill="auto"/>
            <w:noWrap/>
            <w:vAlign w:val="center"/>
            <w:hideMark/>
          </w:tcPr>
          <w:p w14:paraId="6F683626" w14:textId="77777777" w:rsidR="00E35C50" w:rsidRDefault="00E35C50" w:rsidP="00E85F4B">
            <w:pPr>
              <w:jc w:val="center"/>
              <w:rPr>
                <w:rFonts w:ascii="Aptos Narrow" w:hAnsi="Aptos Narrow"/>
                <w:color w:val="000000"/>
              </w:rPr>
            </w:pPr>
            <w:r>
              <w:rPr>
                <w:rFonts w:ascii="Aptos Narrow" w:hAnsi="Aptos Narrow"/>
                <w:color w:val="000000"/>
              </w:rPr>
              <w:t>1.9994</w:t>
            </w:r>
          </w:p>
        </w:tc>
        <w:tc>
          <w:tcPr>
            <w:tcW w:w="1960" w:type="dxa"/>
            <w:tcBorders>
              <w:top w:val="nil"/>
              <w:left w:val="nil"/>
              <w:bottom w:val="single" w:sz="8" w:space="0" w:color="auto"/>
              <w:right w:val="single" w:sz="8" w:space="0" w:color="auto"/>
            </w:tcBorders>
            <w:shd w:val="clear" w:color="auto" w:fill="auto"/>
            <w:noWrap/>
            <w:vAlign w:val="center"/>
            <w:hideMark/>
          </w:tcPr>
          <w:p w14:paraId="0BF24452" w14:textId="77777777" w:rsidR="00E35C50" w:rsidRDefault="00E35C50" w:rsidP="00E85F4B">
            <w:pPr>
              <w:jc w:val="center"/>
              <w:rPr>
                <w:rFonts w:ascii="Aptos Narrow" w:hAnsi="Aptos Narrow"/>
                <w:color w:val="000000"/>
              </w:rPr>
            </w:pPr>
            <w:r>
              <w:rPr>
                <w:rFonts w:ascii="Aptos Narrow" w:hAnsi="Aptos Narrow"/>
                <w:color w:val="000000"/>
              </w:rPr>
              <w:t>48.4053</w:t>
            </w:r>
          </w:p>
        </w:tc>
        <w:tc>
          <w:tcPr>
            <w:tcW w:w="1760" w:type="dxa"/>
            <w:tcBorders>
              <w:top w:val="nil"/>
              <w:left w:val="nil"/>
              <w:bottom w:val="single" w:sz="8" w:space="0" w:color="auto"/>
              <w:right w:val="single" w:sz="8" w:space="0" w:color="auto"/>
            </w:tcBorders>
            <w:shd w:val="clear" w:color="auto" w:fill="auto"/>
            <w:noWrap/>
            <w:vAlign w:val="center"/>
            <w:hideMark/>
          </w:tcPr>
          <w:p w14:paraId="6833C2A5" w14:textId="77777777" w:rsidR="00E35C50" w:rsidRDefault="00E35C50" w:rsidP="00E85F4B">
            <w:pPr>
              <w:jc w:val="center"/>
              <w:rPr>
                <w:rFonts w:ascii="Aptos Narrow" w:hAnsi="Aptos Narrow"/>
                <w:color w:val="000000"/>
              </w:rPr>
            </w:pPr>
            <w:r>
              <w:rPr>
                <w:rFonts w:ascii="Aptos Narrow" w:hAnsi="Aptos Narrow"/>
                <w:color w:val="000000"/>
              </w:rPr>
              <w:t>148.8800</w:t>
            </w:r>
          </w:p>
        </w:tc>
      </w:tr>
      <w:tr w:rsidR="00E35C50" w14:paraId="2C08BBB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55D5E5E6" w14:textId="77777777" w:rsidR="00E35C50" w:rsidRDefault="00E35C50" w:rsidP="00E85F4B">
            <w:pPr>
              <w:jc w:val="center"/>
              <w:rPr>
                <w:rFonts w:ascii="Aptos Narrow" w:hAnsi="Aptos Narrow"/>
                <w:color w:val="000000"/>
              </w:rPr>
            </w:pPr>
            <w:r>
              <w:rPr>
                <w:rFonts w:ascii="Aptos Narrow" w:hAnsi="Aptos Narrow"/>
                <w:color w:val="000000"/>
              </w:rPr>
              <w:t>2010</w:t>
            </w:r>
          </w:p>
        </w:tc>
        <w:tc>
          <w:tcPr>
            <w:tcW w:w="1960" w:type="dxa"/>
            <w:tcBorders>
              <w:top w:val="nil"/>
              <w:left w:val="nil"/>
              <w:bottom w:val="single" w:sz="8" w:space="0" w:color="auto"/>
              <w:right w:val="single" w:sz="8" w:space="0" w:color="auto"/>
            </w:tcBorders>
            <w:shd w:val="clear" w:color="auto" w:fill="auto"/>
            <w:noWrap/>
            <w:vAlign w:val="center"/>
            <w:hideMark/>
          </w:tcPr>
          <w:p w14:paraId="09E180F9" w14:textId="77777777" w:rsidR="00E35C50" w:rsidRDefault="00E35C50" w:rsidP="00E85F4B">
            <w:pPr>
              <w:jc w:val="center"/>
              <w:rPr>
                <w:rFonts w:ascii="Aptos Narrow" w:hAnsi="Aptos Narrow"/>
                <w:color w:val="000000"/>
              </w:rPr>
            </w:pPr>
            <w:r>
              <w:rPr>
                <w:rFonts w:ascii="Aptos Narrow" w:hAnsi="Aptos Narrow"/>
                <w:color w:val="000000"/>
              </w:rPr>
              <w:t>1.7592</w:t>
            </w:r>
          </w:p>
        </w:tc>
        <w:tc>
          <w:tcPr>
            <w:tcW w:w="1960" w:type="dxa"/>
            <w:tcBorders>
              <w:top w:val="nil"/>
              <w:left w:val="nil"/>
              <w:bottom w:val="single" w:sz="8" w:space="0" w:color="auto"/>
              <w:right w:val="single" w:sz="8" w:space="0" w:color="auto"/>
            </w:tcBorders>
            <w:shd w:val="clear" w:color="auto" w:fill="auto"/>
            <w:noWrap/>
            <w:vAlign w:val="center"/>
            <w:hideMark/>
          </w:tcPr>
          <w:p w14:paraId="2B1D90D2" w14:textId="77777777" w:rsidR="00E35C50" w:rsidRDefault="00E35C50" w:rsidP="00E85F4B">
            <w:pPr>
              <w:jc w:val="center"/>
              <w:rPr>
                <w:rFonts w:ascii="Aptos Narrow" w:hAnsi="Aptos Narrow"/>
                <w:color w:val="000000"/>
              </w:rPr>
            </w:pPr>
            <w:r>
              <w:rPr>
                <w:rFonts w:ascii="Aptos Narrow" w:hAnsi="Aptos Narrow"/>
                <w:color w:val="000000"/>
              </w:rPr>
              <w:t>45.7258</w:t>
            </w:r>
          </w:p>
        </w:tc>
        <w:tc>
          <w:tcPr>
            <w:tcW w:w="1760" w:type="dxa"/>
            <w:tcBorders>
              <w:top w:val="nil"/>
              <w:left w:val="nil"/>
              <w:bottom w:val="single" w:sz="8" w:space="0" w:color="auto"/>
              <w:right w:val="single" w:sz="8" w:space="0" w:color="auto"/>
            </w:tcBorders>
            <w:shd w:val="clear" w:color="auto" w:fill="auto"/>
            <w:noWrap/>
            <w:vAlign w:val="center"/>
            <w:hideMark/>
          </w:tcPr>
          <w:p w14:paraId="2849A341" w14:textId="77777777" w:rsidR="00E35C50" w:rsidRDefault="00E35C50" w:rsidP="00E85F4B">
            <w:pPr>
              <w:jc w:val="center"/>
              <w:rPr>
                <w:rFonts w:ascii="Aptos Narrow" w:hAnsi="Aptos Narrow"/>
                <w:color w:val="000000"/>
              </w:rPr>
            </w:pPr>
            <w:r>
              <w:rPr>
                <w:rFonts w:ascii="Aptos Narrow" w:hAnsi="Aptos Narrow"/>
                <w:color w:val="000000"/>
              </w:rPr>
              <w:t>150.2975</w:t>
            </w:r>
          </w:p>
        </w:tc>
      </w:tr>
      <w:tr w:rsidR="00E35C50" w14:paraId="2C1AEFDD"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66166A24" w14:textId="77777777" w:rsidR="00E35C50" w:rsidRDefault="00E35C50" w:rsidP="00E85F4B">
            <w:pPr>
              <w:jc w:val="center"/>
              <w:rPr>
                <w:rFonts w:ascii="Aptos Narrow" w:hAnsi="Aptos Narrow"/>
                <w:color w:val="000000"/>
              </w:rPr>
            </w:pPr>
            <w:r>
              <w:rPr>
                <w:rFonts w:ascii="Aptos Narrow" w:hAnsi="Aptos Narrow"/>
                <w:color w:val="000000"/>
              </w:rPr>
              <w:t>2011</w:t>
            </w:r>
          </w:p>
        </w:tc>
        <w:tc>
          <w:tcPr>
            <w:tcW w:w="1960" w:type="dxa"/>
            <w:tcBorders>
              <w:top w:val="nil"/>
              <w:left w:val="nil"/>
              <w:bottom w:val="single" w:sz="8" w:space="0" w:color="auto"/>
              <w:right w:val="single" w:sz="8" w:space="0" w:color="auto"/>
            </w:tcBorders>
            <w:shd w:val="clear" w:color="auto" w:fill="auto"/>
            <w:noWrap/>
            <w:vAlign w:val="center"/>
            <w:hideMark/>
          </w:tcPr>
          <w:p w14:paraId="04F2E14A" w14:textId="77777777" w:rsidR="00E35C50" w:rsidRDefault="00E35C50" w:rsidP="00E85F4B">
            <w:pPr>
              <w:jc w:val="center"/>
              <w:rPr>
                <w:rFonts w:ascii="Aptos Narrow" w:hAnsi="Aptos Narrow"/>
                <w:color w:val="000000"/>
              </w:rPr>
            </w:pPr>
            <w:r>
              <w:rPr>
                <w:rFonts w:ascii="Aptos Narrow" w:hAnsi="Aptos Narrow"/>
                <w:color w:val="000000"/>
              </w:rPr>
              <w:t>1.6728</w:t>
            </w:r>
          </w:p>
        </w:tc>
        <w:tc>
          <w:tcPr>
            <w:tcW w:w="1960" w:type="dxa"/>
            <w:tcBorders>
              <w:top w:val="nil"/>
              <w:left w:val="nil"/>
              <w:bottom w:val="single" w:sz="8" w:space="0" w:color="auto"/>
              <w:right w:val="single" w:sz="8" w:space="0" w:color="auto"/>
            </w:tcBorders>
            <w:shd w:val="clear" w:color="auto" w:fill="auto"/>
            <w:noWrap/>
            <w:vAlign w:val="center"/>
            <w:hideMark/>
          </w:tcPr>
          <w:p w14:paraId="74B9912C" w14:textId="77777777" w:rsidR="00E35C50" w:rsidRDefault="00E35C50" w:rsidP="00E85F4B">
            <w:pPr>
              <w:jc w:val="center"/>
              <w:rPr>
                <w:rFonts w:ascii="Aptos Narrow" w:hAnsi="Aptos Narrow"/>
                <w:color w:val="000000"/>
              </w:rPr>
            </w:pPr>
            <w:r>
              <w:rPr>
                <w:rFonts w:ascii="Aptos Narrow" w:hAnsi="Aptos Narrow"/>
                <w:color w:val="000000"/>
              </w:rPr>
              <w:t>46.6705</w:t>
            </w:r>
          </w:p>
        </w:tc>
        <w:tc>
          <w:tcPr>
            <w:tcW w:w="1760" w:type="dxa"/>
            <w:tcBorders>
              <w:top w:val="nil"/>
              <w:left w:val="nil"/>
              <w:bottom w:val="single" w:sz="8" w:space="0" w:color="auto"/>
              <w:right w:val="single" w:sz="8" w:space="0" w:color="auto"/>
            </w:tcBorders>
            <w:shd w:val="clear" w:color="auto" w:fill="auto"/>
            <w:noWrap/>
            <w:vAlign w:val="center"/>
            <w:hideMark/>
          </w:tcPr>
          <w:p w14:paraId="0E033528" w14:textId="77777777" w:rsidR="00E35C50" w:rsidRDefault="00E35C50" w:rsidP="00E85F4B">
            <w:pPr>
              <w:jc w:val="center"/>
              <w:rPr>
                <w:rFonts w:ascii="Aptos Narrow" w:hAnsi="Aptos Narrow"/>
                <w:color w:val="000000"/>
              </w:rPr>
            </w:pPr>
            <w:r>
              <w:rPr>
                <w:rFonts w:ascii="Aptos Narrow" w:hAnsi="Aptos Narrow"/>
                <w:color w:val="000000"/>
              </w:rPr>
              <w:t>153.8625</w:t>
            </w:r>
          </w:p>
        </w:tc>
      </w:tr>
      <w:tr w:rsidR="00E35C50" w14:paraId="49596BC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2070AAD5" w14:textId="77777777" w:rsidR="00E35C50" w:rsidRDefault="00E35C50" w:rsidP="00E85F4B">
            <w:pPr>
              <w:jc w:val="center"/>
              <w:rPr>
                <w:rFonts w:ascii="Aptos Narrow" w:hAnsi="Aptos Narrow"/>
                <w:color w:val="000000"/>
              </w:rPr>
            </w:pPr>
            <w:r>
              <w:rPr>
                <w:rFonts w:ascii="Aptos Narrow" w:hAnsi="Aptos Narrow"/>
                <w:color w:val="000000"/>
              </w:rPr>
              <w:t>2012</w:t>
            </w:r>
          </w:p>
        </w:tc>
        <w:tc>
          <w:tcPr>
            <w:tcW w:w="1960" w:type="dxa"/>
            <w:tcBorders>
              <w:top w:val="nil"/>
              <w:left w:val="nil"/>
              <w:bottom w:val="single" w:sz="8" w:space="0" w:color="auto"/>
              <w:right w:val="single" w:sz="8" w:space="0" w:color="auto"/>
            </w:tcBorders>
            <w:shd w:val="clear" w:color="auto" w:fill="auto"/>
            <w:noWrap/>
            <w:vAlign w:val="center"/>
            <w:hideMark/>
          </w:tcPr>
          <w:p w14:paraId="1D56740A" w14:textId="77777777" w:rsidR="00E35C50" w:rsidRDefault="00E35C50" w:rsidP="00E85F4B">
            <w:pPr>
              <w:jc w:val="center"/>
              <w:rPr>
                <w:rFonts w:ascii="Aptos Narrow" w:hAnsi="Aptos Narrow"/>
                <w:color w:val="000000"/>
              </w:rPr>
            </w:pPr>
            <w:r>
              <w:rPr>
                <w:rFonts w:ascii="Aptos Narrow" w:hAnsi="Aptos Narrow"/>
                <w:color w:val="000000"/>
              </w:rPr>
              <w:t>1.9531</w:t>
            </w:r>
          </w:p>
        </w:tc>
        <w:tc>
          <w:tcPr>
            <w:tcW w:w="1960" w:type="dxa"/>
            <w:tcBorders>
              <w:top w:val="nil"/>
              <w:left w:val="nil"/>
              <w:bottom w:val="single" w:sz="8" w:space="0" w:color="auto"/>
              <w:right w:val="single" w:sz="8" w:space="0" w:color="auto"/>
            </w:tcBorders>
            <w:shd w:val="clear" w:color="auto" w:fill="auto"/>
            <w:noWrap/>
            <w:vAlign w:val="center"/>
            <w:hideMark/>
          </w:tcPr>
          <w:p w14:paraId="18AE6220" w14:textId="77777777" w:rsidR="00E35C50" w:rsidRDefault="00E35C50" w:rsidP="00E85F4B">
            <w:pPr>
              <w:jc w:val="center"/>
              <w:rPr>
                <w:rFonts w:ascii="Aptos Narrow" w:hAnsi="Aptos Narrow"/>
                <w:color w:val="000000"/>
              </w:rPr>
            </w:pPr>
            <w:r>
              <w:rPr>
                <w:rFonts w:ascii="Aptos Narrow" w:hAnsi="Aptos Narrow"/>
                <w:color w:val="000000"/>
              </w:rPr>
              <w:t>53.4372</w:t>
            </w:r>
          </w:p>
        </w:tc>
        <w:tc>
          <w:tcPr>
            <w:tcW w:w="1760" w:type="dxa"/>
            <w:tcBorders>
              <w:top w:val="nil"/>
              <w:left w:val="nil"/>
              <w:bottom w:val="single" w:sz="8" w:space="0" w:color="auto"/>
              <w:right w:val="single" w:sz="8" w:space="0" w:color="auto"/>
            </w:tcBorders>
            <w:shd w:val="clear" w:color="auto" w:fill="auto"/>
            <w:noWrap/>
            <w:vAlign w:val="center"/>
            <w:hideMark/>
          </w:tcPr>
          <w:p w14:paraId="74F72BD4" w14:textId="77777777" w:rsidR="00E35C50" w:rsidRDefault="00E35C50" w:rsidP="00E85F4B">
            <w:pPr>
              <w:jc w:val="center"/>
              <w:rPr>
                <w:rFonts w:ascii="Aptos Narrow" w:hAnsi="Aptos Narrow"/>
                <w:color w:val="000000"/>
              </w:rPr>
            </w:pPr>
            <w:r>
              <w:rPr>
                <w:rFonts w:ascii="Aptos Narrow" w:hAnsi="Aptos Narrow"/>
                <w:color w:val="000000"/>
              </w:rPr>
              <w:t>157.5000</w:t>
            </w:r>
          </w:p>
        </w:tc>
      </w:tr>
      <w:tr w:rsidR="00E35C50" w14:paraId="511F4266"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688DCF5" w14:textId="77777777" w:rsidR="00E35C50" w:rsidRDefault="00E35C50" w:rsidP="00E85F4B">
            <w:pPr>
              <w:jc w:val="center"/>
              <w:rPr>
                <w:rFonts w:ascii="Aptos Narrow" w:hAnsi="Aptos Narrow"/>
                <w:color w:val="000000"/>
              </w:rPr>
            </w:pPr>
            <w:r>
              <w:rPr>
                <w:rFonts w:ascii="Aptos Narrow" w:hAnsi="Aptos Narrow"/>
                <w:color w:val="000000"/>
              </w:rPr>
              <w:t>2013</w:t>
            </w:r>
          </w:p>
        </w:tc>
        <w:tc>
          <w:tcPr>
            <w:tcW w:w="1960" w:type="dxa"/>
            <w:tcBorders>
              <w:top w:val="nil"/>
              <w:left w:val="nil"/>
              <w:bottom w:val="single" w:sz="8" w:space="0" w:color="auto"/>
              <w:right w:val="single" w:sz="8" w:space="0" w:color="auto"/>
            </w:tcBorders>
            <w:shd w:val="clear" w:color="auto" w:fill="auto"/>
            <w:noWrap/>
            <w:vAlign w:val="center"/>
            <w:hideMark/>
          </w:tcPr>
          <w:p w14:paraId="4B915BCD" w14:textId="77777777" w:rsidR="00E35C50" w:rsidRDefault="00E35C50" w:rsidP="00E85F4B">
            <w:pPr>
              <w:jc w:val="center"/>
              <w:rPr>
                <w:rFonts w:ascii="Aptos Narrow" w:hAnsi="Aptos Narrow"/>
                <w:color w:val="000000"/>
              </w:rPr>
            </w:pPr>
            <w:r>
              <w:rPr>
                <w:rFonts w:ascii="Aptos Narrow" w:hAnsi="Aptos Narrow"/>
                <w:color w:val="000000"/>
              </w:rPr>
              <w:t>2.1561</w:t>
            </w:r>
          </w:p>
        </w:tc>
        <w:tc>
          <w:tcPr>
            <w:tcW w:w="1960" w:type="dxa"/>
            <w:tcBorders>
              <w:top w:val="nil"/>
              <w:left w:val="nil"/>
              <w:bottom w:val="single" w:sz="8" w:space="0" w:color="auto"/>
              <w:right w:val="single" w:sz="8" w:space="0" w:color="auto"/>
            </w:tcBorders>
            <w:shd w:val="clear" w:color="auto" w:fill="auto"/>
            <w:noWrap/>
            <w:vAlign w:val="center"/>
            <w:hideMark/>
          </w:tcPr>
          <w:p w14:paraId="227B952D" w14:textId="77777777" w:rsidR="00E35C50" w:rsidRDefault="00E35C50" w:rsidP="00E85F4B">
            <w:pPr>
              <w:jc w:val="center"/>
              <w:rPr>
                <w:rFonts w:ascii="Aptos Narrow" w:hAnsi="Aptos Narrow"/>
                <w:color w:val="000000"/>
              </w:rPr>
            </w:pPr>
            <w:r>
              <w:rPr>
                <w:rFonts w:ascii="Aptos Narrow" w:hAnsi="Aptos Narrow"/>
                <w:color w:val="000000"/>
              </w:rPr>
              <w:t>58.5978</w:t>
            </w:r>
          </w:p>
        </w:tc>
        <w:tc>
          <w:tcPr>
            <w:tcW w:w="1760" w:type="dxa"/>
            <w:tcBorders>
              <w:top w:val="nil"/>
              <w:left w:val="nil"/>
              <w:bottom w:val="single" w:sz="8" w:space="0" w:color="auto"/>
              <w:right w:val="single" w:sz="8" w:space="0" w:color="auto"/>
            </w:tcBorders>
            <w:shd w:val="clear" w:color="auto" w:fill="auto"/>
            <w:noWrap/>
            <w:vAlign w:val="center"/>
            <w:hideMark/>
          </w:tcPr>
          <w:p w14:paraId="7A16A0AF" w14:textId="77777777" w:rsidR="00E35C50" w:rsidRDefault="00E35C50" w:rsidP="00E85F4B">
            <w:pPr>
              <w:jc w:val="center"/>
              <w:rPr>
                <w:rFonts w:ascii="Aptos Narrow" w:hAnsi="Aptos Narrow"/>
                <w:color w:val="000000"/>
              </w:rPr>
            </w:pPr>
            <w:r>
              <w:rPr>
                <w:rFonts w:ascii="Aptos Narrow" w:hAnsi="Aptos Narrow"/>
                <w:color w:val="000000"/>
              </w:rPr>
              <w:t>157.3117</w:t>
            </w:r>
          </w:p>
        </w:tc>
      </w:tr>
      <w:tr w:rsidR="00E35C50" w14:paraId="539182CB"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7432164" w14:textId="77777777" w:rsidR="00E35C50" w:rsidRDefault="00E35C50" w:rsidP="00E85F4B">
            <w:pPr>
              <w:jc w:val="center"/>
              <w:rPr>
                <w:rFonts w:ascii="Aptos Narrow" w:hAnsi="Aptos Narrow"/>
                <w:color w:val="000000"/>
              </w:rPr>
            </w:pPr>
            <w:r>
              <w:rPr>
                <w:rFonts w:ascii="Aptos Narrow" w:hAnsi="Aptos Narrow"/>
                <w:color w:val="000000"/>
              </w:rPr>
              <w:t>2014</w:t>
            </w:r>
          </w:p>
        </w:tc>
        <w:tc>
          <w:tcPr>
            <w:tcW w:w="1960" w:type="dxa"/>
            <w:tcBorders>
              <w:top w:val="nil"/>
              <w:left w:val="nil"/>
              <w:bottom w:val="single" w:sz="8" w:space="0" w:color="auto"/>
              <w:right w:val="single" w:sz="8" w:space="0" w:color="auto"/>
            </w:tcBorders>
            <w:shd w:val="clear" w:color="auto" w:fill="auto"/>
            <w:noWrap/>
            <w:vAlign w:val="center"/>
            <w:hideMark/>
          </w:tcPr>
          <w:p w14:paraId="2564C71B" w14:textId="77777777" w:rsidR="00E35C50" w:rsidRDefault="00E35C50" w:rsidP="00E85F4B">
            <w:pPr>
              <w:jc w:val="center"/>
              <w:rPr>
                <w:rFonts w:ascii="Aptos Narrow" w:hAnsi="Aptos Narrow"/>
                <w:color w:val="000000"/>
              </w:rPr>
            </w:pPr>
            <w:r>
              <w:rPr>
                <w:rFonts w:ascii="Aptos Narrow" w:hAnsi="Aptos Narrow"/>
                <w:color w:val="000000"/>
              </w:rPr>
              <w:t>2.3529</w:t>
            </w:r>
          </w:p>
        </w:tc>
        <w:tc>
          <w:tcPr>
            <w:tcW w:w="1960" w:type="dxa"/>
            <w:tcBorders>
              <w:top w:val="nil"/>
              <w:left w:val="nil"/>
              <w:bottom w:val="single" w:sz="8" w:space="0" w:color="auto"/>
              <w:right w:val="single" w:sz="8" w:space="0" w:color="auto"/>
            </w:tcBorders>
            <w:shd w:val="clear" w:color="auto" w:fill="auto"/>
            <w:noWrap/>
            <w:vAlign w:val="center"/>
            <w:hideMark/>
          </w:tcPr>
          <w:p w14:paraId="26371F1E" w14:textId="77777777" w:rsidR="00E35C50" w:rsidRDefault="00E35C50" w:rsidP="00E85F4B">
            <w:pPr>
              <w:jc w:val="center"/>
              <w:rPr>
                <w:rFonts w:ascii="Aptos Narrow" w:hAnsi="Aptos Narrow"/>
                <w:color w:val="000000"/>
              </w:rPr>
            </w:pPr>
            <w:r>
              <w:rPr>
                <w:rFonts w:ascii="Aptos Narrow" w:hAnsi="Aptos Narrow"/>
                <w:color w:val="000000"/>
              </w:rPr>
              <w:t>61.0295</w:t>
            </w:r>
          </w:p>
        </w:tc>
        <w:tc>
          <w:tcPr>
            <w:tcW w:w="1760" w:type="dxa"/>
            <w:tcBorders>
              <w:top w:val="nil"/>
              <w:left w:val="nil"/>
              <w:bottom w:val="single" w:sz="8" w:space="0" w:color="auto"/>
              <w:right w:val="single" w:sz="8" w:space="0" w:color="auto"/>
            </w:tcBorders>
            <w:shd w:val="clear" w:color="auto" w:fill="auto"/>
            <w:noWrap/>
            <w:vAlign w:val="center"/>
            <w:hideMark/>
          </w:tcPr>
          <w:p w14:paraId="2BB1803E" w14:textId="77777777" w:rsidR="00E35C50" w:rsidRDefault="00E35C50" w:rsidP="00E85F4B">
            <w:pPr>
              <w:jc w:val="center"/>
              <w:rPr>
                <w:rFonts w:ascii="Aptos Narrow" w:hAnsi="Aptos Narrow"/>
                <w:color w:val="000000"/>
              </w:rPr>
            </w:pPr>
            <w:r>
              <w:rPr>
                <w:rFonts w:ascii="Aptos Narrow" w:hAnsi="Aptos Narrow"/>
                <w:color w:val="000000"/>
              </w:rPr>
              <w:t>158.5526</w:t>
            </w:r>
          </w:p>
        </w:tc>
      </w:tr>
      <w:tr w:rsidR="00E35C50" w14:paraId="51265504"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0538F66" w14:textId="77777777" w:rsidR="00E35C50" w:rsidRDefault="00E35C50" w:rsidP="00E85F4B">
            <w:pPr>
              <w:jc w:val="center"/>
              <w:rPr>
                <w:rFonts w:ascii="Aptos Narrow" w:hAnsi="Aptos Narrow"/>
                <w:color w:val="000000"/>
              </w:rPr>
            </w:pPr>
            <w:r>
              <w:rPr>
                <w:rFonts w:ascii="Aptos Narrow" w:hAnsi="Aptos Narrow"/>
                <w:color w:val="000000"/>
              </w:rPr>
              <w:t>2015</w:t>
            </w:r>
          </w:p>
        </w:tc>
        <w:tc>
          <w:tcPr>
            <w:tcW w:w="1960" w:type="dxa"/>
            <w:tcBorders>
              <w:top w:val="nil"/>
              <w:left w:val="nil"/>
              <w:bottom w:val="single" w:sz="8" w:space="0" w:color="auto"/>
              <w:right w:val="single" w:sz="8" w:space="0" w:color="auto"/>
            </w:tcBorders>
            <w:shd w:val="clear" w:color="auto" w:fill="auto"/>
            <w:noWrap/>
            <w:vAlign w:val="center"/>
            <w:hideMark/>
          </w:tcPr>
          <w:p w14:paraId="70B0F3E0" w14:textId="77777777" w:rsidR="00E35C50" w:rsidRDefault="00E35C50" w:rsidP="00E85F4B">
            <w:pPr>
              <w:jc w:val="center"/>
              <w:rPr>
                <w:rFonts w:ascii="Aptos Narrow" w:hAnsi="Aptos Narrow"/>
                <w:color w:val="000000"/>
              </w:rPr>
            </w:pPr>
            <w:r>
              <w:rPr>
                <w:rFonts w:ascii="Aptos Narrow" w:hAnsi="Aptos Narrow"/>
                <w:color w:val="000000"/>
              </w:rPr>
              <w:t>3.3269</w:t>
            </w:r>
          </w:p>
        </w:tc>
        <w:tc>
          <w:tcPr>
            <w:tcW w:w="1960" w:type="dxa"/>
            <w:tcBorders>
              <w:top w:val="nil"/>
              <w:left w:val="nil"/>
              <w:bottom w:val="single" w:sz="8" w:space="0" w:color="auto"/>
              <w:right w:val="single" w:sz="8" w:space="0" w:color="auto"/>
            </w:tcBorders>
            <w:shd w:val="clear" w:color="auto" w:fill="auto"/>
            <w:noWrap/>
            <w:vAlign w:val="center"/>
            <w:hideMark/>
          </w:tcPr>
          <w:p w14:paraId="4F88BE94" w14:textId="77777777" w:rsidR="00E35C50" w:rsidRDefault="00E35C50" w:rsidP="00E85F4B">
            <w:pPr>
              <w:jc w:val="center"/>
              <w:rPr>
                <w:rFonts w:ascii="Aptos Narrow" w:hAnsi="Aptos Narrow"/>
                <w:color w:val="000000"/>
              </w:rPr>
            </w:pPr>
            <w:r>
              <w:rPr>
                <w:rFonts w:ascii="Aptos Narrow" w:hAnsi="Aptos Narrow"/>
                <w:color w:val="000000"/>
              </w:rPr>
              <w:t>64.1519</w:t>
            </w:r>
          </w:p>
        </w:tc>
        <w:tc>
          <w:tcPr>
            <w:tcW w:w="1760" w:type="dxa"/>
            <w:tcBorders>
              <w:top w:val="nil"/>
              <w:left w:val="nil"/>
              <w:bottom w:val="single" w:sz="8" w:space="0" w:color="auto"/>
              <w:right w:val="single" w:sz="8" w:space="0" w:color="auto"/>
            </w:tcBorders>
            <w:shd w:val="clear" w:color="auto" w:fill="auto"/>
            <w:noWrap/>
            <w:vAlign w:val="center"/>
            <w:hideMark/>
          </w:tcPr>
          <w:p w14:paraId="4C040450" w14:textId="77777777" w:rsidR="00E35C50" w:rsidRDefault="00E35C50" w:rsidP="00E85F4B">
            <w:pPr>
              <w:jc w:val="center"/>
              <w:rPr>
                <w:rFonts w:ascii="Aptos Narrow" w:hAnsi="Aptos Narrow"/>
                <w:color w:val="000000"/>
              </w:rPr>
            </w:pPr>
            <w:r>
              <w:rPr>
                <w:rFonts w:ascii="Aptos Narrow" w:hAnsi="Aptos Narrow"/>
                <w:color w:val="000000"/>
              </w:rPr>
              <w:t>192.4403</w:t>
            </w:r>
          </w:p>
        </w:tc>
      </w:tr>
      <w:tr w:rsidR="00E35C50" w14:paraId="5AC0393A"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6986021" w14:textId="77777777" w:rsidR="00E35C50" w:rsidRDefault="00E35C50" w:rsidP="00E85F4B">
            <w:pPr>
              <w:jc w:val="center"/>
              <w:rPr>
                <w:rFonts w:ascii="Aptos Narrow" w:hAnsi="Aptos Narrow"/>
                <w:color w:val="000000"/>
              </w:rPr>
            </w:pPr>
            <w:r>
              <w:rPr>
                <w:rFonts w:ascii="Aptos Narrow" w:hAnsi="Aptos Narrow"/>
                <w:color w:val="000000"/>
              </w:rPr>
              <w:t>2016</w:t>
            </w:r>
          </w:p>
        </w:tc>
        <w:tc>
          <w:tcPr>
            <w:tcW w:w="1960" w:type="dxa"/>
            <w:tcBorders>
              <w:top w:val="nil"/>
              <w:left w:val="nil"/>
              <w:bottom w:val="single" w:sz="8" w:space="0" w:color="auto"/>
              <w:right w:val="single" w:sz="8" w:space="0" w:color="auto"/>
            </w:tcBorders>
            <w:shd w:val="clear" w:color="auto" w:fill="auto"/>
            <w:noWrap/>
            <w:vAlign w:val="center"/>
            <w:hideMark/>
          </w:tcPr>
          <w:p w14:paraId="5EACBE7C" w14:textId="77777777" w:rsidR="00E35C50" w:rsidRDefault="00E35C50" w:rsidP="00E85F4B">
            <w:pPr>
              <w:jc w:val="center"/>
              <w:rPr>
                <w:rFonts w:ascii="Aptos Narrow" w:hAnsi="Aptos Narrow"/>
                <w:color w:val="000000"/>
              </w:rPr>
            </w:pPr>
            <w:r>
              <w:rPr>
                <w:rFonts w:ascii="Aptos Narrow" w:hAnsi="Aptos Narrow"/>
                <w:color w:val="000000"/>
              </w:rPr>
              <w:t>3.4913</w:t>
            </w:r>
          </w:p>
        </w:tc>
        <w:tc>
          <w:tcPr>
            <w:tcW w:w="1960" w:type="dxa"/>
            <w:tcBorders>
              <w:top w:val="nil"/>
              <w:left w:val="nil"/>
              <w:bottom w:val="single" w:sz="8" w:space="0" w:color="auto"/>
              <w:right w:val="single" w:sz="8" w:space="0" w:color="auto"/>
            </w:tcBorders>
            <w:shd w:val="clear" w:color="auto" w:fill="auto"/>
            <w:noWrap/>
            <w:vAlign w:val="center"/>
            <w:hideMark/>
          </w:tcPr>
          <w:p w14:paraId="2414757D" w14:textId="77777777" w:rsidR="00E35C50" w:rsidRDefault="00E35C50" w:rsidP="00E85F4B">
            <w:pPr>
              <w:jc w:val="center"/>
              <w:rPr>
                <w:rFonts w:ascii="Aptos Narrow" w:hAnsi="Aptos Narrow"/>
                <w:color w:val="000000"/>
              </w:rPr>
            </w:pPr>
            <w:r>
              <w:rPr>
                <w:rFonts w:ascii="Aptos Narrow" w:hAnsi="Aptos Narrow"/>
                <w:color w:val="000000"/>
              </w:rPr>
              <w:t>67.1953</w:t>
            </w:r>
          </w:p>
        </w:tc>
        <w:tc>
          <w:tcPr>
            <w:tcW w:w="1760" w:type="dxa"/>
            <w:tcBorders>
              <w:top w:val="nil"/>
              <w:left w:val="nil"/>
              <w:bottom w:val="single" w:sz="8" w:space="0" w:color="auto"/>
              <w:right w:val="single" w:sz="8" w:space="0" w:color="auto"/>
            </w:tcBorders>
            <w:shd w:val="clear" w:color="auto" w:fill="auto"/>
            <w:noWrap/>
            <w:vAlign w:val="center"/>
            <w:hideMark/>
          </w:tcPr>
          <w:p w14:paraId="3FEBF91A" w14:textId="77777777" w:rsidR="00E35C50" w:rsidRDefault="00E35C50" w:rsidP="00E85F4B">
            <w:pPr>
              <w:jc w:val="center"/>
              <w:rPr>
                <w:rFonts w:ascii="Aptos Narrow" w:hAnsi="Aptos Narrow"/>
                <w:color w:val="000000"/>
              </w:rPr>
            </w:pPr>
            <w:r>
              <w:rPr>
                <w:rFonts w:ascii="Aptos Narrow" w:hAnsi="Aptos Narrow"/>
                <w:color w:val="000000"/>
              </w:rPr>
              <w:t>253.4920</w:t>
            </w:r>
          </w:p>
        </w:tc>
      </w:tr>
      <w:tr w:rsidR="00E35C50" w14:paraId="44AD3869"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B605DA9" w14:textId="77777777" w:rsidR="00E35C50" w:rsidRDefault="00E35C50" w:rsidP="00E85F4B">
            <w:pPr>
              <w:jc w:val="center"/>
              <w:rPr>
                <w:rFonts w:ascii="Aptos Narrow" w:hAnsi="Aptos Narrow"/>
                <w:color w:val="000000"/>
              </w:rPr>
            </w:pPr>
            <w:r>
              <w:rPr>
                <w:rFonts w:ascii="Aptos Narrow" w:hAnsi="Aptos Narrow"/>
                <w:color w:val="000000"/>
              </w:rPr>
              <w:t>2017</w:t>
            </w:r>
          </w:p>
        </w:tc>
        <w:tc>
          <w:tcPr>
            <w:tcW w:w="1960" w:type="dxa"/>
            <w:tcBorders>
              <w:top w:val="nil"/>
              <w:left w:val="nil"/>
              <w:bottom w:val="single" w:sz="8" w:space="0" w:color="auto"/>
              <w:right w:val="single" w:sz="8" w:space="0" w:color="auto"/>
            </w:tcBorders>
            <w:shd w:val="clear" w:color="auto" w:fill="auto"/>
            <w:noWrap/>
            <w:vAlign w:val="center"/>
            <w:hideMark/>
          </w:tcPr>
          <w:p w14:paraId="5AF5CBF9" w14:textId="77777777" w:rsidR="00E35C50" w:rsidRDefault="00E35C50" w:rsidP="00E85F4B">
            <w:pPr>
              <w:jc w:val="center"/>
              <w:rPr>
                <w:rFonts w:ascii="Aptos Narrow" w:hAnsi="Aptos Narrow"/>
                <w:color w:val="000000"/>
              </w:rPr>
            </w:pPr>
            <w:r>
              <w:rPr>
                <w:rFonts w:ascii="Aptos Narrow" w:hAnsi="Aptos Narrow"/>
                <w:color w:val="000000"/>
              </w:rPr>
              <w:t>3.1914</w:t>
            </w:r>
          </w:p>
        </w:tc>
        <w:tc>
          <w:tcPr>
            <w:tcW w:w="1960" w:type="dxa"/>
            <w:tcBorders>
              <w:top w:val="nil"/>
              <w:left w:val="nil"/>
              <w:bottom w:val="single" w:sz="8" w:space="0" w:color="auto"/>
              <w:right w:val="single" w:sz="8" w:space="0" w:color="auto"/>
            </w:tcBorders>
            <w:shd w:val="clear" w:color="auto" w:fill="auto"/>
            <w:noWrap/>
            <w:vAlign w:val="center"/>
            <w:hideMark/>
          </w:tcPr>
          <w:p w14:paraId="229EF669" w14:textId="77777777" w:rsidR="00E35C50" w:rsidRDefault="00E35C50" w:rsidP="00E85F4B">
            <w:pPr>
              <w:jc w:val="center"/>
              <w:rPr>
                <w:rFonts w:ascii="Aptos Narrow" w:hAnsi="Aptos Narrow"/>
                <w:color w:val="000000"/>
              </w:rPr>
            </w:pPr>
            <w:r>
              <w:rPr>
                <w:rFonts w:ascii="Aptos Narrow" w:hAnsi="Aptos Narrow"/>
                <w:color w:val="000000"/>
              </w:rPr>
              <w:t>65.1216</w:t>
            </w:r>
          </w:p>
        </w:tc>
        <w:tc>
          <w:tcPr>
            <w:tcW w:w="1760" w:type="dxa"/>
            <w:tcBorders>
              <w:top w:val="nil"/>
              <w:left w:val="nil"/>
              <w:bottom w:val="single" w:sz="8" w:space="0" w:color="auto"/>
              <w:right w:val="single" w:sz="8" w:space="0" w:color="auto"/>
            </w:tcBorders>
            <w:shd w:val="clear" w:color="auto" w:fill="auto"/>
            <w:noWrap/>
            <w:vAlign w:val="center"/>
            <w:hideMark/>
          </w:tcPr>
          <w:p w14:paraId="475FE3A6" w14:textId="77777777" w:rsidR="00E35C50" w:rsidRDefault="00E35C50" w:rsidP="00E85F4B">
            <w:pPr>
              <w:jc w:val="center"/>
              <w:rPr>
                <w:rFonts w:ascii="Aptos Narrow" w:hAnsi="Aptos Narrow"/>
                <w:color w:val="000000"/>
              </w:rPr>
            </w:pPr>
            <w:r>
              <w:rPr>
                <w:rFonts w:ascii="Aptos Narrow" w:hAnsi="Aptos Narrow"/>
                <w:color w:val="000000"/>
              </w:rPr>
              <w:t>305.7901</w:t>
            </w:r>
          </w:p>
        </w:tc>
      </w:tr>
      <w:tr w:rsidR="00E35C50" w14:paraId="5CAEFA2F"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4459FD92" w14:textId="77777777" w:rsidR="00E35C50" w:rsidRDefault="00E35C50" w:rsidP="00E85F4B">
            <w:pPr>
              <w:jc w:val="center"/>
              <w:rPr>
                <w:rFonts w:ascii="Aptos Narrow" w:hAnsi="Aptos Narrow"/>
                <w:color w:val="000000"/>
              </w:rPr>
            </w:pPr>
            <w:r>
              <w:rPr>
                <w:rFonts w:ascii="Aptos Narrow" w:hAnsi="Aptos Narrow"/>
                <w:color w:val="000000"/>
              </w:rPr>
              <w:t>2018</w:t>
            </w:r>
          </w:p>
        </w:tc>
        <w:tc>
          <w:tcPr>
            <w:tcW w:w="1960" w:type="dxa"/>
            <w:tcBorders>
              <w:top w:val="nil"/>
              <w:left w:val="nil"/>
              <w:bottom w:val="single" w:sz="8" w:space="0" w:color="auto"/>
              <w:right w:val="single" w:sz="8" w:space="0" w:color="auto"/>
            </w:tcBorders>
            <w:shd w:val="clear" w:color="auto" w:fill="auto"/>
            <w:noWrap/>
            <w:vAlign w:val="center"/>
            <w:hideMark/>
          </w:tcPr>
          <w:p w14:paraId="4B619352" w14:textId="77777777" w:rsidR="00E35C50" w:rsidRDefault="00E35C50" w:rsidP="00E85F4B">
            <w:pPr>
              <w:jc w:val="center"/>
              <w:rPr>
                <w:rFonts w:ascii="Aptos Narrow" w:hAnsi="Aptos Narrow"/>
                <w:color w:val="000000"/>
              </w:rPr>
            </w:pPr>
            <w:r>
              <w:rPr>
                <w:rFonts w:ascii="Aptos Narrow" w:hAnsi="Aptos Narrow"/>
                <w:color w:val="000000"/>
              </w:rPr>
              <w:t>3.6538</w:t>
            </w:r>
          </w:p>
        </w:tc>
        <w:tc>
          <w:tcPr>
            <w:tcW w:w="1960" w:type="dxa"/>
            <w:tcBorders>
              <w:top w:val="nil"/>
              <w:left w:val="nil"/>
              <w:bottom w:val="single" w:sz="8" w:space="0" w:color="auto"/>
              <w:right w:val="single" w:sz="8" w:space="0" w:color="auto"/>
            </w:tcBorders>
            <w:shd w:val="clear" w:color="auto" w:fill="auto"/>
            <w:noWrap/>
            <w:vAlign w:val="center"/>
            <w:hideMark/>
          </w:tcPr>
          <w:p w14:paraId="795D7CFD" w14:textId="77777777" w:rsidR="00E35C50" w:rsidRDefault="00E35C50" w:rsidP="00E85F4B">
            <w:pPr>
              <w:jc w:val="center"/>
              <w:rPr>
                <w:rFonts w:ascii="Aptos Narrow" w:hAnsi="Aptos Narrow"/>
                <w:color w:val="000000"/>
              </w:rPr>
            </w:pPr>
            <w:r>
              <w:rPr>
                <w:rFonts w:ascii="Aptos Narrow" w:hAnsi="Aptos Narrow"/>
                <w:color w:val="000000"/>
              </w:rPr>
              <w:t>68.3895</w:t>
            </w:r>
          </w:p>
        </w:tc>
        <w:tc>
          <w:tcPr>
            <w:tcW w:w="1760" w:type="dxa"/>
            <w:tcBorders>
              <w:top w:val="nil"/>
              <w:left w:val="nil"/>
              <w:bottom w:val="single" w:sz="8" w:space="0" w:color="auto"/>
              <w:right w:val="single" w:sz="8" w:space="0" w:color="auto"/>
            </w:tcBorders>
            <w:shd w:val="clear" w:color="auto" w:fill="auto"/>
            <w:noWrap/>
            <w:vAlign w:val="center"/>
            <w:hideMark/>
          </w:tcPr>
          <w:p w14:paraId="1290EBB3" w14:textId="77777777" w:rsidR="00E35C50" w:rsidRDefault="00E35C50" w:rsidP="00E85F4B">
            <w:pPr>
              <w:jc w:val="center"/>
              <w:rPr>
                <w:rFonts w:ascii="Aptos Narrow" w:hAnsi="Aptos Narrow"/>
                <w:color w:val="000000"/>
              </w:rPr>
            </w:pPr>
            <w:r>
              <w:rPr>
                <w:rFonts w:ascii="Aptos Narrow" w:hAnsi="Aptos Narrow"/>
                <w:color w:val="000000"/>
              </w:rPr>
              <w:t>306.0837</w:t>
            </w:r>
          </w:p>
        </w:tc>
      </w:tr>
      <w:tr w:rsidR="00E35C50" w14:paraId="68BF4B9B"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3FC0B3D7" w14:textId="77777777" w:rsidR="00E35C50" w:rsidRDefault="00E35C50" w:rsidP="00E85F4B">
            <w:pPr>
              <w:jc w:val="center"/>
              <w:rPr>
                <w:rFonts w:ascii="Aptos Narrow" w:hAnsi="Aptos Narrow"/>
                <w:color w:val="000000"/>
              </w:rPr>
            </w:pPr>
            <w:r>
              <w:rPr>
                <w:rFonts w:ascii="Aptos Narrow" w:hAnsi="Aptos Narrow"/>
                <w:color w:val="000000"/>
              </w:rPr>
              <w:t>2019</w:t>
            </w:r>
          </w:p>
        </w:tc>
        <w:tc>
          <w:tcPr>
            <w:tcW w:w="1960" w:type="dxa"/>
            <w:tcBorders>
              <w:top w:val="nil"/>
              <w:left w:val="nil"/>
              <w:bottom w:val="single" w:sz="8" w:space="0" w:color="auto"/>
              <w:right w:val="single" w:sz="8" w:space="0" w:color="auto"/>
            </w:tcBorders>
            <w:shd w:val="clear" w:color="auto" w:fill="auto"/>
            <w:noWrap/>
            <w:vAlign w:val="center"/>
            <w:hideMark/>
          </w:tcPr>
          <w:p w14:paraId="5EC025FB" w14:textId="77777777" w:rsidR="00E35C50" w:rsidRDefault="00E35C50" w:rsidP="00E85F4B">
            <w:pPr>
              <w:jc w:val="center"/>
              <w:rPr>
                <w:rFonts w:ascii="Aptos Narrow" w:hAnsi="Aptos Narrow"/>
                <w:color w:val="000000"/>
              </w:rPr>
            </w:pPr>
            <w:r>
              <w:rPr>
                <w:rFonts w:ascii="Aptos Narrow" w:hAnsi="Aptos Narrow"/>
                <w:color w:val="000000"/>
              </w:rPr>
              <w:t>3.9445</w:t>
            </w:r>
          </w:p>
        </w:tc>
        <w:tc>
          <w:tcPr>
            <w:tcW w:w="1960" w:type="dxa"/>
            <w:tcBorders>
              <w:top w:val="nil"/>
              <w:left w:val="nil"/>
              <w:bottom w:val="single" w:sz="8" w:space="0" w:color="auto"/>
              <w:right w:val="single" w:sz="8" w:space="0" w:color="auto"/>
            </w:tcBorders>
            <w:shd w:val="clear" w:color="auto" w:fill="auto"/>
            <w:noWrap/>
            <w:vAlign w:val="center"/>
            <w:hideMark/>
          </w:tcPr>
          <w:p w14:paraId="0C7DF716" w14:textId="77777777" w:rsidR="00E35C50" w:rsidRDefault="00E35C50" w:rsidP="00E85F4B">
            <w:pPr>
              <w:jc w:val="center"/>
              <w:rPr>
                <w:rFonts w:ascii="Aptos Narrow" w:hAnsi="Aptos Narrow"/>
                <w:color w:val="000000"/>
              </w:rPr>
            </w:pPr>
            <w:r>
              <w:rPr>
                <w:rFonts w:ascii="Aptos Narrow" w:hAnsi="Aptos Narrow"/>
                <w:color w:val="000000"/>
              </w:rPr>
              <w:t>70.4203</w:t>
            </w:r>
          </w:p>
        </w:tc>
        <w:tc>
          <w:tcPr>
            <w:tcW w:w="1760" w:type="dxa"/>
            <w:tcBorders>
              <w:top w:val="nil"/>
              <w:left w:val="nil"/>
              <w:bottom w:val="single" w:sz="8" w:space="0" w:color="auto"/>
              <w:right w:val="single" w:sz="8" w:space="0" w:color="auto"/>
            </w:tcBorders>
            <w:shd w:val="clear" w:color="auto" w:fill="auto"/>
            <w:noWrap/>
            <w:vAlign w:val="center"/>
            <w:hideMark/>
          </w:tcPr>
          <w:p w14:paraId="577CC5DB" w14:textId="77777777" w:rsidR="00E35C50" w:rsidRDefault="00E35C50" w:rsidP="00E85F4B">
            <w:pPr>
              <w:jc w:val="center"/>
              <w:rPr>
                <w:rFonts w:ascii="Aptos Narrow" w:hAnsi="Aptos Narrow"/>
                <w:color w:val="000000"/>
              </w:rPr>
            </w:pPr>
            <w:r>
              <w:rPr>
                <w:rFonts w:ascii="Aptos Narrow" w:hAnsi="Aptos Narrow"/>
                <w:color w:val="000000"/>
              </w:rPr>
              <w:t>306.9210</w:t>
            </w:r>
          </w:p>
        </w:tc>
      </w:tr>
      <w:tr w:rsidR="00E35C50" w14:paraId="232CD598"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DC46C7A" w14:textId="77777777" w:rsidR="00E35C50" w:rsidRDefault="00E35C50" w:rsidP="00E85F4B">
            <w:pPr>
              <w:jc w:val="center"/>
              <w:rPr>
                <w:rFonts w:ascii="Aptos Narrow" w:hAnsi="Aptos Narrow"/>
                <w:color w:val="000000"/>
              </w:rPr>
            </w:pPr>
            <w:r>
              <w:rPr>
                <w:rFonts w:ascii="Aptos Narrow" w:hAnsi="Aptos Narrow"/>
                <w:color w:val="000000"/>
              </w:rPr>
              <w:t>2020</w:t>
            </w:r>
          </w:p>
        </w:tc>
        <w:tc>
          <w:tcPr>
            <w:tcW w:w="1960" w:type="dxa"/>
            <w:tcBorders>
              <w:top w:val="nil"/>
              <w:left w:val="nil"/>
              <w:bottom w:val="single" w:sz="8" w:space="0" w:color="auto"/>
              <w:right w:val="single" w:sz="8" w:space="0" w:color="auto"/>
            </w:tcBorders>
            <w:shd w:val="clear" w:color="auto" w:fill="auto"/>
            <w:noWrap/>
            <w:vAlign w:val="center"/>
            <w:hideMark/>
          </w:tcPr>
          <w:p w14:paraId="43823EC4" w14:textId="77777777" w:rsidR="00E35C50" w:rsidRDefault="00E35C50" w:rsidP="00E85F4B">
            <w:pPr>
              <w:jc w:val="center"/>
              <w:rPr>
                <w:rFonts w:ascii="Aptos Narrow" w:hAnsi="Aptos Narrow"/>
                <w:color w:val="000000"/>
              </w:rPr>
            </w:pPr>
            <w:r>
              <w:rPr>
                <w:rFonts w:ascii="Aptos Narrow" w:hAnsi="Aptos Narrow"/>
                <w:color w:val="000000"/>
              </w:rPr>
              <w:t>5.1552</w:t>
            </w:r>
          </w:p>
        </w:tc>
        <w:tc>
          <w:tcPr>
            <w:tcW w:w="1960" w:type="dxa"/>
            <w:tcBorders>
              <w:top w:val="nil"/>
              <w:left w:val="nil"/>
              <w:bottom w:val="single" w:sz="8" w:space="0" w:color="auto"/>
              <w:right w:val="single" w:sz="8" w:space="0" w:color="auto"/>
            </w:tcBorders>
            <w:shd w:val="clear" w:color="auto" w:fill="auto"/>
            <w:noWrap/>
            <w:vAlign w:val="center"/>
            <w:hideMark/>
          </w:tcPr>
          <w:p w14:paraId="76AEB2C0" w14:textId="77777777" w:rsidR="00E35C50" w:rsidRDefault="00E35C50" w:rsidP="00E85F4B">
            <w:pPr>
              <w:jc w:val="center"/>
              <w:rPr>
                <w:rFonts w:ascii="Aptos Narrow" w:hAnsi="Aptos Narrow"/>
                <w:color w:val="000000"/>
              </w:rPr>
            </w:pPr>
            <w:r>
              <w:rPr>
                <w:rFonts w:ascii="Aptos Narrow" w:hAnsi="Aptos Narrow"/>
                <w:color w:val="000000"/>
              </w:rPr>
              <w:t>74.0996</w:t>
            </w:r>
          </w:p>
        </w:tc>
        <w:tc>
          <w:tcPr>
            <w:tcW w:w="1760" w:type="dxa"/>
            <w:tcBorders>
              <w:top w:val="nil"/>
              <w:left w:val="nil"/>
              <w:bottom w:val="single" w:sz="8" w:space="0" w:color="auto"/>
              <w:right w:val="single" w:sz="8" w:space="0" w:color="auto"/>
            </w:tcBorders>
            <w:shd w:val="clear" w:color="auto" w:fill="auto"/>
            <w:noWrap/>
            <w:vAlign w:val="center"/>
            <w:hideMark/>
          </w:tcPr>
          <w:p w14:paraId="270C6FE1" w14:textId="77777777" w:rsidR="00E35C50" w:rsidRDefault="00E35C50" w:rsidP="00E85F4B">
            <w:pPr>
              <w:jc w:val="center"/>
              <w:rPr>
                <w:rFonts w:ascii="Aptos Narrow" w:hAnsi="Aptos Narrow"/>
                <w:color w:val="000000"/>
              </w:rPr>
            </w:pPr>
            <w:r>
              <w:rPr>
                <w:rFonts w:ascii="Aptos Narrow" w:hAnsi="Aptos Narrow"/>
                <w:color w:val="000000"/>
              </w:rPr>
              <w:t>358.8108</w:t>
            </w:r>
          </w:p>
        </w:tc>
      </w:tr>
      <w:tr w:rsidR="00E35C50" w14:paraId="467BFCBB"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0A0AED4E" w14:textId="77777777" w:rsidR="00E35C50" w:rsidRDefault="00E35C50" w:rsidP="00E85F4B">
            <w:pPr>
              <w:jc w:val="center"/>
              <w:rPr>
                <w:rFonts w:ascii="Aptos Narrow" w:hAnsi="Aptos Narrow"/>
                <w:color w:val="000000"/>
              </w:rPr>
            </w:pPr>
            <w:r>
              <w:rPr>
                <w:rFonts w:ascii="Aptos Narrow" w:hAnsi="Aptos Narrow"/>
                <w:color w:val="000000"/>
              </w:rPr>
              <w:t>2021</w:t>
            </w:r>
          </w:p>
        </w:tc>
        <w:tc>
          <w:tcPr>
            <w:tcW w:w="1960" w:type="dxa"/>
            <w:tcBorders>
              <w:top w:val="nil"/>
              <w:left w:val="nil"/>
              <w:bottom w:val="single" w:sz="8" w:space="0" w:color="auto"/>
              <w:right w:val="single" w:sz="8" w:space="0" w:color="auto"/>
            </w:tcBorders>
            <w:shd w:val="clear" w:color="auto" w:fill="auto"/>
            <w:noWrap/>
            <w:vAlign w:val="center"/>
            <w:hideMark/>
          </w:tcPr>
          <w:p w14:paraId="603E8EF1" w14:textId="77777777" w:rsidR="00E35C50" w:rsidRDefault="00E35C50" w:rsidP="00E85F4B">
            <w:pPr>
              <w:jc w:val="center"/>
              <w:rPr>
                <w:rFonts w:ascii="Aptos Narrow" w:hAnsi="Aptos Narrow"/>
                <w:color w:val="000000"/>
              </w:rPr>
            </w:pPr>
            <w:r>
              <w:rPr>
                <w:rFonts w:ascii="Aptos Narrow" w:hAnsi="Aptos Narrow"/>
                <w:color w:val="000000"/>
              </w:rPr>
              <w:t>5.3944</w:t>
            </w:r>
          </w:p>
        </w:tc>
        <w:tc>
          <w:tcPr>
            <w:tcW w:w="1960" w:type="dxa"/>
            <w:tcBorders>
              <w:top w:val="nil"/>
              <w:left w:val="nil"/>
              <w:bottom w:val="single" w:sz="8" w:space="0" w:color="auto"/>
              <w:right w:val="single" w:sz="8" w:space="0" w:color="auto"/>
            </w:tcBorders>
            <w:shd w:val="clear" w:color="auto" w:fill="auto"/>
            <w:noWrap/>
            <w:vAlign w:val="center"/>
            <w:hideMark/>
          </w:tcPr>
          <w:p w14:paraId="5AFEA9F0" w14:textId="77777777" w:rsidR="00E35C50" w:rsidRDefault="00E35C50" w:rsidP="00E85F4B">
            <w:pPr>
              <w:jc w:val="center"/>
              <w:rPr>
                <w:rFonts w:ascii="Aptos Narrow" w:hAnsi="Aptos Narrow"/>
                <w:color w:val="000000"/>
              </w:rPr>
            </w:pPr>
            <w:r>
              <w:rPr>
                <w:rFonts w:ascii="Aptos Narrow" w:hAnsi="Aptos Narrow"/>
                <w:color w:val="000000"/>
              </w:rPr>
              <w:t>73.9180</w:t>
            </w:r>
          </w:p>
        </w:tc>
        <w:tc>
          <w:tcPr>
            <w:tcW w:w="1760" w:type="dxa"/>
            <w:tcBorders>
              <w:top w:val="nil"/>
              <w:left w:val="nil"/>
              <w:bottom w:val="single" w:sz="8" w:space="0" w:color="auto"/>
              <w:right w:val="single" w:sz="8" w:space="0" w:color="auto"/>
            </w:tcBorders>
            <w:shd w:val="clear" w:color="auto" w:fill="auto"/>
            <w:noWrap/>
            <w:vAlign w:val="center"/>
            <w:hideMark/>
          </w:tcPr>
          <w:p w14:paraId="76CA35B9" w14:textId="77777777" w:rsidR="00E35C50" w:rsidRDefault="00E35C50" w:rsidP="00E85F4B">
            <w:pPr>
              <w:jc w:val="center"/>
              <w:rPr>
                <w:rFonts w:ascii="Aptos Narrow" w:hAnsi="Aptos Narrow"/>
                <w:color w:val="000000"/>
              </w:rPr>
            </w:pPr>
            <w:r>
              <w:rPr>
                <w:rFonts w:ascii="Aptos Narrow" w:hAnsi="Aptos Narrow"/>
                <w:color w:val="000000"/>
              </w:rPr>
              <w:t>401.1520</w:t>
            </w:r>
          </w:p>
        </w:tc>
      </w:tr>
      <w:tr w:rsidR="00E35C50" w14:paraId="580C8CEB" w14:textId="77777777" w:rsidTr="00E85F4B">
        <w:trPr>
          <w:trHeight w:val="340"/>
          <w:jc w:val="center"/>
        </w:trPr>
        <w:tc>
          <w:tcPr>
            <w:tcW w:w="760" w:type="dxa"/>
            <w:tcBorders>
              <w:top w:val="nil"/>
              <w:left w:val="single" w:sz="8" w:space="0" w:color="auto"/>
              <w:bottom w:val="single" w:sz="8" w:space="0" w:color="auto"/>
              <w:right w:val="single" w:sz="8" w:space="0" w:color="auto"/>
            </w:tcBorders>
            <w:shd w:val="clear" w:color="auto" w:fill="auto"/>
            <w:noWrap/>
            <w:vAlign w:val="center"/>
            <w:hideMark/>
          </w:tcPr>
          <w:p w14:paraId="1D9B7BF6" w14:textId="77777777" w:rsidR="00E35C50" w:rsidRDefault="00E35C50" w:rsidP="00E85F4B">
            <w:pPr>
              <w:jc w:val="center"/>
              <w:rPr>
                <w:rFonts w:ascii="Aptos Narrow" w:hAnsi="Aptos Narrow"/>
                <w:color w:val="000000"/>
              </w:rPr>
            </w:pPr>
            <w:r>
              <w:rPr>
                <w:rFonts w:ascii="Aptos Narrow" w:hAnsi="Aptos Narrow"/>
                <w:color w:val="000000"/>
              </w:rPr>
              <w:t>2022</w:t>
            </w:r>
          </w:p>
        </w:tc>
        <w:tc>
          <w:tcPr>
            <w:tcW w:w="1960" w:type="dxa"/>
            <w:tcBorders>
              <w:top w:val="nil"/>
              <w:left w:val="nil"/>
              <w:bottom w:val="single" w:sz="8" w:space="0" w:color="auto"/>
              <w:right w:val="single" w:sz="8" w:space="0" w:color="auto"/>
            </w:tcBorders>
            <w:shd w:val="clear" w:color="auto" w:fill="auto"/>
            <w:noWrap/>
            <w:vAlign w:val="center"/>
            <w:hideMark/>
          </w:tcPr>
          <w:p w14:paraId="70EF40AA" w14:textId="77777777" w:rsidR="00E35C50" w:rsidRDefault="00E35C50" w:rsidP="00E85F4B">
            <w:pPr>
              <w:jc w:val="center"/>
              <w:rPr>
                <w:rFonts w:ascii="Aptos Narrow" w:hAnsi="Aptos Narrow"/>
                <w:color w:val="000000"/>
              </w:rPr>
            </w:pPr>
            <w:r>
              <w:rPr>
                <w:rFonts w:ascii="Aptos Narrow" w:hAnsi="Aptos Narrow"/>
                <w:color w:val="000000"/>
              </w:rPr>
              <w:t>5.1640</w:t>
            </w:r>
          </w:p>
        </w:tc>
        <w:tc>
          <w:tcPr>
            <w:tcW w:w="1960" w:type="dxa"/>
            <w:tcBorders>
              <w:top w:val="nil"/>
              <w:left w:val="nil"/>
              <w:bottom w:val="single" w:sz="8" w:space="0" w:color="auto"/>
              <w:right w:val="single" w:sz="8" w:space="0" w:color="auto"/>
            </w:tcBorders>
            <w:shd w:val="clear" w:color="auto" w:fill="auto"/>
            <w:noWrap/>
            <w:vAlign w:val="center"/>
            <w:hideMark/>
          </w:tcPr>
          <w:p w14:paraId="2590B1B8" w14:textId="77777777" w:rsidR="00E35C50" w:rsidRDefault="00E35C50" w:rsidP="00E85F4B">
            <w:pPr>
              <w:jc w:val="center"/>
              <w:rPr>
                <w:rFonts w:ascii="Aptos Narrow" w:hAnsi="Aptos Narrow"/>
                <w:color w:val="000000"/>
              </w:rPr>
            </w:pPr>
            <w:r>
              <w:rPr>
                <w:rFonts w:ascii="Aptos Narrow" w:hAnsi="Aptos Narrow"/>
                <w:color w:val="000000"/>
              </w:rPr>
              <w:t>78.6045</w:t>
            </w:r>
          </w:p>
        </w:tc>
        <w:tc>
          <w:tcPr>
            <w:tcW w:w="1760" w:type="dxa"/>
            <w:tcBorders>
              <w:top w:val="nil"/>
              <w:left w:val="nil"/>
              <w:bottom w:val="single" w:sz="8" w:space="0" w:color="auto"/>
              <w:right w:val="single" w:sz="8" w:space="0" w:color="auto"/>
            </w:tcBorders>
            <w:shd w:val="clear" w:color="auto" w:fill="auto"/>
            <w:noWrap/>
            <w:vAlign w:val="center"/>
            <w:hideMark/>
          </w:tcPr>
          <w:p w14:paraId="3AFEB257" w14:textId="77777777" w:rsidR="00E35C50" w:rsidRDefault="00E35C50" w:rsidP="00E85F4B">
            <w:pPr>
              <w:jc w:val="center"/>
              <w:rPr>
                <w:rFonts w:ascii="Aptos Narrow" w:hAnsi="Aptos Narrow"/>
                <w:color w:val="000000"/>
              </w:rPr>
            </w:pPr>
            <w:r>
              <w:rPr>
                <w:rFonts w:ascii="Aptos Narrow" w:hAnsi="Aptos Narrow"/>
                <w:color w:val="000000"/>
              </w:rPr>
              <w:t>425.9792</w:t>
            </w:r>
          </w:p>
        </w:tc>
      </w:tr>
    </w:tbl>
    <w:p w14:paraId="748700FD" w14:textId="77777777" w:rsidR="00E35C50" w:rsidRDefault="00E35C50" w:rsidP="00E35C50">
      <w:pPr>
        <w:pStyle w:val="NormalWeb"/>
        <w:rPr>
          <w:b/>
          <w:bCs/>
          <w:lang w:val="en-US"/>
        </w:rPr>
      </w:pPr>
    </w:p>
    <w:p w14:paraId="7A3DE025" w14:textId="77777777" w:rsidR="00E35C50" w:rsidRPr="00993A5F" w:rsidRDefault="00E35C50" w:rsidP="00E35C50">
      <w:pPr>
        <w:pStyle w:val="NormalWeb"/>
        <w:rPr>
          <w:b/>
          <w:bCs/>
          <w:lang w:val="en-US"/>
        </w:rPr>
      </w:pPr>
    </w:p>
    <w:p w14:paraId="32CCDD8F" w14:textId="77777777" w:rsidR="00E35C50" w:rsidRPr="00993A5F" w:rsidRDefault="00E35C50" w:rsidP="00E35C50">
      <w:pPr>
        <w:pStyle w:val="NormalWeb"/>
        <w:rPr>
          <w:b/>
          <w:bCs/>
          <w:lang w:val="en-US"/>
        </w:rPr>
      </w:pPr>
    </w:p>
    <w:p w14:paraId="785C8300" w14:textId="77777777" w:rsidR="00E35C50" w:rsidRPr="00993A5F" w:rsidRDefault="00E35C50" w:rsidP="00E35C50">
      <w:pPr>
        <w:pStyle w:val="NormalWeb"/>
        <w:rPr>
          <w:lang w:val="en-US"/>
        </w:rPr>
      </w:pPr>
    </w:p>
    <w:p w14:paraId="101A7EDB" w14:textId="77777777" w:rsidR="00E35C50" w:rsidRPr="00993A5F" w:rsidRDefault="00E35C50" w:rsidP="00E35C50">
      <w:pPr>
        <w:rPr>
          <w:lang w:val="en-US"/>
        </w:rPr>
      </w:pPr>
    </w:p>
    <w:p w14:paraId="244B00AE" w14:textId="77777777" w:rsidR="00755780" w:rsidRDefault="00755780"/>
    <w:sectPr w:rsidR="00755780" w:rsidSect="00E35C50">
      <w:footerReference w:type="even" r:id="rId5"/>
      <w:footerReference w:type="default" r:id="rI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72189204"/>
      <w:docPartObj>
        <w:docPartGallery w:val="Page Numbers (Bottom of Page)"/>
        <w:docPartUnique/>
      </w:docPartObj>
    </w:sdtPr>
    <w:sdtContent>
      <w:p w14:paraId="638141BE" w14:textId="77777777" w:rsidR="00000000" w:rsidRDefault="00000000" w:rsidP="009E59B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C3F9FA"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38216067"/>
      <w:docPartObj>
        <w:docPartGallery w:val="Page Numbers (Bottom of Page)"/>
        <w:docPartUnique/>
      </w:docPartObj>
    </w:sdtPr>
    <w:sdtContent>
      <w:p w14:paraId="75C6E1B4" w14:textId="77777777" w:rsidR="00000000" w:rsidRDefault="00000000" w:rsidP="009E59B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69CDBE29" w14:textId="77777777" w:rsidR="00000000" w:rsidRDefault="00000000" w:rsidP="0049299A">
    <w:pPr>
      <w:pStyle w:val="Footer"/>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45F48"/>
    <w:multiLevelType w:val="multilevel"/>
    <w:tmpl w:val="1CF06A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5C734E"/>
    <w:multiLevelType w:val="hybridMultilevel"/>
    <w:tmpl w:val="66BEE39E"/>
    <w:lvl w:ilvl="0" w:tplc="D46CD560">
      <w:start w:val="3"/>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B244CE"/>
    <w:multiLevelType w:val="multilevel"/>
    <w:tmpl w:val="92A09A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E2080"/>
    <w:multiLevelType w:val="multilevel"/>
    <w:tmpl w:val="FDC4E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8F5624"/>
    <w:multiLevelType w:val="multilevel"/>
    <w:tmpl w:val="BD7E0B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B81828"/>
    <w:multiLevelType w:val="multilevel"/>
    <w:tmpl w:val="C97E5D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C570E3C"/>
    <w:multiLevelType w:val="multilevel"/>
    <w:tmpl w:val="7B82A0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8F0C4C"/>
    <w:multiLevelType w:val="multilevel"/>
    <w:tmpl w:val="FDF668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2213F01"/>
    <w:multiLevelType w:val="multilevel"/>
    <w:tmpl w:val="AF5869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CF75538"/>
    <w:multiLevelType w:val="multilevel"/>
    <w:tmpl w:val="F4201C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426E8E"/>
    <w:multiLevelType w:val="multilevel"/>
    <w:tmpl w:val="3B9C5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53652B"/>
    <w:multiLevelType w:val="multilevel"/>
    <w:tmpl w:val="039490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FB32AC"/>
    <w:multiLevelType w:val="hybridMultilevel"/>
    <w:tmpl w:val="870444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780F3801"/>
    <w:multiLevelType w:val="hybridMultilevel"/>
    <w:tmpl w:val="6F72C0B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667170358">
    <w:abstractNumId w:val="9"/>
  </w:num>
  <w:num w:numId="2" w16cid:durableId="114636914">
    <w:abstractNumId w:val="2"/>
  </w:num>
  <w:num w:numId="3" w16cid:durableId="340858493">
    <w:abstractNumId w:val="7"/>
  </w:num>
  <w:num w:numId="4" w16cid:durableId="1913661300">
    <w:abstractNumId w:val="5"/>
  </w:num>
  <w:num w:numId="5" w16cid:durableId="1127549956">
    <w:abstractNumId w:val="4"/>
  </w:num>
  <w:num w:numId="6" w16cid:durableId="261768477">
    <w:abstractNumId w:val="6"/>
  </w:num>
  <w:num w:numId="7" w16cid:durableId="1502047128">
    <w:abstractNumId w:val="11"/>
  </w:num>
  <w:num w:numId="8" w16cid:durableId="1121729050">
    <w:abstractNumId w:val="3"/>
  </w:num>
  <w:num w:numId="9" w16cid:durableId="329913457">
    <w:abstractNumId w:val="10"/>
  </w:num>
  <w:num w:numId="10" w16cid:durableId="2048793841">
    <w:abstractNumId w:val="8"/>
  </w:num>
  <w:num w:numId="11" w16cid:durableId="1724866805">
    <w:abstractNumId w:val="0"/>
  </w:num>
  <w:num w:numId="12" w16cid:durableId="1067265171">
    <w:abstractNumId w:val="1"/>
  </w:num>
  <w:num w:numId="13" w16cid:durableId="1379090169">
    <w:abstractNumId w:val="12"/>
  </w:num>
  <w:num w:numId="14" w16cid:durableId="78939726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C50"/>
    <w:rsid w:val="00331A6B"/>
    <w:rsid w:val="00561423"/>
    <w:rsid w:val="00755780"/>
    <w:rsid w:val="00857596"/>
    <w:rsid w:val="00E35C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48C32"/>
  <w15:chartTrackingRefBased/>
  <w15:docId w15:val="{50CC4395-BAE5-4048-A35B-28BF97A7A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5C50"/>
    <w:pPr>
      <w:spacing w:after="0" w:line="240" w:lineRule="auto"/>
    </w:pPr>
    <w:rPr>
      <w:rFonts w:ascii="Times New Roman" w:eastAsia="Times New Roman" w:hAnsi="Times New Roman" w:cs="Times New Roman"/>
      <w:kern w:val="0"/>
      <w:sz w:val="24"/>
      <w:szCs w:val="24"/>
      <w:lang w:val="fr-FR" w:eastAsia="fr-FR"/>
      <w14:ligatures w14:val="none"/>
    </w:rPr>
  </w:style>
  <w:style w:type="paragraph" w:styleId="Heading1">
    <w:name w:val="heading 1"/>
    <w:basedOn w:val="Normal"/>
    <w:next w:val="Normal"/>
    <w:link w:val="Heading1Char"/>
    <w:uiPriority w:val="9"/>
    <w:qFormat/>
    <w:rsid w:val="00E35C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5C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5C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35C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5C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5C5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5C5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5C5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5C5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C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5C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5C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35C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5C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5C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5C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5C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5C50"/>
    <w:rPr>
      <w:rFonts w:eastAsiaTheme="majorEastAsia" w:cstheme="majorBidi"/>
      <w:color w:val="272727" w:themeColor="text1" w:themeTint="D8"/>
    </w:rPr>
  </w:style>
  <w:style w:type="paragraph" w:styleId="Title">
    <w:name w:val="Title"/>
    <w:basedOn w:val="Normal"/>
    <w:next w:val="Normal"/>
    <w:link w:val="TitleChar"/>
    <w:uiPriority w:val="10"/>
    <w:qFormat/>
    <w:rsid w:val="00E35C5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C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C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C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5C50"/>
    <w:pPr>
      <w:spacing w:before="160"/>
      <w:jc w:val="center"/>
    </w:pPr>
    <w:rPr>
      <w:i/>
      <w:iCs/>
      <w:color w:val="404040" w:themeColor="text1" w:themeTint="BF"/>
    </w:rPr>
  </w:style>
  <w:style w:type="character" w:customStyle="1" w:styleId="QuoteChar">
    <w:name w:val="Quote Char"/>
    <w:basedOn w:val="DefaultParagraphFont"/>
    <w:link w:val="Quote"/>
    <w:uiPriority w:val="29"/>
    <w:rsid w:val="00E35C50"/>
    <w:rPr>
      <w:i/>
      <w:iCs/>
      <w:color w:val="404040" w:themeColor="text1" w:themeTint="BF"/>
    </w:rPr>
  </w:style>
  <w:style w:type="paragraph" w:styleId="ListParagraph">
    <w:name w:val="List Paragraph"/>
    <w:basedOn w:val="Normal"/>
    <w:uiPriority w:val="34"/>
    <w:qFormat/>
    <w:rsid w:val="00E35C50"/>
    <w:pPr>
      <w:ind w:left="720"/>
      <w:contextualSpacing/>
    </w:pPr>
  </w:style>
  <w:style w:type="character" w:styleId="IntenseEmphasis">
    <w:name w:val="Intense Emphasis"/>
    <w:basedOn w:val="DefaultParagraphFont"/>
    <w:uiPriority w:val="21"/>
    <w:qFormat/>
    <w:rsid w:val="00E35C50"/>
    <w:rPr>
      <w:i/>
      <w:iCs/>
      <w:color w:val="0F4761" w:themeColor="accent1" w:themeShade="BF"/>
    </w:rPr>
  </w:style>
  <w:style w:type="paragraph" w:styleId="IntenseQuote">
    <w:name w:val="Intense Quote"/>
    <w:basedOn w:val="Normal"/>
    <w:next w:val="Normal"/>
    <w:link w:val="IntenseQuoteChar"/>
    <w:uiPriority w:val="30"/>
    <w:qFormat/>
    <w:rsid w:val="00E35C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5C50"/>
    <w:rPr>
      <w:i/>
      <w:iCs/>
      <w:color w:val="0F4761" w:themeColor="accent1" w:themeShade="BF"/>
    </w:rPr>
  </w:style>
  <w:style w:type="character" w:styleId="IntenseReference">
    <w:name w:val="Intense Reference"/>
    <w:basedOn w:val="DefaultParagraphFont"/>
    <w:uiPriority w:val="32"/>
    <w:qFormat/>
    <w:rsid w:val="00E35C50"/>
    <w:rPr>
      <w:b/>
      <w:bCs/>
      <w:smallCaps/>
      <w:color w:val="0F4761" w:themeColor="accent1" w:themeShade="BF"/>
      <w:spacing w:val="5"/>
    </w:rPr>
  </w:style>
  <w:style w:type="paragraph" w:styleId="NormalWeb">
    <w:name w:val="Normal (Web)"/>
    <w:basedOn w:val="Normal"/>
    <w:uiPriority w:val="99"/>
    <w:unhideWhenUsed/>
    <w:rsid w:val="00E35C50"/>
    <w:pPr>
      <w:spacing w:before="100" w:beforeAutospacing="1" w:after="100" w:afterAutospacing="1"/>
    </w:pPr>
  </w:style>
  <w:style w:type="character" w:styleId="Strong">
    <w:name w:val="Strong"/>
    <w:basedOn w:val="DefaultParagraphFont"/>
    <w:uiPriority w:val="22"/>
    <w:qFormat/>
    <w:rsid w:val="00E35C50"/>
    <w:rPr>
      <w:b/>
      <w:bCs/>
    </w:rPr>
  </w:style>
  <w:style w:type="character" w:styleId="PlaceholderText">
    <w:name w:val="Placeholder Text"/>
    <w:basedOn w:val="DefaultParagraphFont"/>
    <w:uiPriority w:val="99"/>
    <w:semiHidden/>
    <w:rsid w:val="00E35C50"/>
    <w:rPr>
      <w:color w:val="808080"/>
    </w:rPr>
  </w:style>
  <w:style w:type="character" w:customStyle="1" w:styleId="katex-mathml">
    <w:name w:val="katex-mathml"/>
    <w:basedOn w:val="DefaultParagraphFont"/>
    <w:rsid w:val="00E35C50"/>
  </w:style>
  <w:style w:type="character" w:customStyle="1" w:styleId="mord">
    <w:name w:val="mord"/>
    <w:basedOn w:val="DefaultParagraphFont"/>
    <w:rsid w:val="00E35C50"/>
  </w:style>
  <w:style w:type="character" w:customStyle="1" w:styleId="vlist-s">
    <w:name w:val="vlist-s"/>
    <w:basedOn w:val="DefaultParagraphFont"/>
    <w:rsid w:val="00E35C50"/>
  </w:style>
  <w:style w:type="character" w:customStyle="1" w:styleId="mbin">
    <w:name w:val="mbin"/>
    <w:basedOn w:val="DefaultParagraphFont"/>
    <w:rsid w:val="00E35C50"/>
  </w:style>
  <w:style w:type="character" w:customStyle="1" w:styleId="mopen">
    <w:name w:val="mopen"/>
    <w:basedOn w:val="DefaultParagraphFont"/>
    <w:rsid w:val="00E35C50"/>
  </w:style>
  <w:style w:type="character" w:customStyle="1" w:styleId="mclose">
    <w:name w:val="mclose"/>
    <w:basedOn w:val="DefaultParagraphFont"/>
    <w:rsid w:val="00E35C50"/>
  </w:style>
  <w:style w:type="paragraph" w:styleId="Caption">
    <w:name w:val="caption"/>
    <w:basedOn w:val="Normal"/>
    <w:next w:val="Normal"/>
    <w:uiPriority w:val="35"/>
    <w:unhideWhenUsed/>
    <w:qFormat/>
    <w:rsid w:val="00E35C50"/>
    <w:pPr>
      <w:spacing w:after="200"/>
    </w:pPr>
    <w:rPr>
      <w:rFonts w:asciiTheme="minorHAnsi" w:eastAsiaTheme="minorHAnsi" w:hAnsiTheme="minorHAnsi" w:cstheme="minorBidi"/>
      <w:i/>
      <w:iCs/>
      <w:color w:val="0E2841" w:themeColor="text2"/>
      <w:sz w:val="18"/>
      <w:szCs w:val="18"/>
      <w:lang w:eastAsia="en-US"/>
    </w:rPr>
  </w:style>
  <w:style w:type="character" w:customStyle="1" w:styleId="uppercase">
    <w:name w:val="uppercase"/>
    <w:basedOn w:val="DefaultParagraphFont"/>
    <w:rsid w:val="00E35C50"/>
  </w:style>
  <w:style w:type="character" w:styleId="Hyperlink">
    <w:name w:val="Hyperlink"/>
    <w:basedOn w:val="DefaultParagraphFont"/>
    <w:uiPriority w:val="99"/>
    <w:unhideWhenUsed/>
    <w:rsid w:val="00E35C50"/>
    <w:rPr>
      <w:color w:val="0000FF"/>
      <w:u w:val="single"/>
    </w:rPr>
  </w:style>
  <w:style w:type="character" w:customStyle="1" w:styleId="Mentionnonrsolue1">
    <w:name w:val="Mention non résolue1"/>
    <w:basedOn w:val="DefaultParagraphFont"/>
    <w:uiPriority w:val="99"/>
    <w:semiHidden/>
    <w:unhideWhenUsed/>
    <w:rsid w:val="00E35C50"/>
    <w:rPr>
      <w:color w:val="605E5C"/>
      <w:shd w:val="clear" w:color="auto" w:fill="E1DFDD"/>
    </w:rPr>
  </w:style>
  <w:style w:type="paragraph" w:styleId="Header">
    <w:name w:val="header"/>
    <w:basedOn w:val="Normal"/>
    <w:link w:val="HeaderChar"/>
    <w:uiPriority w:val="99"/>
    <w:unhideWhenUsed/>
    <w:rsid w:val="00E35C50"/>
    <w:pPr>
      <w:tabs>
        <w:tab w:val="center" w:pos="4536"/>
        <w:tab w:val="right" w:pos="9072"/>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E35C50"/>
    <w:rPr>
      <w:kern w:val="0"/>
      <w:lang w:val="fr-FR"/>
      <w14:ligatures w14:val="none"/>
    </w:rPr>
  </w:style>
  <w:style w:type="paragraph" w:styleId="Footer">
    <w:name w:val="footer"/>
    <w:basedOn w:val="Normal"/>
    <w:link w:val="FooterChar"/>
    <w:uiPriority w:val="99"/>
    <w:unhideWhenUsed/>
    <w:rsid w:val="00E35C50"/>
    <w:pPr>
      <w:tabs>
        <w:tab w:val="center" w:pos="4536"/>
        <w:tab w:val="right" w:pos="9072"/>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E35C50"/>
    <w:rPr>
      <w:kern w:val="0"/>
      <w:lang w:val="fr-FR"/>
      <w14:ligatures w14:val="none"/>
    </w:rPr>
  </w:style>
  <w:style w:type="character" w:styleId="PageNumber">
    <w:name w:val="page number"/>
    <w:basedOn w:val="DefaultParagraphFont"/>
    <w:uiPriority w:val="99"/>
    <w:semiHidden/>
    <w:unhideWhenUsed/>
    <w:rsid w:val="00E35C50"/>
  </w:style>
  <w:style w:type="character" w:styleId="FollowedHyperlink">
    <w:name w:val="FollowedHyperlink"/>
    <w:basedOn w:val="DefaultParagraphFont"/>
    <w:uiPriority w:val="99"/>
    <w:semiHidden/>
    <w:unhideWhenUsed/>
    <w:rsid w:val="00E35C50"/>
    <w:rPr>
      <w:color w:val="96607D" w:themeColor="followedHyperlink"/>
      <w:u w:val="single"/>
    </w:rPr>
  </w:style>
  <w:style w:type="paragraph" w:styleId="FootnoteText">
    <w:name w:val="footnote text"/>
    <w:basedOn w:val="Normal"/>
    <w:link w:val="FootnoteTextChar"/>
    <w:uiPriority w:val="99"/>
    <w:unhideWhenUsed/>
    <w:rsid w:val="00E35C50"/>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rsid w:val="00E35C50"/>
    <w:rPr>
      <w:kern w:val="0"/>
      <w:sz w:val="20"/>
      <w:szCs w:val="20"/>
      <w:lang w:val="fr-FR"/>
      <w14:ligatures w14:val="none"/>
    </w:rPr>
  </w:style>
  <w:style w:type="character" w:styleId="FootnoteReference">
    <w:name w:val="footnote reference"/>
    <w:basedOn w:val="DefaultParagraphFont"/>
    <w:uiPriority w:val="99"/>
    <w:semiHidden/>
    <w:unhideWhenUsed/>
    <w:rsid w:val="00E35C50"/>
    <w:rPr>
      <w:vertAlign w:val="superscript"/>
    </w:rPr>
  </w:style>
  <w:style w:type="character" w:customStyle="1" w:styleId="hljs-number">
    <w:name w:val="hljs-number"/>
    <w:basedOn w:val="DefaultParagraphFont"/>
    <w:rsid w:val="00E35C50"/>
  </w:style>
  <w:style w:type="character" w:customStyle="1" w:styleId="hljs-punctuation">
    <w:name w:val="hljs-punctuation"/>
    <w:basedOn w:val="DefaultParagraphFont"/>
    <w:rsid w:val="00E35C50"/>
  </w:style>
  <w:style w:type="character" w:customStyle="1" w:styleId="hljs-operator">
    <w:name w:val="hljs-operator"/>
    <w:basedOn w:val="DefaultParagraphFont"/>
    <w:rsid w:val="00E35C50"/>
  </w:style>
  <w:style w:type="table" w:styleId="TableGrid">
    <w:name w:val="Table Grid"/>
    <w:basedOn w:val="TableNormal"/>
    <w:uiPriority w:val="39"/>
    <w:rsid w:val="00E35C50"/>
    <w:pPr>
      <w:spacing w:after="0" w:line="240" w:lineRule="auto"/>
    </w:pPr>
    <w:rPr>
      <w:kern w:val="0"/>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E35C50"/>
    <w:rPr>
      <w:i/>
      <w:iCs/>
    </w:rPr>
  </w:style>
  <w:style w:type="character" w:customStyle="1" w:styleId="Mentionnonrsolue2">
    <w:name w:val="Mention non résolue2"/>
    <w:basedOn w:val="DefaultParagraphFont"/>
    <w:uiPriority w:val="99"/>
    <w:semiHidden/>
    <w:unhideWhenUsed/>
    <w:rsid w:val="00E35C50"/>
    <w:rPr>
      <w:color w:val="605E5C"/>
      <w:shd w:val="clear" w:color="auto" w:fill="E1DFDD"/>
    </w:rPr>
  </w:style>
  <w:style w:type="character" w:customStyle="1" w:styleId="url">
    <w:name w:val="url"/>
    <w:basedOn w:val="DefaultParagraphFont"/>
    <w:rsid w:val="00E35C50"/>
  </w:style>
  <w:style w:type="paragraph" w:styleId="HTMLPreformatted">
    <w:name w:val="HTML Preformatted"/>
    <w:basedOn w:val="Normal"/>
    <w:link w:val="HTMLPreformattedChar"/>
    <w:uiPriority w:val="99"/>
    <w:semiHidden/>
    <w:unhideWhenUsed/>
    <w:rsid w:val="00E35C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E35C50"/>
    <w:rPr>
      <w:rFonts w:ascii="Courier New" w:eastAsia="Times New Roman" w:hAnsi="Courier New" w:cs="Courier New"/>
      <w:kern w:val="0"/>
      <w:sz w:val="20"/>
      <w:szCs w:val="20"/>
      <w:lang w:val="fr-FR" w:eastAsia="fr-FR"/>
      <w14:ligatures w14:val="none"/>
    </w:rPr>
  </w:style>
  <w:style w:type="character" w:customStyle="1" w:styleId="y2iqfc">
    <w:name w:val="y2iqfc"/>
    <w:basedOn w:val="DefaultParagraphFont"/>
    <w:rsid w:val="00E35C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1280</Words>
  <Characters>7299</Characters>
  <Application>Microsoft Office Word</Application>
  <DocSecurity>0</DocSecurity>
  <Lines>60</Lines>
  <Paragraphs>17</Paragraphs>
  <ScaleCrop>false</ScaleCrop>
  <Company>Springer Nature</Company>
  <LinksUpToDate>false</LinksUpToDate>
  <CharactersWithSpaces>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2024-10-18T02:42:00Z</dcterms:created>
  <dcterms:modified xsi:type="dcterms:W3CDTF">2024-10-18T02:43:00Z</dcterms:modified>
</cp:coreProperties>
</file>