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5940" w:rsidRPr="00D9416E" w:rsidRDefault="00A21FC2">
      <w:pPr>
        <w:rPr>
          <w:rFonts w:ascii="Times New Roman" w:hAnsi="Times New Roman" w:cs="Times New Roman"/>
          <w:sz w:val="20"/>
          <w:szCs w:val="20"/>
        </w:rPr>
      </w:pPr>
      <w:r w:rsidRPr="00D9416E">
        <w:rPr>
          <w:rFonts w:ascii="Times New Roman" w:hAnsi="Times New Roman" w:cs="Times New Roman"/>
          <w:sz w:val="20"/>
          <w:szCs w:val="20"/>
        </w:rPr>
        <w:t>Appendix</w:t>
      </w:r>
    </w:p>
    <w:p w:rsidR="002A00FC" w:rsidRPr="00963E14" w:rsidRDefault="002A00FC" w:rsidP="002A00FC">
      <w:pPr>
        <w:rPr>
          <w:rFonts w:eastAsia="Times New Roman" w:cs="Times New Roman"/>
          <w:bCs/>
          <w:sz w:val="20"/>
          <w:szCs w:val="20"/>
          <w:lang w:val="en-GB" w:eastAsia="pl-PL"/>
        </w:rPr>
      </w:pPr>
      <w:r w:rsidRPr="00963E14">
        <w:rPr>
          <w:rFonts w:cs="Times New Roman"/>
          <w:sz w:val="20"/>
          <w:szCs w:val="20"/>
          <w:lang w:val="en-GB"/>
        </w:rPr>
        <w:t>Table A1.</w:t>
      </w:r>
      <w:r w:rsidRPr="00963E14">
        <w:rPr>
          <w:rFonts w:eastAsia="Times New Roman" w:cs="Times New Roman"/>
          <w:bCs/>
          <w:sz w:val="20"/>
          <w:szCs w:val="20"/>
          <w:lang w:val="en-GB" w:eastAsia="pl-PL"/>
        </w:rPr>
        <w:t xml:space="preserve"> Table 2. </w:t>
      </w:r>
      <w:r w:rsidRPr="00963E14">
        <w:rPr>
          <w:rFonts w:cs="Times New Roman"/>
          <w:sz w:val="20"/>
          <w:szCs w:val="20"/>
          <w:lang w:val="en-GB"/>
        </w:rPr>
        <w:t>Measurement of constructs and characteristic</w:t>
      </w:r>
    </w:p>
    <w:tbl>
      <w:tblPr>
        <w:tblW w:w="9134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81"/>
        <w:gridCol w:w="708"/>
        <w:gridCol w:w="710"/>
        <w:gridCol w:w="992"/>
        <w:gridCol w:w="1843"/>
      </w:tblGrid>
      <w:tr w:rsidR="002A00FC" w:rsidRPr="00D9416E" w:rsidTr="00B22F6B">
        <w:trPr>
          <w:trHeight w:val="456"/>
        </w:trPr>
        <w:tc>
          <w:tcPr>
            <w:tcW w:w="488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9416E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Item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9416E">
              <w:rPr>
                <w:rFonts w:cs="Times New Roman"/>
                <w:sz w:val="20"/>
                <w:szCs w:val="20"/>
              </w:rPr>
              <w:t>Mean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sz w:val="20"/>
                <w:szCs w:val="20"/>
                <w:lang w:eastAsia="pl-PL"/>
              </w:rPr>
              <w:t>s</w:t>
            </w:r>
            <w:r w:rsidRPr="003961A8">
              <w:rPr>
                <w:rFonts w:eastAsia="Times New Roman" w:cs="Times New Roman"/>
                <w:sz w:val="20"/>
                <w:szCs w:val="20"/>
                <w:lang w:eastAsia="pl-PL"/>
              </w:rPr>
              <w:t>tandard deviation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9416E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Loading</w:t>
            </w:r>
            <w:r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 xml:space="preserve"> (CFA)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9416E">
              <w:rPr>
                <w:rFonts w:cs="Times New Roman"/>
                <w:sz w:val="20"/>
                <w:szCs w:val="20"/>
              </w:rPr>
              <w:t>characteristic</w:t>
            </w:r>
          </w:p>
        </w:tc>
      </w:tr>
      <w:tr w:rsidR="002A00FC" w:rsidRPr="00D9416E" w:rsidTr="00B22F6B">
        <w:trPr>
          <w:trHeight w:val="198"/>
        </w:trPr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D9416E">
              <w:rPr>
                <w:rFonts w:eastAsia="Times New Roman" w:cs="Times New Roman"/>
                <w:b/>
                <w:bCs/>
                <w:sz w:val="20"/>
                <w:szCs w:val="20"/>
                <w:lang w:eastAsia="pl-PL"/>
              </w:rPr>
              <w:t>Facilities in the practice</w:t>
            </w:r>
          </w:p>
        </w:tc>
      </w:tr>
      <w:tr w:rsidR="002A00FC" w:rsidRPr="00D03914" w:rsidTr="00B22F6B">
        <w:trPr>
          <w:trHeight w:val="11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Computerised medical record system which is adequately kept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2.26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.968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 xml:space="preserve">Cronbach’s alpha=.733 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>CR=.843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>AVE=.576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 xml:space="preserve">explain 57.602% of the total variance </w:t>
            </w:r>
          </w:p>
        </w:tc>
      </w:tr>
      <w:tr w:rsidR="002A00FC" w:rsidRPr="00D9416E" w:rsidTr="00B22F6B">
        <w:trPr>
          <w:trHeight w:val="34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Reminders and alerts regarding safety issues which are integrated in the medical record system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1.77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.980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.780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80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Computerised decision support regarding medication safety in daily practice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1.43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.797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.797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11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Computerised decision support regarding test ordering in daily practice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.696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.810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32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Access to web-based clinical guidance tools in daily practice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1.76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1.025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.635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26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Telephone facilities that allow quick access to the practice particularly for urgent health problems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1.97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1.147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00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Planned checks of safety of equipment medication and other facilities in the practice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2.31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1.280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20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Working agreements with pharmacists when problems arise with delivering medication e.g. alerts interaction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1.71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1.086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240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Forms for reporting incidents available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1.92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1.166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15"/>
        </w:trPr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D9416E">
              <w:rPr>
                <w:rFonts w:eastAsia="Times New Roman" w:cs="Times New Roman"/>
                <w:b/>
                <w:bCs/>
                <w:sz w:val="20"/>
                <w:szCs w:val="20"/>
                <w:lang w:eastAsia="pl-PL"/>
              </w:rPr>
              <w:t>Patient safety management</w:t>
            </w:r>
          </w:p>
        </w:tc>
      </w:tr>
      <w:tr w:rsidR="002A00FC" w:rsidRPr="00D03914" w:rsidTr="00B22F6B">
        <w:trPr>
          <w:trHeight w:val="478"/>
        </w:trPr>
        <w:tc>
          <w:tcPr>
            <w:tcW w:w="488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Practice-based reporting and analysis of incidents (e.g. significant event audit)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1.53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.908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 xml:space="preserve">Cronbach’s alpha =.831 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>CR=.889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>AVE=.503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 xml:space="preserve">explain 46.902% of the total variance </w:t>
            </w:r>
          </w:p>
        </w:tc>
      </w:tr>
      <w:tr w:rsidR="002A00FC" w:rsidRPr="00D9416E" w:rsidTr="00B22F6B">
        <w:trPr>
          <w:trHeight w:val="344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Reporting and analysis of incidents in small educational groups (e.g. quality circles)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1.33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.723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.782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18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Nationwide or regional educational reporting system for incidents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1.20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.530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.702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26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Nationwide or regional incident reporting weeks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1.22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.586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.716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24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Measurement and feedback on safety culture in general practices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1.25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.630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.657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218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Hygiene protocols and guidelines present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1.24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.699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2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Measurement and feedback on indicators for patient safety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1.28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.680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.645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25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Surveys and other types of consultations of patients regarding safety incidents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.692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.655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93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Campaigns to increase patients' and public awareness of patient safety in general practice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1.24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.588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.802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48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Periodic audits by an external inspection authority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1.52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.922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15"/>
        </w:trPr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D9416E">
              <w:rPr>
                <w:rFonts w:eastAsia="Times New Roman" w:cs="Times New Roman"/>
                <w:b/>
                <w:bCs/>
                <w:sz w:val="20"/>
                <w:szCs w:val="20"/>
                <w:lang w:eastAsia="pl-PL"/>
              </w:rPr>
              <w:t>Communication and collaboration</w:t>
            </w:r>
          </w:p>
        </w:tc>
      </w:tr>
      <w:tr w:rsidR="002A00FC" w:rsidRPr="00D03914" w:rsidTr="00B22F6B">
        <w:trPr>
          <w:trHeight w:val="235"/>
        </w:trPr>
        <w:tc>
          <w:tcPr>
            <w:tcW w:w="488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Standards for record keeping (ICPC coding electronic records)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2.21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1.082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.642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 xml:space="preserve">Cronbach’s alpha =.719 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>CR=.863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>AVE=.514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 xml:space="preserve">explain 45.08% of the total variance </w:t>
            </w:r>
          </w:p>
        </w:tc>
      </w:tr>
      <w:tr w:rsidR="002A00FC" w:rsidRPr="00D9416E" w:rsidTr="00B22F6B">
        <w:trPr>
          <w:trHeight w:val="267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eastAsia="Times New Roman" w:cs="Times New Roman"/>
                <w:sz w:val="20"/>
                <w:szCs w:val="20"/>
                <w:lang w:eastAsia="pl-PL"/>
              </w:rPr>
              <w:t>Patient-held medical records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3.33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1.067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271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Integrated medical records for communication with specialists and others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1.43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.755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.801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89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Electronic prescriptions and integrated medication overview in the records from the pharmacist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1.39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.664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.706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26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lastRenderedPageBreak/>
              <w:t>Structured formats for information on referral of patients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1.81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1.083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.628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524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Comprehensive analysis of prescribing decisions in the pharmacy. using decision support systems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1.27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.626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.745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117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Periodic review of medication by pharmacists in patients who use dangerous (combinations of) medication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.743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.766</w:t>
            </w: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03914" w:rsidTr="00B22F6B">
        <w:trPr>
          <w:trHeight w:val="315"/>
        </w:trPr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b/>
                <w:bCs/>
                <w:sz w:val="20"/>
                <w:szCs w:val="20"/>
                <w:lang w:val="en-GB" w:eastAsia="pl-PL"/>
              </w:rPr>
              <w:t>Generic conditions for patient safety</w:t>
            </w:r>
          </w:p>
        </w:tc>
      </w:tr>
      <w:tr w:rsidR="002A00FC" w:rsidRPr="00D03914" w:rsidTr="00B22F6B">
        <w:trPr>
          <w:trHeight w:val="146"/>
        </w:trPr>
        <w:tc>
          <w:tcPr>
            <w:tcW w:w="488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Culture and mentality which facilitates learning from incidents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1.91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1.190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.637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 xml:space="preserve">Cronbach’s alpha=.703 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>CR=.843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>AVE=.520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 xml:space="preserve"> explain 49.15% of the total variance</w:t>
            </w:r>
          </w:p>
        </w:tc>
      </w:tr>
      <w:tr w:rsidR="002A00FC" w:rsidRPr="00D9416E" w:rsidTr="00B22F6B">
        <w:trPr>
          <w:trHeight w:val="504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Understanding of patient safety in health professionals. Particularly regarding how it differs from complications of treatment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2.15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1.245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.728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212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Workload is perceived as acceptable in general practice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1.56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1.036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.703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1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Adequate procedures for identifying and managing burn-out in health professionals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1.25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.711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.750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50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Availability of information technology in general practice and skills to use these adequately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2.15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1.108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.775</w:t>
            </w: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15"/>
        </w:trPr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D9416E" w:rsidRDefault="002A00FC" w:rsidP="00B22F6B">
            <w:pPr>
              <w:spacing w:after="0" w:line="240" w:lineRule="auto"/>
              <w:jc w:val="both"/>
              <w:rPr>
                <w:rFonts w:eastAsia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D9416E">
              <w:rPr>
                <w:rFonts w:eastAsia="Times New Roman" w:cs="Times New Roman"/>
                <w:b/>
                <w:bCs/>
                <w:sz w:val="20"/>
                <w:szCs w:val="20"/>
                <w:lang w:eastAsia="pl-PL"/>
              </w:rPr>
              <w:t>Education on patient safety</w:t>
            </w:r>
          </w:p>
        </w:tc>
      </w:tr>
      <w:tr w:rsidR="002A00FC" w:rsidRPr="00D03914" w:rsidTr="00B22F6B">
        <w:trPr>
          <w:trHeight w:val="346"/>
        </w:trPr>
        <w:tc>
          <w:tcPr>
            <w:tcW w:w="488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Education on patient safety in the medical curriculum. before graduation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1.39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.733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 xml:space="preserve">Cronbach’s alpha=.883 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>CR=.907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cs="Times New Roman"/>
                <w:sz w:val="20"/>
                <w:szCs w:val="20"/>
                <w:lang w:val="en-GB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>AVE=.554</w:t>
            </w:r>
          </w:p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cs="Times New Roman"/>
                <w:sz w:val="20"/>
                <w:szCs w:val="20"/>
                <w:lang w:val="en-GB"/>
              </w:rPr>
              <w:t xml:space="preserve">explain 55.44% of the total variance </w:t>
            </w:r>
          </w:p>
        </w:tc>
      </w:tr>
      <w:tr w:rsidR="002A00FC" w:rsidRPr="00D9416E" w:rsidTr="00B22F6B">
        <w:trPr>
          <w:trHeight w:val="252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Education on patient safety in the vocational training of GPs (general practitioners)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1.60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1.013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.749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130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 xml:space="preserve">Practical skills workshops for safe practice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1.22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.637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.540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189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Postgraduate education on patient safety of GPs (general practitioners)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1.36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.798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.753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27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Education on patient safety in the nurses curriculum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1.48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.935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.854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124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Education on patient safety in the vocational training of practice nurses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1.47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.926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.861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340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Postgraduate education on patient safety of practice nurses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1.41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.853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.770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  <w:tr w:rsidR="002A00FC" w:rsidRPr="00D9416E" w:rsidTr="00B22F6B">
        <w:trPr>
          <w:trHeight w:val="119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A00FC" w:rsidRPr="00963E14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pl-PL"/>
              </w:rPr>
            </w:pPr>
            <w:r w:rsidRPr="00963E14">
              <w:rPr>
                <w:rFonts w:eastAsia="Times New Roman" w:cs="Times New Roman"/>
                <w:sz w:val="20"/>
                <w:szCs w:val="20"/>
                <w:lang w:val="en-GB" w:eastAsia="pl-PL"/>
              </w:rPr>
              <w:t>A guideline on patient safety is available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1.45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.876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A00FC" w:rsidRPr="00D9416E" w:rsidRDefault="002A00FC" w:rsidP="00B22F6B">
            <w:pPr>
              <w:rPr>
                <w:rFonts w:cs="Times New Roman"/>
                <w:sz w:val="20"/>
                <w:szCs w:val="20"/>
              </w:rPr>
            </w:pPr>
            <w:r w:rsidRPr="00D9416E">
              <w:rPr>
                <w:rFonts w:cs="Times New Roman"/>
                <w:sz w:val="20"/>
                <w:szCs w:val="20"/>
              </w:rPr>
              <w:t>.645</w:t>
            </w:r>
          </w:p>
        </w:tc>
        <w:tc>
          <w:tcPr>
            <w:tcW w:w="184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A00FC" w:rsidRPr="00D9416E" w:rsidRDefault="002A00FC" w:rsidP="00B22F6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2A00FC" w:rsidRPr="00963E14" w:rsidRDefault="002A00FC" w:rsidP="002A00FC">
      <w:pPr>
        <w:spacing w:after="0" w:line="240" w:lineRule="auto"/>
        <w:rPr>
          <w:rFonts w:eastAsia="Times New Roman" w:cs="Times New Roman"/>
          <w:bCs/>
          <w:sz w:val="20"/>
          <w:szCs w:val="20"/>
          <w:lang w:val="en-GB" w:eastAsia="pl-PL"/>
        </w:rPr>
      </w:pPr>
      <w:r w:rsidRPr="00963E14">
        <w:rPr>
          <w:rFonts w:cs="Times New Roman"/>
          <w:sz w:val="20"/>
          <w:szCs w:val="20"/>
          <w:lang w:val="en-GB"/>
        </w:rPr>
        <w:t xml:space="preserve">Note: </w:t>
      </w:r>
      <w:r w:rsidRPr="00963E14">
        <w:rPr>
          <w:rFonts w:eastAsia="Times New Roman" w:cs="Times New Roman"/>
          <w:bCs/>
          <w:sz w:val="20"/>
          <w:szCs w:val="20"/>
          <w:lang w:val="en-GB" w:eastAsia="pl-PL"/>
        </w:rPr>
        <w:t>-means the question does not create latent variables (strategies)</w:t>
      </w:r>
    </w:p>
    <w:p w:rsidR="002A00FC" w:rsidRPr="00963E14" w:rsidRDefault="002A00FC" w:rsidP="002A00FC">
      <w:pPr>
        <w:spacing w:after="0" w:line="240" w:lineRule="auto"/>
        <w:rPr>
          <w:rFonts w:eastAsia="Times New Roman" w:cs="Times New Roman"/>
          <w:bCs/>
          <w:sz w:val="20"/>
          <w:szCs w:val="20"/>
          <w:lang w:val="en-GB" w:eastAsia="pl-PL"/>
        </w:rPr>
      </w:pPr>
    </w:p>
    <w:p w:rsidR="002A00FC" w:rsidRPr="00963E14" w:rsidRDefault="002A00FC" w:rsidP="002A00FC">
      <w:pPr>
        <w:keepNext/>
        <w:spacing w:after="0" w:line="360" w:lineRule="auto"/>
        <w:jc w:val="both"/>
        <w:rPr>
          <w:rFonts w:eastAsia="Times New Roman" w:cs="Times New Roman"/>
          <w:bCs/>
          <w:sz w:val="20"/>
          <w:szCs w:val="20"/>
          <w:lang w:val="en-GB" w:eastAsia="pl-PL"/>
        </w:rPr>
      </w:pPr>
    </w:p>
    <w:p w:rsidR="002A00FC" w:rsidRPr="00963E14" w:rsidRDefault="002A00FC" w:rsidP="002A00FC">
      <w:pPr>
        <w:keepNext/>
        <w:spacing w:after="0" w:line="360" w:lineRule="auto"/>
        <w:jc w:val="both"/>
        <w:rPr>
          <w:rFonts w:cs="Times New Roman"/>
          <w:bCs/>
          <w:sz w:val="20"/>
          <w:szCs w:val="20"/>
          <w:lang w:val="en-GB" w:eastAsia="pl-PL"/>
        </w:rPr>
      </w:pPr>
    </w:p>
    <w:p w:rsidR="002A00FC" w:rsidRPr="00D9416E" w:rsidRDefault="002A00FC" w:rsidP="002A00FC">
      <w:pPr>
        <w:keepNext/>
        <w:spacing w:after="0" w:line="360" w:lineRule="auto"/>
        <w:jc w:val="both"/>
        <w:rPr>
          <w:rFonts w:cs="Times New Roman"/>
          <w:sz w:val="20"/>
          <w:szCs w:val="20"/>
          <w:lang w:val="en-GB"/>
        </w:rPr>
      </w:pPr>
      <w:r w:rsidRPr="00D9416E">
        <w:rPr>
          <w:rFonts w:cs="Times New Roman"/>
          <w:sz w:val="20"/>
          <w:szCs w:val="20"/>
          <w:lang w:val="en-GB"/>
        </w:rPr>
        <w:t>Table A2. Standardised values of the estimated parameters in the structural model</w:t>
      </w:r>
    </w:p>
    <w:tbl>
      <w:tblPr>
        <w:tblStyle w:val="Tabela-Siatka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6"/>
        <w:gridCol w:w="100"/>
        <w:gridCol w:w="2698"/>
        <w:gridCol w:w="2798"/>
      </w:tblGrid>
      <w:tr w:rsidR="002A00FC" w:rsidRPr="00D9416E" w:rsidTr="00B22F6B">
        <w:trPr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Gender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Female (</w:t>
            </w:r>
            <w:r w:rsidRPr="00D9416E">
              <w:rPr>
                <w:rFonts w:ascii="Times New Roman" w:hAnsi="Times New Roman"/>
                <w:i/>
                <w:color w:val="auto"/>
              </w:rPr>
              <w:t>n</w:t>
            </w:r>
            <w:r w:rsidRPr="00D9416E">
              <w:rPr>
                <w:rFonts w:ascii="Times New Roman" w:hAnsi="Times New Roman"/>
                <w:color w:val="auto"/>
              </w:rPr>
              <w:t xml:space="preserve"> = 107)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Male (</w:t>
            </w:r>
            <w:r w:rsidRPr="00D9416E">
              <w:rPr>
                <w:rFonts w:ascii="Times New Roman" w:hAnsi="Times New Roman"/>
                <w:i/>
                <w:color w:val="auto"/>
              </w:rPr>
              <w:t xml:space="preserve">n </w:t>
            </w:r>
            <w:r w:rsidRPr="00D9416E">
              <w:rPr>
                <w:rFonts w:ascii="Times New Roman" w:hAnsi="Times New Roman"/>
                <w:color w:val="auto"/>
              </w:rPr>
              <w:t>= 132)</w:t>
            </w:r>
          </w:p>
        </w:tc>
      </w:tr>
      <w:tr w:rsidR="002A00FC" w:rsidRPr="00D9416E" w:rsidTr="00B22F6B">
        <w:trPr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FP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.627***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.519***</w:t>
            </w:r>
          </w:p>
        </w:tc>
      </w:tr>
      <w:tr w:rsidR="002A00FC" w:rsidRPr="00D9416E" w:rsidTr="00B22F6B">
        <w:trPr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EPS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.583***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.761***</w:t>
            </w:r>
          </w:p>
        </w:tc>
      </w:tr>
      <w:tr w:rsidR="002A00FC" w:rsidRPr="00D9416E" w:rsidTr="00B22F6B">
        <w:trPr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.818***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.542***</w:t>
            </w:r>
          </w:p>
        </w:tc>
      </w:tr>
      <w:tr w:rsidR="002A00FC" w:rsidRPr="00D9416E" w:rsidTr="00B22F6B">
        <w:trPr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.573**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.265*</w:t>
            </w:r>
          </w:p>
        </w:tc>
      </w:tr>
      <w:tr w:rsidR="002A00FC" w:rsidRPr="00D9416E" w:rsidTr="00B22F6B">
        <w:trPr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FP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.103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.270*</w:t>
            </w:r>
          </w:p>
        </w:tc>
      </w:tr>
      <w:tr w:rsidR="002A00FC" w:rsidRPr="00D9416E" w:rsidTr="00B22F6B">
        <w:trPr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EPS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.258*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.448***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 xml:space="preserve">Current professional discipline </w:t>
            </w:r>
            <w:r w:rsidRPr="00D9416E">
              <w:rPr>
                <w:rFonts w:ascii="Times New Roman" w:hAnsi="Times New Roman"/>
                <w:color w:val="auto"/>
              </w:rPr>
              <w:t>GP</w:t>
            </w:r>
            <w:r>
              <w:rPr>
                <w:rFonts w:ascii="Times New Roman" w:hAnsi="Times New Roman"/>
                <w:color w:val="auto"/>
              </w:rPr>
              <w:t xml:space="preserve"> (</w:t>
            </w:r>
            <w:r w:rsidRPr="0042273E">
              <w:rPr>
                <w:rFonts w:ascii="Times New Roman" w:hAnsi="Times New Roman"/>
                <w:color w:val="auto"/>
              </w:rPr>
              <w:t>general practitioner</w:t>
            </w:r>
            <w:r>
              <w:rPr>
                <w:rFonts w:ascii="Times New Roman" w:hAnsi="Times New Roman"/>
                <w:color w:val="auto"/>
              </w:rPr>
              <w:t>)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Yes (</w:t>
            </w:r>
            <w:r w:rsidRPr="00D9416E">
              <w:rPr>
                <w:rFonts w:ascii="Times New Roman" w:hAnsi="Times New Roman"/>
                <w:i/>
                <w:color w:val="auto"/>
              </w:rPr>
              <w:t>n</w:t>
            </w:r>
            <w:r w:rsidRPr="00D9416E">
              <w:rPr>
                <w:rFonts w:ascii="Times New Roman" w:hAnsi="Times New Roman"/>
                <w:color w:val="auto"/>
              </w:rPr>
              <w:t xml:space="preserve"> = 141)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No (</w:t>
            </w:r>
            <w:r w:rsidRPr="00D9416E">
              <w:rPr>
                <w:rFonts w:ascii="Times New Roman" w:hAnsi="Times New Roman"/>
                <w:i/>
                <w:color w:val="auto"/>
              </w:rPr>
              <w:t xml:space="preserve">n </w:t>
            </w:r>
            <w:r w:rsidRPr="00D9416E">
              <w:rPr>
                <w:rFonts w:ascii="Times New Roman" w:hAnsi="Times New Roman"/>
                <w:color w:val="auto"/>
              </w:rPr>
              <w:t>= 107)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FP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.557***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.594***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EPS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.669***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.690***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.607***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.736***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.438**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.464*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FP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.229*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.170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EPS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.295*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.361*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lastRenderedPageBreak/>
              <w:t>Work in counseling centers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Yes (</w:t>
            </w:r>
            <w:r w:rsidRPr="00D9416E">
              <w:rPr>
                <w:rFonts w:ascii="Times New Roman" w:hAnsi="Times New Roman"/>
                <w:i/>
                <w:color w:val="auto"/>
              </w:rPr>
              <w:t>n</w:t>
            </w:r>
            <w:r w:rsidRPr="00D9416E">
              <w:rPr>
                <w:rFonts w:ascii="Times New Roman" w:hAnsi="Times New Roman"/>
                <w:color w:val="auto"/>
              </w:rPr>
              <w:t xml:space="preserve"> = 164)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No (</w:t>
            </w:r>
            <w:r w:rsidRPr="00D9416E">
              <w:rPr>
                <w:rFonts w:ascii="Times New Roman" w:hAnsi="Times New Roman"/>
                <w:i/>
                <w:color w:val="auto"/>
              </w:rPr>
              <w:t xml:space="preserve">n </w:t>
            </w:r>
            <w:r w:rsidRPr="00D9416E">
              <w:rPr>
                <w:rFonts w:ascii="Times New Roman" w:hAnsi="Times New Roman"/>
                <w:color w:val="auto"/>
              </w:rPr>
              <w:t>= 84)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FP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.576***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.626**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EPS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.666***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.686**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.616***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.757***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.226*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.746***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FP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.343**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-.006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EPS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.448***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.127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Age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Lower than mean (</w:t>
            </w:r>
            <w:r w:rsidRPr="00D9416E">
              <w:rPr>
                <w:rFonts w:ascii="Times New Roman" w:hAnsi="Times New Roman"/>
                <w:i/>
                <w:color w:val="auto"/>
              </w:rPr>
              <w:t>n</w:t>
            </w:r>
            <w:r w:rsidRPr="00D9416E">
              <w:rPr>
                <w:rFonts w:ascii="Times New Roman" w:hAnsi="Times New Roman"/>
                <w:color w:val="auto"/>
              </w:rPr>
              <w:t xml:space="preserve"> = 148)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Higher then mean(</w:t>
            </w:r>
            <w:r w:rsidRPr="00D9416E">
              <w:rPr>
                <w:rFonts w:ascii="Times New Roman" w:hAnsi="Times New Roman"/>
                <w:i/>
                <w:color w:val="auto"/>
              </w:rPr>
              <w:t xml:space="preserve">n </w:t>
            </w:r>
            <w:r w:rsidRPr="00D9416E">
              <w:rPr>
                <w:rFonts w:ascii="Times New Roman" w:hAnsi="Times New Roman"/>
                <w:color w:val="auto"/>
              </w:rPr>
              <w:t>= 100)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FP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.506***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.664**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EPS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.595***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.855**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.636***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.710***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.358**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.649***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FP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.107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.560**</w:t>
            </w:r>
          </w:p>
        </w:tc>
      </w:tr>
      <w:tr w:rsidR="002A00FC" w:rsidRPr="00D9416E" w:rsidTr="00B22F6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EPS</w:t>
            </w:r>
          </w:p>
        </w:tc>
        <w:tc>
          <w:tcPr>
            <w:tcW w:w="2698" w:type="dxa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.458***</w:t>
            </w:r>
          </w:p>
        </w:tc>
        <w:tc>
          <w:tcPr>
            <w:tcW w:w="0" w:type="auto"/>
          </w:tcPr>
          <w:p w:rsidR="002A00FC" w:rsidRPr="00D9416E" w:rsidRDefault="002A00FC" w:rsidP="00B22F6B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-.164</w:t>
            </w:r>
          </w:p>
        </w:tc>
      </w:tr>
    </w:tbl>
    <w:p w:rsidR="002A00FC" w:rsidRPr="00D9416E" w:rsidRDefault="002A00FC" w:rsidP="002A00FC">
      <w:pPr>
        <w:pStyle w:val="MDPI31text"/>
        <w:spacing w:after="240"/>
        <w:ind w:left="425" w:right="425" w:firstLine="0"/>
        <w:rPr>
          <w:rFonts w:ascii="Times New Roman" w:hAnsi="Times New Roman"/>
          <w:color w:val="auto"/>
          <w:szCs w:val="20"/>
        </w:rPr>
      </w:pPr>
      <w:r w:rsidRPr="00D9416E">
        <w:rPr>
          <w:rFonts w:ascii="Times New Roman" w:hAnsi="Times New Roman"/>
          <w:color w:val="auto"/>
          <w:szCs w:val="20"/>
        </w:rPr>
        <w:t xml:space="preserve">*** represent dependencies significant for </w:t>
      </w:r>
      <w:r w:rsidRPr="00D9416E">
        <w:rPr>
          <w:rFonts w:ascii="Times New Roman" w:hAnsi="Times New Roman"/>
          <w:i/>
          <w:color w:val="auto"/>
          <w:szCs w:val="20"/>
        </w:rPr>
        <w:t xml:space="preserve">p </w:t>
      </w:r>
      <w:r w:rsidRPr="00D9416E">
        <w:rPr>
          <w:rFonts w:ascii="Times New Roman" w:hAnsi="Times New Roman"/>
          <w:color w:val="auto"/>
          <w:szCs w:val="20"/>
        </w:rPr>
        <w:t xml:space="preserve">&lt;0.001, ** </w:t>
      </w:r>
      <w:r w:rsidRPr="00D9416E">
        <w:rPr>
          <w:rFonts w:ascii="Times New Roman" w:hAnsi="Times New Roman"/>
          <w:i/>
          <w:color w:val="auto"/>
          <w:szCs w:val="20"/>
        </w:rPr>
        <w:t xml:space="preserve">p </w:t>
      </w:r>
      <w:r w:rsidRPr="00D9416E">
        <w:rPr>
          <w:rFonts w:ascii="Times New Roman" w:hAnsi="Times New Roman"/>
          <w:color w:val="auto"/>
          <w:szCs w:val="20"/>
        </w:rPr>
        <w:t xml:space="preserve">&lt;0.01; * </w:t>
      </w:r>
      <w:r w:rsidRPr="00D9416E">
        <w:rPr>
          <w:rFonts w:ascii="Times New Roman" w:hAnsi="Times New Roman"/>
          <w:i/>
          <w:color w:val="auto"/>
          <w:szCs w:val="20"/>
        </w:rPr>
        <w:t xml:space="preserve">p </w:t>
      </w:r>
      <w:r w:rsidRPr="00D9416E">
        <w:rPr>
          <w:rFonts w:ascii="Times New Roman" w:hAnsi="Times New Roman"/>
          <w:color w:val="auto"/>
          <w:szCs w:val="20"/>
        </w:rPr>
        <w:t xml:space="preserve">&lt;0.05. </w:t>
      </w:r>
      <w:r>
        <w:rPr>
          <w:rFonts w:ascii="Times New Roman" w:hAnsi="Times New Roman"/>
          <w:color w:val="auto"/>
          <w:szCs w:val="20"/>
        </w:rPr>
        <w:t>L</w:t>
      </w:r>
      <w:r w:rsidRPr="00D9416E">
        <w:rPr>
          <w:rFonts w:ascii="Times New Roman" w:hAnsi="Times New Roman"/>
          <w:color w:val="auto"/>
          <w:szCs w:val="20"/>
        </w:rPr>
        <w:t>ist of abbreviations: CC: communication and collaboration, EPS: education on patient safety, FP: facilities in the practice, GC: generic conditions, PSM</w:t>
      </w:r>
      <w:bookmarkStart w:id="0" w:name="_Hlk55566907"/>
      <w:r w:rsidRPr="00D9416E">
        <w:rPr>
          <w:rFonts w:ascii="Times New Roman" w:hAnsi="Times New Roman"/>
          <w:color w:val="auto"/>
          <w:szCs w:val="20"/>
        </w:rPr>
        <w:t>: patient safety management</w:t>
      </w:r>
      <w:bookmarkEnd w:id="0"/>
    </w:p>
    <w:p w:rsidR="00A21FC2" w:rsidRPr="00D9416E" w:rsidRDefault="00A21FC2" w:rsidP="00D1295C">
      <w:pPr>
        <w:pStyle w:val="MDPI31text"/>
        <w:spacing w:after="240"/>
        <w:ind w:left="425" w:right="425" w:firstLine="0"/>
        <w:jc w:val="left"/>
        <w:rPr>
          <w:rFonts w:ascii="Times New Roman" w:hAnsi="Times New Roman"/>
          <w:color w:val="auto"/>
          <w:szCs w:val="20"/>
        </w:rPr>
      </w:pPr>
      <w:bookmarkStart w:id="1" w:name="_GoBack"/>
      <w:bookmarkEnd w:id="1"/>
    </w:p>
    <w:sectPr w:rsidR="00A21FC2" w:rsidRPr="00D941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FC2"/>
    <w:rsid w:val="002A00FC"/>
    <w:rsid w:val="00485940"/>
    <w:rsid w:val="00A21FC2"/>
    <w:rsid w:val="00D1295C"/>
    <w:rsid w:val="00D9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ED6861-8264-4D64-8584-305EC46D5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DPI42tablebody">
    <w:name w:val="MDPI_4.2_table_body"/>
    <w:qFormat/>
    <w:rsid w:val="00A21FC2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table" w:styleId="Tabela-Siatka">
    <w:name w:val="Table Grid"/>
    <w:basedOn w:val="Standardowy"/>
    <w:uiPriority w:val="39"/>
    <w:rsid w:val="00A21F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qFormat/>
    <w:rsid w:val="00A21FC2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761</Words>
  <Characters>4567</Characters>
  <Application>Microsoft Office Word</Application>
  <DocSecurity>0</DocSecurity>
  <Lines>38</Lines>
  <Paragraphs>10</Paragraphs>
  <ScaleCrop>false</ScaleCrop>
  <Company/>
  <LinksUpToDate>false</LinksUpToDate>
  <CharactersWithSpaces>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Iwona Staniec K83</cp:lastModifiedBy>
  <cp:revision>4</cp:revision>
  <dcterms:created xsi:type="dcterms:W3CDTF">2020-07-14T13:39:00Z</dcterms:created>
  <dcterms:modified xsi:type="dcterms:W3CDTF">2020-11-29T11:22:00Z</dcterms:modified>
</cp:coreProperties>
</file>