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940" w:rsidRPr="00D9416E" w:rsidRDefault="00A21FC2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D9416E">
        <w:rPr>
          <w:rFonts w:ascii="Times New Roman" w:hAnsi="Times New Roman" w:cs="Times New Roman"/>
          <w:sz w:val="20"/>
          <w:szCs w:val="20"/>
        </w:rPr>
        <w:t>Appendix</w:t>
      </w:r>
    </w:p>
    <w:p w:rsidR="00A21FC2" w:rsidRPr="00D9416E" w:rsidRDefault="00A21FC2" w:rsidP="00A21FC2">
      <w:pP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D9416E">
        <w:rPr>
          <w:rFonts w:ascii="Times New Roman" w:hAnsi="Times New Roman" w:cs="Times New Roman"/>
          <w:sz w:val="20"/>
          <w:szCs w:val="20"/>
        </w:rPr>
        <w:t>Table A1.</w:t>
      </w:r>
      <w:r w:rsidRPr="00D9416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 Table 2. </w:t>
      </w:r>
      <w:r w:rsidRPr="00D9416E">
        <w:rPr>
          <w:rFonts w:ascii="Times New Roman" w:hAnsi="Times New Roman" w:cs="Times New Roman"/>
          <w:sz w:val="20"/>
          <w:szCs w:val="20"/>
        </w:rPr>
        <w:t>Measurement of constructs and characteristic</w:t>
      </w:r>
    </w:p>
    <w:tbl>
      <w:tblPr>
        <w:tblW w:w="9134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1"/>
        <w:gridCol w:w="708"/>
        <w:gridCol w:w="710"/>
        <w:gridCol w:w="992"/>
        <w:gridCol w:w="1843"/>
      </w:tblGrid>
      <w:tr w:rsidR="00A21FC2" w:rsidRPr="00D9416E" w:rsidTr="0000188E">
        <w:trPr>
          <w:trHeight w:val="456"/>
        </w:trPr>
        <w:tc>
          <w:tcPr>
            <w:tcW w:w="488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Item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loading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</w:tr>
      <w:tr w:rsidR="00A21FC2" w:rsidRPr="00D9416E" w:rsidTr="0000188E">
        <w:trPr>
          <w:trHeight w:val="198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Facilities in the practice</w:t>
            </w:r>
          </w:p>
        </w:tc>
      </w:tr>
      <w:tr w:rsidR="00A21FC2" w:rsidRPr="00D9416E" w:rsidTr="0000188E">
        <w:trPr>
          <w:trHeight w:val="11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Computerised</w:t>
            </w:r>
            <w:proofErr w:type="spellEnd"/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medical record system which is adequately kept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2.26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.968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Cronbach’s alpha=.733 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CR=.843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AVE=.576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explain 57.602% of the total variance </w:t>
            </w:r>
          </w:p>
        </w:tc>
      </w:tr>
      <w:tr w:rsidR="00A21FC2" w:rsidRPr="00D9416E" w:rsidTr="0000188E">
        <w:trPr>
          <w:trHeight w:val="34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Reminders and alerts regarding safety issues which are integrated in the medical record system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.980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.780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8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Computerised</w:t>
            </w:r>
            <w:proofErr w:type="spellEnd"/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decision support regarding medication safety in daily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.797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.797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11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proofErr w:type="spellStart"/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Computerised</w:t>
            </w:r>
            <w:proofErr w:type="spellEnd"/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decision support regarding test ordering in daily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.696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.810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32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Access to web-based clinical guidance tools in daily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1.025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.635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6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Telephone facilities that allow quick access to the practice particularly for urgent health problems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1.147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0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Planned checks of safety of equipment medication and other facilities in the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2.31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0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Working agreements with pharmacists when problems arise with delivering medication e.g. alerts interaction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1.086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4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Forms for reporting incidents available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1.166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Patient safety management</w:t>
            </w:r>
          </w:p>
        </w:tc>
      </w:tr>
      <w:tr w:rsidR="00A21FC2" w:rsidRPr="00D9416E" w:rsidTr="0000188E">
        <w:trPr>
          <w:trHeight w:val="478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Practice-based reporting and analysis of incidents (e.g. significant event audit)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1.53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.908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Cronbach’s alpha =.831 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CR=.889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AVE=.503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explain 46.902% of the total variance </w:t>
            </w:r>
          </w:p>
        </w:tc>
      </w:tr>
      <w:tr w:rsidR="00A21FC2" w:rsidRPr="00D9416E" w:rsidTr="0000188E">
        <w:trPr>
          <w:trHeight w:val="34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Reporting and analysis of incidents in small educational groups (e.g. quality circles)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.723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.782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18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Nationwide or regional educational reporting system for incidents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.530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.702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6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Nationwide or regional incident reporting weeks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.586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.716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2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Measurement and feedback on safety culture in general practices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.630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.657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18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Hygiene protocols and guidelines present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.699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2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Measurement and feedback on indicators for patient safety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.680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.645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25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Surveys and other types of consultations of patients regarding safety incidents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.692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.655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93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Campaigns to increase patients' and public awareness of patient safety in general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.588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.802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48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Periodic audits by an external inspection authority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.922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Communication and collaboration</w:t>
            </w:r>
          </w:p>
        </w:tc>
      </w:tr>
      <w:tr w:rsidR="00A21FC2" w:rsidRPr="00D9416E" w:rsidTr="0000188E">
        <w:trPr>
          <w:trHeight w:val="235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Standards for record keeping (ICPC coding electronic records)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2.21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1.082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.642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Cronbach’s alpha =.719 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CR=.863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AVE=.514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explain 45.08% of the total variance </w:t>
            </w:r>
          </w:p>
        </w:tc>
      </w:tr>
      <w:tr w:rsidR="00A21FC2" w:rsidRPr="00D9416E" w:rsidTr="0000188E">
        <w:trPr>
          <w:trHeight w:val="267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Patient-held medical records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3.33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1.067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71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Integrated medical records for communication with specialists and others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.755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.801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89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Electronic prescriptions and integrated medication overview in the records from the pharmacist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.664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.706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6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Structured formats for information on referral of patients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1.083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.628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52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Comprehensive analysis of prescribing decisions in the pharmacy. using decision support systems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.745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117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Periodic review of medication by pharmacists in patients who use dangerous (combinations of) medication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.743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.766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lastRenderedPageBreak/>
              <w:t>Generic conditions for patient safety</w:t>
            </w:r>
          </w:p>
        </w:tc>
      </w:tr>
      <w:tr w:rsidR="00A21FC2" w:rsidRPr="00D9416E" w:rsidTr="0000188E">
        <w:trPr>
          <w:trHeight w:val="146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Culture and mentality which facilitates learning from incidents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1.190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.637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Cronbach’s alpha=.703 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CR=.843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AVE=.520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 explain 49.15% of the total variance</w:t>
            </w:r>
          </w:p>
        </w:tc>
      </w:tr>
      <w:tr w:rsidR="00A21FC2" w:rsidRPr="00D9416E" w:rsidTr="0000188E">
        <w:trPr>
          <w:trHeight w:val="50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Understanding of patient safety in health professionals. Particularly regarding how it differs from complications of treatment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1.245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.728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12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Workload is perceived as acceptable in general practice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1.036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.703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1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Adequate procedures for identifying and managing burn-out in health professionals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.711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.750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5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Availability of information technology in general practice and skills to use these adequately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1.108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.775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15"/>
        </w:trPr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Education on patient safety</w:t>
            </w:r>
          </w:p>
        </w:tc>
      </w:tr>
      <w:tr w:rsidR="00A21FC2" w:rsidRPr="00D9416E" w:rsidTr="0000188E">
        <w:trPr>
          <w:trHeight w:val="346"/>
        </w:trPr>
        <w:tc>
          <w:tcPr>
            <w:tcW w:w="488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Education on patient safety in the medical curriculum. before graduation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.733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Cronbach’s alpha=.883 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CR=.907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AVE=.554</w:t>
            </w:r>
          </w:p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 xml:space="preserve">explain 55.44% of the total variance </w:t>
            </w:r>
          </w:p>
        </w:tc>
      </w:tr>
      <w:tr w:rsidR="00A21FC2" w:rsidRPr="00D9416E" w:rsidTr="0000188E">
        <w:trPr>
          <w:trHeight w:val="252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Education on patient safety in the vocational training of GPs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1.013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.749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13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Practical skills workshops for safe practice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.637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.540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189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Postgraduate education on patient safety of GPs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.798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.753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276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Education on patient safety in the nurses curriculum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.935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.854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124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Education on patient safety in the vocational training of practice nurses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.926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.861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340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Postgraduate education on patient safety of practice nurses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.853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.770</w:t>
            </w:r>
          </w:p>
        </w:tc>
        <w:tc>
          <w:tcPr>
            <w:tcW w:w="1843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21FC2" w:rsidRPr="00D9416E" w:rsidTr="0000188E">
        <w:trPr>
          <w:trHeight w:val="119"/>
        </w:trPr>
        <w:tc>
          <w:tcPr>
            <w:tcW w:w="4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D9416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 guideline on patient safety is available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.876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A21FC2" w:rsidRPr="00D9416E" w:rsidRDefault="00A21FC2" w:rsidP="000018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416E">
              <w:rPr>
                <w:rFonts w:ascii="Times New Roman" w:hAnsi="Times New Roman" w:cs="Times New Roman"/>
                <w:sz w:val="20"/>
                <w:szCs w:val="20"/>
              </w:rPr>
              <w:t>.645</w:t>
            </w:r>
          </w:p>
        </w:tc>
        <w:tc>
          <w:tcPr>
            <w:tcW w:w="184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A21FC2" w:rsidRPr="00D9416E" w:rsidRDefault="00A21FC2" w:rsidP="000018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A21FC2" w:rsidRPr="00D9416E" w:rsidRDefault="00A21FC2" w:rsidP="00A21FC2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D9416E">
        <w:rPr>
          <w:rFonts w:ascii="Times New Roman" w:hAnsi="Times New Roman" w:cs="Times New Roman"/>
          <w:sz w:val="20"/>
          <w:szCs w:val="20"/>
        </w:rPr>
        <w:t xml:space="preserve">Note: </w:t>
      </w:r>
      <w:r w:rsidRPr="00D9416E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-means the question does not create latent variables (strategies)</w:t>
      </w:r>
    </w:p>
    <w:p w:rsidR="00A21FC2" w:rsidRPr="00D9416E" w:rsidRDefault="00A21FC2" w:rsidP="00A21FC2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:rsidR="00A21FC2" w:rsidRPr="00D9416E" w:rsidRDefault="00A21FC2" w:rsidP="00A21FC2">
      <w:pPr>
        <w:keepNext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:rsidR="00A21FC2" w:rsidRPr="00D9416E" w:rsidRDefault="00A21FC2" w:rsidP="00A21FC2">
      <w:pPr>
        <w:keepNext/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:rsidR="00A21FC2" w:rsidRPr="00D9416E" w:rsidRDefault="00A21FC2" w:rsidP="00A21FC2">
      <w:pPr>
        <w:keepNext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D9416E">
        <w:rPr>
          <w:rFonts w:ascii="Times New Roman" w:hAnsi="Times New Roman" w:cs="Times New Roman"/>
          <w:sz w:val="20"/>
          <w:szCs w:val="20"/>
          <w:lang w:val="en-GB"/>
        </w:rPr>
        <w:t>Table A2. Standardised values of the estimated parameters in the structural model</w:t>
      </w:r>
    </w:p>
    <w:tbl>
      <w:tblPr>
        <w:tblStyle w:val="Tabela-Siatka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6"/>
        <w:gridCol w:w="100"/>
        <w:gridCol w:w="2698"/>
        <w:gridCol w:w="2798"/>
      </w:tblGrid>
      <w:tr w:rsidR="00A21FC2" w:rsidRPr="00D9416E" w:rsidTr="00D9416E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Gender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Female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107)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Male 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132)</w:t>
            </w:r>
          </w:p>
        </w:tc>
      </w:tr>
      <w:tr w:rsidR="00A21FC2" w:rsidRPr="00D9416E" w:rsidTr="00D9416E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.627***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.519***</w:t>
            </w:r>
          </w:p>
        </w:tc>
      </w:tr>
      <w:tr w:rsidR="00A21FC2" w:rsidRPr="00D9416E" w:rsidTr="00D9416E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.583***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.761***</w:t>
            </w:r>
          </w:p>
        </w:tc>
      </w:tr>
      <w:tr w:rsidR="00A21FC2" w:rsidRPr="00D9416E" w:rsidTr="00D9416E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.818***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.542***</w:t>
            </w:r>
          </w:p>
        </w:tc>
      </w:tr>
      <w:tr w:rsidR="00A21FC2" w:rsidRPr="00D9416E" w:rsidTr="00D9416E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.573**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.265*</w:t>
            </w:r>
          </w:p>
        </w:tc>
      </w:tr>
      <w:tr w:rsidR="00A21FC2" w:rsidRPr="00D9416E" w:rsidTr="00D9416E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.103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.270*</w:t>
            </w:r>
          </w:p>
        </w:tc>
      </w:tr>
      <w:tr w:rsidR="00A21FC2" w:rsidRPr="00D9416E" w:rsidTr="00D9416E">
        <w:trPr>
          <w:jc w:val="center"/>
        </w:trPr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.258*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.448***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 xml:space="preserve">Current professional discipline </w:t>
            </w:r>
            <w:r w:rsidRPr="00D9416E">
              <w:rPr>
                <w:rFonts w:ascii="Times New Roman" w:hAnsi="Times New Roman"/>
                <w:color w:val="auto"/>
              </w:rPr>
              <w:t>GP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Yes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141)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No 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107)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.557***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.594***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.669***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.690***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.607***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.736***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.438**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.464*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.229*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.170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.295*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.361*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Work in counseling centers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Yes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164)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No 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84)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.576***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.626**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.666***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.686**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.616***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.757***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.226*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.746***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.343**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-.006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EPS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.448***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.127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autoSpaceDE w:val="0"/>
              <w:autoSpaceDN w:val="0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Age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Lower than mean (</w:t>
            </w:r>
            <w:r w:rsidRPr="00D9416E">
              <w:rPr>
                <w:rFonts w:ascii="Times New Roman" w:hAnsi="Times New Roman"/>
                <w:i/>
                <w:color w:val="auto"/>
              </w:rPr>
              <w:t>n</w:t>
            </w:r>
            <w:r w:rsidRPr="00D9416E">
              <w:rPr>
                <w:rFonts w:ascii="Times New Roman" w:hAnsi="Times New Roman"/>
                <w:color w:val="auto"/>
              </w:rPr>
              <w:t xml:space="preserve"> = 148)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Higher then mean(</w:t>
            </w:r>
            <w:r w:rsidRPr="00D9416E">
              <w:rPr>
                <w:rFonts w:ascii="Times New Roman" w:hAnsi="Times New Roman"/>
                <w:i/>
                <w:color w:val="auto"/>
              </w:rPr>
              <w:t xml:space="preserve">n </w:t>
            </w:r>
            <w:r w:rsidRPr="00D9416E">
              <w:rPr>
                <w:rFonts w:ascii="Times New Roman" w:hAnsi="Times New Roman"/>
                <w:color w:val="auto"/>
              </w:rPr>
              <w:t>= 100)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FP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.506***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.664**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lastRenderedPageBreak/>
              <w:t>EPS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.595***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.855**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GC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.636***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.710***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color w:val="auto"/>
                <w:lang w:eastAsia="pl-PL"/>
              </w:rPr>
              <w:t>CC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.358**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color w:val="auto"/>
              </w:rPr>
            </w:pPr>
            <w:r w:rsidRPr="00D9416E">
              <w:rPr>
                <w:rFonts w:ascii="Times New Roman" w:hAnsi="Times New Roman"/>
                <w:color w:val="auto"/>
              </w:rPr>
              <w:t>.649***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FP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.107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.560**</w:t>
            </w:r>
          </w:p>
        </w:tc>
      </w:tr>
      <w:tr w:rsidR="00A21FC2" w:rsidRPr="00D9416E" w:rsidTr="00D9416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66" w:type="dxa"/>
            <w:gridSpan w:val="2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PSM</w:t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sym w:font="Wingdings" w:char="F0DF"/>
            </w:r>
            <w:r w:rsidRPr="00D9416E">
              <w:rPr>
                <w:rFonts w:ascii="Times New Roman" w:hAnsi="Times New Roman"/>
                <w:b/>
                <w:color w:val="auto"/>
                <w:lang w:eastAsia="pl-PL"/>
              </w:rPr>
              <w:t>EPS</w:t>
            </w:r>
          </w:p>
        </w:tc>
        <w:tc>
          <w:tcPr>
            <w:tcW w:w="2698" w:type="dxa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.458***</w:t>
            </w:r>
          </w:p>
        </w:tc>
        <w:tc>
          <w:tcPr>
            <w:tcW w:w="0" w:type="auto"/>
          </w:tcPr>
          <w:p w:rsidR="00A21FC2" w:rsidRPr="00D9416E" w:rsidRDefault="00A21FC2" w:rsidP="0000188E">
            <w:pPr>
              <w:pStyle w:val="MDPI42tablebody"/>
              <w:spacing w:line="24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 w:rsidRPr="00D9416E">
              <w:rPr>
                <w:rFonts w:ascii="Times New Roman" w:hAnsi="Times New Roman"/>
                <w:b/>
                <w:color w:val="auto"/>
              </w:rPr>
              <w:t>-.164</w:t>
            </w:r>
          </w:p>
        </w:tc>
      </w:tr>
    </w:tbl>
    <w:p w:rsidR="00D1295C" w:rsidRPr="00D9416E" w:rsidRDefault="00A21FC2" w:rsidP="00D1295C">
      <w:pPr>
        <w:pStyle w:val="MDPI31text"/>
        <w:spacing w:after="240"/>
        <w:ind w:left="425" w:right="425" w:firstLine="0"/>
        <w:jc w:val="left"/>
        <w:rPr>
          <w:rFonts w:ascii="Times New Roman" w:hAnsi="Times New Roman"/>
          <w:color w:val="auto"/>
          <w:szCs w:val="20"/>
        </w:rPr>
      </w:pPr>
      <w:r w:rsidRPr="00D9416E">
        <w:rPr>
          <w:rFonts w:ascii="Times New Roman" w:hAnsi="Times New Roman"/>
          <w:color w:val="auto"/>
          <w:szCs w:val="20"/>
        </w:rPr>
        <w:t xml:space="preserve">*** represent dependencies significant for </w:t>
      </w:r>
      <w:r w:rsidRPr="00D9416E">
        <w:rPr>
          <w:rFonts w:ascii="Times New Roman" w:hAnsi="Times New Roman"/>
          <w:i/>
          <w:color w:val="auto"/>
          <w:szCs w:val="20"/>
        </w:rPr>
        <w:t xml:space="preserve">p </w:t>
      </w:r>
      <w:r w:rsidRPr="00D9416E">
        <w:rPr>
          <w:rFonts w:ascii="Times New Roman" w:hAnsi="Times New Roman"/>
          <w:color w:val="auto"/>
          <w:szCs w:val="20"/>
        </w:rPr>
        <w:t xml:space="preserve">&lt;0.001, ** </w:t>
      </w:r>
      <w:r w:rsidRPr="00D9416E">
        <w:rPr>
          <w:rFonts w:ascii="Times New Roman" w:hAnsi="Times New Roman"/>
          <w:i/>
          <w:color w:val="auto"/>
          <w:szCs w:val="20"/>
        </w:rPr>
        <w:t xml:space="preserve">p </w:t>
      </w:r>
      <w:r w:rsidRPr="00D9416E">
        <w:rPr>
          <w:rFonts w:ascii="Times New Roman" w:hAnsi="Times New Roman"/>
          <w:color w:val="auto"/>
          <w:szCs w:val="20"/>
        </w:rPr>
        <w:t xml:space="preserve">&lt;0.01; * </w:t>
      </w:r>
      <w:r w:rsidRPr="00D9416E">
        <w:rPr>
          <w:rFonts w:ascii="Times New Roman" w:hAnsi="Times New Roman"/>
          <w:i/>
          <w:color w:val="auto"/>
          <w:szCs w:val="20"/>
        </w:rPr>
        <w:t xml:space="preserve">p </w:t>
      </w:r>
      <w:r w:rsidRPr="00D9416E">
        <w:rPr>
          <w:rFonts w:ascii="Times New Roman" w:hAnsi="Times New Roman"/>
          <w:color w:val="auto"/>
          <w:szCs w:val="20"/>
        </w:rPr>
        <w:t>&lt;0.05.</w:t>
      </w:r>
      <w:r w:rsidR="00D1295C" w:rsidRPr="00D9416E">
        <w:rPr>
          <w:rFonts w:ascii="Times New Roman" w:hAnsi="Times New Roman"/>
          <w:color w:val="auto"/>
          <w:szCs w:val="20"/>
        </w:rPr>
        <w:t xml:space="preserve"> LIST OF ABBREVIATIONS: CC: communication and collaboration, EPS: education on patient safety, FP: facilities in the practice, GC: generic conditions, PSM: patient safety management</w:t>
      </w:r>
    </w:p>
    <w:bookmarkEnd w:id="0"/>
    <w:p w:rsidR="00A21FC2" w:rsidRPr="00D9416E" w:rsidRDefault="00A21FC2" w:rsidP="00D1295C">
      <w:pPr>
        <w:pStyle w:val="MDPI31text"/>
        <w:spacing w:after="240"/>
        <w:ind w:left="425" w:right="425" w:firstLine="0"/>
        <w:jc w:val="left"/>
        <w:rPr>
          <w:rFonts w:ascii="Times New Roman" w:hAnsi="Times New Roman"/>
          <w:color w:val="auto"/>
          <w:szCs w:val="20"/>
        </w:rPr>
      </w:pPr>
    </w:p>
    <w:sectPr w:rsidR="00A21FC2" w:rsidRPr="00D941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FC2"/>
    <w:rsid w:val="00485940"/>
    <w:rsid w:val="00A21FC2"/>
    <w:rsid w:val="00D1295C"/>
    <w:rsid w:val="00D9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ED6861-8264-4D64-8584-305EC46D5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DPI42tablebody">
    <w:name w:val="MDPI_4.2_table_body"/>
    <w:qFormat/>
    <w:rsid w:val="00A21FC2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table" w:styleId="Tabela-Siatka">
    <w:name w:val="Table Grid"/>
    <w:basedOn w:val="Standardowy"/>
    <w:uiPriority w:val="39"/>
    <w:rsid w:val="00A21F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A21FC2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777</Words>
  <Characters>4458</Characters>
  <Application>Microsoft Office Word</Application>
  <DocSecurity>0</DocSecurity>
  <Lines>106</Lines>
  <Paragraphs>60</Paragraphs>
  <ScaleCrop>false</ScaleCrop>
  <Company/>
  <LinksUpToDate>false</LinksUpToDate>
  <CharactersWithSpaces>5175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2020-07-14T13:39:00Z</dcterms:created>
  <dcterms:modified xsi:type="dcterms:W3CDTF">2020-07-23T18:16:00Z</dcterms:modified>
</cp:coreProperties>
</file>