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E0868C">
      <w:pPr>
        <w:jc w:val="center"/>
        <w:rPr>
          <w:rFonts w:hint="default" w:ascii="Times New Roman" w:hAnsi="Times New Roman" w:cs="Times New Roman"/>
          <w:b/>
          <w:bCs/>
          <w:sz w:val="24"/>
          <w:szCs w:val="24"/>
        </w:rPr>
      </w:pPr>
      <w:bookmarkStart w:id="0" w:name="_GoBack"/>
      <w:r>
        <w:rPr>
          <w:rFonts w:hint="default" w:ascii="Times New Roman" w:hAnsi="Times New Roman" w:cs="Times New Roman"/>
          <w:b/>
          <w:bCs/>
          <w:color w:val="000000" w:themeColor="text1"/>
          <w:sz w:val="24"/>
          <w:szCs w:val="24"/>
          <w:lang w:val="en-GB"/>
          <w14:textFill>
            <w14:solidFill>
              <w14:schemeClr w14:val="tx1"/>
            </w14:solidFill>
          </w14:textFill>
        </w:rPr>
        <w:t xml:space="preserve">Supplementary </w:t>
      </w:r>
      <w:r>
        <w:rPr>
          <w:rFonts w:hint="default" w:ascii="Times New Roman" w:hAnsi="Times New Roman" w:cs="Times New Roman"/>
          <w:b/>
          <w:bCs/>
          <w:sz w:val="24"/>
          <w:szCs w:val="24"/>
          <w:lang w:eastAsia="zh-Hans"/>
        </w:rPr>
        <w:t>Table</w:t>
      </w:r>
      <w:r>
        <w:rPr>
          <w:rFonts w:hint="default" w:ascii="Times New Roman" w:hAnsi="Times New Roman" w:eastAsia="宋体" w:cs="Times New Roman"/>
          <w:b/>
          <w:sz w:val="24"/>
          <w:szCs w:val="24"/>
        </w:rPr>
        <w:t xml:space="preserve"> </w:t>
      </w:r>
      <w:r>
        <w:rPr>
          <w:rFonts w:hint="eastAsia" w:ascii="Times New Roman" w:hAnsi="Times New Roman" w:eastAsia="宋体" w:cs="Times New Roman"/>
          <w:b/>
          <w:sz w:val="24"/>
          <w:szCs w:val="24"/>
          <w:lang w:val="en-US" w:eastAsia="zh-CN"/>
        </w:rPr>
        <w:t>1</w:t>
      </w:r>
      <w:r>
        <w:rPr>
          <w:rFonts w:hint="default" w:ascii="Times New Roman" w:hAnsi="Times New Roman" w:cs="Times New Roman"/>
          <w:b/>
          <w:bCs/>
          <w:sz w:val="24"/>
          <w:szCs w:val="24"/>
        </w:rPr>
        <w:t>. The detail definition and classif</w:t>
      </w:r>
      <w:r>
        <w:rPr>
          <w:rFonts w:hint="default" w:ascii="Times New Roman" w:hAnsi="Times New Roman" w:cs="Times New Roman"/>
          <w:b/>
          <w:bCs/>
          <w:spacing w:val="-1"/>
          <w:sz w:val="24"/>
          <w:szCs w:val="24"/>
        </w:rPr>
        <w:t>ication of</w:t>
      </w:r>
      <w:r>
        <w:rPr>
          <w:rFonts w:hint="default" w:ascii="Times New Roman" w:hAnsi="Times New Roman" w:cs="Times New Roman"/>
          <w:b/>
          <w:bCs/>
          <w:spacing w:val="6"/>
          <w:sz w:val="24"/>
          <w:szCs w:val="24"/>
        </w:rPr>
        <w:t xml:space="preserve"> </w:t>
      </w:r>
      <w:r>
        <w:rPr>
          <w:rFonts w:hint="default" w:ascii="Times New Roman" w:hAnsi="Times New Roman" w:cs="Times New Roman"/>
          <w:b/>
          <w:bCs/>
          <w:spacing w:val="-1"/>
          <w:sz w:val="24"/>
          <w:szCs w:val="24"/>
        </w:rPr>
        <w:t>covariates.</w:t>
      </w:r>
    </w:p>
    <w:p w14:paraId="225CC4F3">
      <w:pPr>
        <w:spacing w:line="72" w:lineRule="exact"/>
        <w:rPr>
          <w:rFonts w:hint="default" w:ascii="Times New Roman" w:hAnsi="Times New Roman" w:cs="Times New Roman"/>
          <w:sz w:val="24"/>
          <w:szCs w:val="24"/>
        </w:rPr>
      </w:pPr>
    </w:p>
    <w:tbl>
      <w:tblPr>
        <w:tblStyle w:val="5"/>
        <w:tblpPr w:leftFromText="180" w:rightFromText="180" w:vertAnchor="text" w:horzAnchor="page" w:tblpX="584" w:tblpY="106"/>
        <w:tblOverlap w:val="never"/>
        <w:tblW w:w="10970"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510"/>
        <w:gridCol w:w="8460"/>
      </w:tblGrid>
      <w:tr w14:paraId="256BA0C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6" w:hRule="atLeast"/>
        </w:trPr>
        <w:tc>
          <w:tcPr>
            <w:tcW w:w="2510" w:type="dxa"/>
            <w:tcBorders>
              <w:top w:val="single" w:color="auto" w:sz="4" w:space="0"/>
              <w:bottom w:val="single" w:color="auto" w:sz="4" w:space="0"/>
            </w:tcBorders>
            <w:vAlign w:val="top"/>
          </w:tcPr>
          <w:p w14:paraId="1142FE83">
            <w:pPr>
              <w:pStyle w:val="4"/>
              <w:spacing w:before="69" w:line="178" w:lineRule="auto"/>
              <w:ind w:left="649"/>
              <w:rPr>
                <w:rFonts w:hint="default" w:ascii="Times New Roman" w:hAnsi="Times New Roman" w:cs="Times New Roman"/>
                <w:sz w:val="24"/>
                <w:szCs w:val="24"/>
              </w:rPr>
            </w:pPr>
            <w:r>
              <w:rPr>
                <w:rFonts w:hint="default" w:ascii="Times New Roman" w:hAnsi="Times New Roman" w:cs="Times New Roman"/>
                <w:b/>
                <w:bCs/>
                <w:spacing w:val="-1"/>
                <w:sz w:val="24"/>
                <w:szCs w:val="24"/>
              </w:rPr>
              <w:t>Variables</w:t>
            </w:r>
          </w:p>
        </w:tc>
        <w:tc>
          <w:tcPr>
            <w:tcW w:w="8460" w:type="dxa"/>
            <w:tcBorders>
              <w:top w:val="single" w:color="auto" w:sz="4" w:space="0"/>
              <w:bottom w:val="single" w:color="auto" w:sz="4" w:space="0"/>
            </w:tcBorders>
            <w:vAlign w:val="top"/>
          </w:tcPr>
          <w:p w14:paraId="377514C1">
            <w:pPr>
              <w:pStyle w:val="4"/>
              <w:spacing w:before="68" w:line="179" w:lineRule="auto"/>
              <w:ind w:left="3188"/>
              <w:rPr>
                <w:rFonts w:hint="default" w:ascii="Times New Roman" w:hAnsi="Times New Roman" w:cs="Times New Roman"/>
                <w:sz w:val="24"/>
                <w:szCs w:val="24"/>
              </w:rPr>
            </w:pPr>
            <w:r>
              <w:rPr>
                <w:rFonts w:hint="default" w:ascii="Times New Roman" w:hAnsi="Times New Roman" w:cs="Times New Roman"/>
                <w:b/>
                <w:bCs/>
                <w:sz w:val="24"/>
                <w:szCs w:val="24"/>
              </w:rPr>
              <w:t>Definitions or Classi</w:t>
            </w:r>
            <w:r>
              <w:rPr>
                <w:rFonts w:hint="default" w:ascii="Times New Roman" w:hAnsi="Times New Roman" w:cs="Times New Roman"/>
                <w:b/>
                <w:bCs/>
                <w:spacing w:val="-1"/>
                <w:sz w:val="24"/>
                <w:szCs w:val="24"/>
              </w:rPr>
              <w:t>fication</w:t>
            </w:r>
          </w:p>
        </w:tc>
      </w:tr>
      <w:tr w14:paraId="23E524E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85" w:hRule="atLeast"/>
        </w:trPr>
        <w:tc>
          <w:tcPr>
            <w:tcW w:w="2510" w:type="dxa"/>
            <w:tcBorders>
              <w:top w:val="single" w:color="auto" w:sz="4" w:space="0"/>
              <w:bottom w:val="nil"/>
            </w:tcBorders>
            <w:vAlign w:val="top"/>
          </w:tcPr>
          <w:p w14:paraId="271825F8">
            <w:pPr>
              <w:pStyle w:val="4"/>
              <w:spacing w:before="68" w:line="174" w:lineRule="auto"/>
              <w:ind w:left="2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Sex</w:t>
            </w:r>
          </w:p>
        </w:tc>
        <w:tc>
          <w:tcPr>
            <w:tcW w:w="8460" w:type="dxa"/>
            <w:tcBorders>
              <w:top w:val="single" w:color="auto" w:sz="4" w:space="0"/>
              <w:bottom w:val="nil"/>
            </w:tcBorders>
            <w:vAlign w:val="top"/>
          </w:tcPr>
          <w:p w14:paraId="0B414A5B">
            <w:pPr>
              <w:pStyle w:val="4"/>
              <w:spacing w:before="62" w:line="179" w:lineRule="auto"/>
              <w:ind w:left="322"/>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Male, Female.</w:t>
            </w:r>
          </w:p>
        </w:tc>
      </w:tr>
      <w:tr w14:paraId="6C19D19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4" w:hRule="atLeast"/>
        </w:trPr>
        <w:tc>
          <w:tcPr>
            <w:tcW w:w="2510" w:type="dxa"/>
            <w:tcBorders>
              <w:top w:val="nil"/>
              <w:bottom w:val="nil"/>
            </w:tcBorders>
            <w:vAlign w:val="top"/>
          </w:tcPr>
          <w:p w14:paraId="3D9CE06F">
            <w:pPr>
              <w:pStyle w:val="4"/>
              <w:spacing w:before="72" w:line="170" w:lineRule="auto"/>
              <w:ind w:left="18"/>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Race</w:t>
            </w:r>
          </w:p>
        </w:tc>
        <w:tc>
          <w:tcPr>
            <w:tcW w:w="8460" w:type="dxa"/>
            <w:tcBorders>
              <w:top w:val="nil"/>
              <w:bottom w:val="nil"/>
            </w:tcBorders>
            <w:vAlign w:val="top"/>
          </w:tcPr>
          <w:p w14:paraId="4CF6D352">
            <w:pPr>
              <w:pStyle w:val="4"/>
              <w:spacing w:before="63" w:line="178" w:lineRule="auto"/>
              <w:ind w:left="32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Non-Hispanic White, Non-Hispanic Black, Mexican American, Other Race.</w:t>
            </w:r>
          </w:p>
        </w:tc>
      </w:tr>
      <w:tr w14:paraId="18BAFE5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7" w:hRule="atLeast"/>
        </w:trPr>
        <w:tc>
          <w:tcPr>
            <w:tcW w:w="2510" w:type="dxa"/>
            <w:tcBorders>
              <w:top w:val="nil"/>
              <w:bottom w:val="nil"/>
            </w:tcBorders>
            <w:vAlign w:val="top"/>
          </w:tcPr>
          <w:p w14:paraId="2A3C10D4">
            <w:pPr>
              <w:pStyle w:val="4"/>
              <w:spacing w:before="66" w:line="176" w:lineRule="auto"/>
              <w:ind w:left="21" w:left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xml:space="preserve">Education </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a</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ttainment</w:t>
            </w:r>
          </w:p>
        </w:tc>
        <w:tc>
          <w:tcPr>
            <w:tcW w:w="8460" w:type="dxa"/>
            <w:tcBorders>
              <w:top w:val="nil"/>
              <w:bottom w:val="nil"/>
            </w:tcBorders>
            <w:vAlign w:val="top"/>
          </w:tcPr>
          <w:p w14:paraId="34C413C5">
            <w:pPr>
              <w:pStyle w:val="4"/>
              <w:spacing w:before="65" w:line="177" w:lineRule="auto"/>
              <w:ind w:left="321" w:leftChars="0"/>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High school or less, More than high school.</w:t>
            </w:r>
          </w:p>
        </w:tc>
      </w:tr>
      <w:tr w14:paraId="61B5112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7" w:hRule="atLeast"/>
        </w:trPr>
        <w:tc>
          <w:tcPr>
            <w:tcW w:w="2510" w:type="dxa"/>
            <w:tcBorders>
              <w:top w:val="nil"/>
              <w:bottom w:val="nil"/>
            </w:tcBorders>
            <w:vAlign w:val="top"/>
          </w:tcPr>
          <w:p w14:paraId="3D8A9EEC">
            <w:pPr>
              <w:pStyle w:val="4"/>
              <w:spacing w:before="200" w:line="229" w:lineRule="auto"/>
              <w:ind w:left="18" w:left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Marital status</w:t>
            </w:r>
          </w:p>
        </w:tc>
        <w:tc>
          <w:tcPr>
            <w:tcW w:w="8460" w:type="dxa"/>
            <w:tcBorders>
              <w:top w:val="nil"/>
              <w:bottom w:val="nil"/>
            </w:tcBorders>
            <w:vAlign w:val="top"/>
          </w:tcPr>
          <w:p w14:paraId="3A102321">
            <w:pPr>
              <w:pStyle w:val="4"/>
              <w:spacing w:before="63" w:line="177" w:lineRule="auto"/>
              <w:ind w:left="322" w:leftChars="0"/>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Married or living with partner</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xml:space="preserve">, </w:t>
            </w:r>
            <w:r>
              <w:rPr>
                <w:rFonts w:hint="eastAsia"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L</w:t>
            </w: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iving</w:t>
            </w:r>
            <w:r>
              <w:rPr>
                <w:rFonts w:hint="eastAsia"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 xml:space="preserve"> alone.</w:t>
            </w:r>
          </w:p>
        </w:tc>
      </w:tr>
      <w:tr w14:paraId="29F3E14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7" w:hRule="atLeast"/>
        </w:trPr>
        <w:tc>
          <w:tcPr>
            <w:tcW w:w="2510" w:type="dxa"/>
            <w:tcBorders>
              <w:top w:val="nil"/>
              <w:bottom w:val="nil"/>
            </w:tcBorders>
            <w:vAlign w:val="top"/>
          </w:tcPr>
          <w:p w14:paraId="5B8DB4AA">
            <w:pPr>
              <w:pStyle w:val="4"/>
              <w:spacing w:before="204" w:line="182" w:lineRule="auto"/>
              <w:ind w:left="18" w:left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PIR</w:t>
            </w:r>
          </w:p>
        </w:tc>
        <w:tc>
          <w:tcPr>
            <w:tcW w:w="8460" w:type="dxa"/>
            <w:tcBorders>
              <w:top w:val="nil"/>
              <w:bottom w:val="nil"/>
            </w:tcBorders>
            <w:vAlign w:val="top"/>
          </w:tcPr>
          <w:p w14:paraId="2C2C2AE2">
            <w:pPr>
              <w:pStyle w:val="4"/>
              <w:spacing w:before="66" w:line="208" w:lineRule="auto"/>
              <w:ind w:left="322" w:leftChars="0" w:right="468" w:rightChars="0" w:hanging="2" w:firstLine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L</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ow (PIR </w:t>
            </w:r>
            <w:r>
              <w:rPr>
                <w:rFonts w:ascii="Times New Roman" w:hAnsi="Times New Roman" w:cs="Times New Roman"/>
                <w:sz w:val="24"/>
                <w:szCs w:val="24"/>
              </w:rPr>
              <w:t>≤</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xml:space="preserve">1), </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M</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iddle (1</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&lt;</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PIR &lt; </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4</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xml:space="preserve">), and </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H</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igh (PIR ≥</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4</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w:t>
            </w:r>
          </w:p>
        </w:tc>
      </w:tr>
      <w:tr w14:paraId="1CE2A2C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32" w:hRule="atLeast"/>
        </w:trPr>
        <w:tc>
          <w:tcPr>
            <w:tcW w:w="2510" w:type="dxa"/>
            <w:tcBorders>
              <w:top w:val="nil"/>
              <w:bottom w:val="nil"/>
            </w:tcBorders>
            <w:vAlign w:val="top"/>
          </w:tcPr>
          <w:p w14:paraId="6304DDAF">
            <w:pPr>
              <w:spacing w:line="267" w:lineRule="auto"/>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p>
          <w:p w14:paraId="36E0D8A3">
            <w:pPr>
              <w:pStyle w:val="4"/>
              <w:spacing w:before="67" w:line="184" w:lineRule="auto"/>
              <w:ind w:left="2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Smoking</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xml:space="preserve"> </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status</w:t>
            </w:r>
          </w:p>
        </w:tc>
        <w:tc>
          <w:tcPr>
            <w:tcW w:w="8460" w:type="dxa"/>
            <w:tcBorders>
              <w:top w:val="nil"/>
              <w:bottom w:val="nil"/>
            </w:tcBorders>
            <w:vAlign w:val="top"/>
          </w:tcPr>
          <w:p w14:paraId="02F2B042">
            <w:pPr>
              <w:pStyle w:val="4"/>
              <w:spacing w:before="66" w:line="184" w:lineRule="auto"/>
              <w:ind w:left="323"/>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Never smoking: &lt;100 cigarettes in lifetime;</w:t>
            </w:r>
          </w:p>
          <w:p w14:paraId="2F7C790B">
            <w:pPr>
              <w:pStyle w:val="4"/>
              <w:spacing w:before="63" w:line="184" w:lineRule="auto"/>
              <w:ind w:left="322"/>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Former smoking: &gt;100 cigarettes in life and smoke not at all now;</w:t>
            </w:r>
          </w:p>
          <w:p w14:paraId="6B492423">
            <w:pPr>
              <w:pStyle w:val="4"/>
              <w:spacing w:before="63" w:line="175" w:lineRule="auto"/>
              <w:ind w:left="323"/>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Now smoking: &gt;100 cigarettes in lifetime.</w:t>
            </w:r>
          </w:p>
        </w:tc>
      </w:tr>
      <w:tr w14:paraId="338A884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32" w:hRule="atLeast"/>
        </w:trPr>
        <w:tc>
          <w:tcPr>
            <w:tcW w:w="2510" w:type="dxa"/>
            <w:tcBorders>
              <w:top w:val="nil"/>
              <w:bottom w:val="nil"/>
            </w:tcBorders>
            <w:vAlign w:val="top"/>
          </w:tcPr>
          <w:p w14:paraId="2EF766F3">
            <w:pPr>
              <w:pStyle w:val="4"/>
              <w:spacing w:before="67" w:line="184" w:lineRule="auto"/>
              <w:ind w:left="2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Drin</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king</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xml:space="preserve"> </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status</w:t>
            </w:r>
          </w:p>
        </w:tc>
        <w:tc>
          <w:tcPr>
            <w:tcW w:w="8460" w:type="dxa"/>
            <w:tcBorders>
              <w:top w:val="nil"/>
              <w:bottom w:val="nil"/>
            </w:tcBorders>
            <w:vAlign w:val="top"/>
          </w:tcPr>
          <w:p w14:paraId="44BF2560">
            <w:pPr>
              <w:pStyle w:val="4"/>
              <w:spacing w:before="63" w:line="175" w:lineRule="auto"/>
              <w:ind w:left="323"/>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Never: consumed fewer than 12 drinks in their lifetime;</w:t>
            </w:r>
          </w:p>
          <w:p w14:paraId="7C640FF8">
            <w:pPr>
              <w:pStyle w:val="4"/>
              <w:spacing w:before="63" w:line="175" w:lineRule="auto"/>
              <w:ind w:left="323"/>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Former: consumed at least 12 drinks in one year but did not drink in the last year or did not drink in the last year but had at least 12 drinks in their lifetime;</w:t>
            </w:r>
          </w:p>
          <w:p w14:paraId="5FD5FC52">
            <w:pPr>
              <w:pStyle w:val="4"/>
              <w:spacing w:before="63" w:line="175" w:lineRule="auto"/>
              <w:ind w:left="323"/>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Heavy: consumed at least 3 drinks per day for females, at least 4 drinks per day for males, or engaged in binge drinking on 5 or more days per month;</w:t>
            </w:r>
          </w:p>
          <w:p w14:paraId="4DCBF95A">
            <w:pPr>
              <w:pStyle w:val="4"/>
              <w:spacing w:before="63" w:line="175" w:lineRule="auto"/>
              <w:ind w:left="323"/>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xml:space="preserve">Moderate: consumed at least 2 drinks per day for females, at least 3 drinks per day for males, or engaged in binge drinking on at least 2 days per month; </w:t>
            </w:r>
          </w:p>
          <w:p w14:paraId="76763C7C">
            <w:pPr>
              <w:pStyle w:val="4"/>
              <w:spacing w:before="63" w:line="175" w:lineRule="auto"/>
              <w:ind w:left="323"/>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Mild : consumed at most 1 drink per day for females, at most 2 drinks per day for males.</w:t>
            </w:r>
          </w:p>
        </w:tc>
      </w:tr>
      <w:tr w14:paraId="660127F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379" w:hRule="atLeast"/>
        </w:trPr>
        <w:tc>
          <w:tcPr>
            <w:tcW w:w="2510" w:type="dxa"/>
            <w:tcBorders>
              <w:top w:val="nil"/>
              <w:bottom w:val="nil"/>
            </w:tcBorders>
            <w:vAlign w:val="top"/>
          </w:tcPr>
          <w:p w14:paraId="006ED48F">
            <w:pPr>
              <w:pStyle w:val="4"/>
              <w:spacing w:before="67" w:line="182" w:lineRule="auto"/>
              <w:ind w:left="17"/>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xml:space="preserve"> </w:t>
            </w:r>
          </w:p>
          <w:p w14:paraId="737062FB">
            <w:pPr>
              <w:pStyle w:val="4"/>
              <w:spacing w:before="67" w:line="182" w:lineRule="auto"/>
              <w:ind w:left="17" w:left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Hypertension</w:t>
            </w:r>
          </w:p>
        </w:tc>
        <w:tc>
          <w:tcPr>
            <w:tcW w:w="8460" w:type="dxa"/>
            <w:tcBorders>
              <w:top w:val="nil"/>
              <w:bottom w:val="nil"/>
            </w:tcBorders>
            <w:vAlign w:val="top"/>
          </w:tcPr>
          <w:p w14:paraId="5F96EA00">
            <w:pPr>
              <w:pStyle w:val="4"/>
              <w:spacing w:before="73"/>
              <w:ind w:left="324"/>
              <w:rPr>
                <w:rFonts w:hint="default"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pPr>
            <w:r>
              <w:rPr>
                <w:rFonts w:hint="eastAsia"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A</w:t>
            </w:r>
            <w:r>
              <w:rPr>
                <w:rFonts w:hint="default"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n average systolic blood pressure (SBP) equal to or exceeding 140 mmHg;</w:t>
            </w:r>
          </w:p>
          <w:p w14:paraId="59089AB4">
            <w:pPr>
              <w:pStyle w:val="4"/>
              <w:spacing w:line="175" w:lineRule="auto"/>
              <w:ind w:left="321"/>
              <w:rPr>
                <w:rFonts w:hint="default"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pPr>
            <w:r>
              <w:rPr>
                <w:rFonts w:hint="eastAsia"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A</w:t>
            </w:r>
            <w:r>
              <w:rPr>
                <w:rFonts w:hint="default"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n average diastolic blood pressure (DBP) equal to or exceeding 90 mmHg</w:t>
            </w:r>
            <w:r>
              <w:rPr>
                <w:rFonts w:hint="eastAsia"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w:t>
            </w:r>
          </w:p>
          <w:p w14:paraId="1D32BF06">
            <w:pPr>
              <w:pStyle w:val="4"/>
              <w:spacing w:line="175" w:lineRule="auto"/>
              <w:ind w:left="321"/>
              <w:rPr>
                <w:rFonts w:hint="default"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pPr>
            <w:r>
              <w:rPr>
                <w:rFonts w:hint="eastAsia"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S</w:t>
            </w:r>
            <w:r>
              <w:rPr>
                <w:rFonts w:hint="default"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 xml:space="preserve">elf-reported </w:t>
            </w:r>
            <w:r>
              <w:rPr>
                <w:rFonts w:hint="eastAsia"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h</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ypertension</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w:t>
            </w:r>
          </w:p>
          <w:p w14:paraId="0E3ECEA7">
            <w:pPr>
              <w:pStyle w:val="4"/>
              <w:spacing w:line="175" w:lineRule="auto"/>
              <w:ind w:left="321" w:leftChars="0"/>
              <w:rPr>
                <w:rFonts w:hint="eastAsia"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pPr>
            <w:r>
              <w:rPr>
                <w:rFonts w:hint="eastAsia"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I</w:t>
            </w:r>
            <w:r>
              <w:rPr>
                <w:rFonts w:hint="default"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t>ndividuals taking prescribed anti-hypertensive medications.</w:t>
            </w:r>
          </w:p>
        </w:tc>
      </w:tr>
      <w:tr w14:paraId="156FC9A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379" w:hRule="atLeast"/>
        </w:trPr>
        <w:tc>
          <w:tcPr>
            <w:tcW w:w="2510" w:type="dxa"/>
            <w:tcBorders>
              <w:top w:val="nil"/>
              <w:bottom w:val="nil"/>
            </w:tcBorders>
            <w:vAlign w:val="top"/>
          </w:tcPr>
          <w:p w14:paraId="76EB82A8">
            <w:pPr>
              <w:pStyle w:val="4"/>
              <w:spacing w:before="78" w:line="165" w:lineRule="auto"/>
              <w:ind w:left="19" w:left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DM</w:t>
            </w:r>
          </w:p>
        </w:tc>
        <w:tc>
          <w:tcPr>
            <w:tcW w:w="8460" w:type="dxa"/>
            <w:tcBorders>
              <w:top w:val="nil"/>
              <w:bottom w:val="nil"/>
            </w:tcBorders>
            <w:vAlign w:val="top"/>
          </w:tcPr>
          <w:p w14:paraId="792D40C0">
            <w:pPr>
              <w:pStyle w:val="4"/>
              <w:spacing w:before="70" w:line="172" w:lineRule="auto"/>
              <w:ind w:left="322" w:left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i) physician confirmation of diabetes diagnosis, ii) glycohemoglobin levels equal to or greater than 6.5%, iii) fasting glucose ≥ 7.0 mmol/L, iv) random blood glucose≥ 11.1 mmol/L, and v) documented use of DM medication.</w:t>
            </w:r>
          </w:p>
        </w:tc>
      </w:tr>
      <w:tr w14:paraId="4EE9139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379" w:hRule="atLeast"/>
        </w:trPr>
        <w:tc>
          <w:tcPr>
            <w:tcW w:w="2510" w:type="dxa"/>
            <w:tcBorders>
              <w:top w:val="nil"/>
              <w:bottom w:val="nil"/>
            </w:tcBorders>
            <w:vAlign w:val="top"/>
          </w:tcPr>
          <w:p w14:paraId="400CA6F0">
            <w:pPr>
              <w:pStyle w:val="4"/>
              <w:spacing w:before="78" w:line="165" w:lineRule="auto"/>
              <w:ind w:left="19" w:left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C</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VD</w:t>
            </w:r>
          </w:p>
        </w:tc>
        <w:tc>
          <w:tcPr>
            <w:tcW w:w="8460" w:type="dxa"/>
            <w:tcBorders>
              <w:top w:val="nil"/>
              <w:bottom w:val="nil"/>
            </w:tcBorders>
            <w:vAlign w:val="top"/>
          </w:tcPr>
          <w:p w14:paraId="7FE06812">
            <w:pPr>
              <w:pStyle w:val="4"/>
              <w:spacing w:before="70" w:line="172" w:lineRule="auto"/>
              <w:ind w:left="322" w:leftChars="0"/>
              <w:rPr>
                <w:rFonts w:hint="default" w:ascii="Times New Roman" w:hAnsi="Times New Roman" w:eastAsia="等线" w:cs="Times New Roman"/>
                <w:b w:val="0"/>
                <w:bCs w:val="0"/>
                <w:snapToGrid/>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 xml:space="preserve">The medical conditions section, identified by the variable name prefix MCQ, encompasses self- and proxy-reported personal interview data covering an extensive range of health conditions and medical history for both children and adults. This section includes inquiries such as ‘Has a doctor or other health professional ever informed you/SP that you/he/she… had congestive heart failure, coronary heart disease, angina (also called angina pectoris), heart attack (also called myocardial infarction), stroke, etc.?’ These questions, labeled as MCQ160B-F in the household questionnaires administered during home interviews, were utilized to identify participants with a history of CVD if they responded ‘yes’ to any of these questions. </w:t>
            </w:r>
          </w:p>
        </w:tc>
      </w:tr>
      <w:tr w14:paraId="7041716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86" w:hRule="atLeast"/>
        </w:trPr>
        <w:tc>
          <w:tcPr>
            <w:tcW w:w="2510" w:type="dxa"/>
            <w:tcBorders>
              <w:top w:val="nil"/>
              <w:bottom w:val="single" w:color="auto" w:sz="4" w:space="0"/>
            </w:tcBorders>
            <w:vAlign w:val="top"/>
          </w:tcPr>
          <w:p w14:paraId="5CC2E44E">
            <w:pPr>
              <w:pStyle w:val="4"/>
              <w:spacing w:before="204" w:line="182" w:lineRule="auto"/>
              <w:ind w:left="18" w:left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HEI</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2015</w:t>
            </w:r>
          </w:p>
        </w:tc>
        <w:tc>
          <w:tcPr>
            <w:tcW w:w="8460" w:type="dxa"/>
            <w:tcBorders>
              <w:top w:val="nil"/>
              <w:bottom w:val="single" w:color="auto" w:sz="4" w:space="0"/>
            </w:tcBorders>
            <w:vAlign w:val="top"/>
          </w:tcPr>
          <w:p w14:paraId="7AF2248D">
            <w:pPr>
              <w:pStyle w:val="4"/>
              <w:spacing w:before="66" w:line="208" w:lineRule="auto"/>
              <w:ind w:left="322" w:leftChars="0" w:right="468" w:rightChars="0" w:hanging="2" w:firstLineChars="0"/>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HEI</w:t>
            </w:r>
            <w:r>
              <w:rPr>
                <w:rFonts w:hint="eastAsia"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w:t>
            </w:r>
            <w:r>
              <w:rPr>
                <w:rFonts w:hint="default" w:ascii="Times New Roman" w:hAnsi="Times New Roman" w:eastAsia="宋体" w:cs="Times New Roman"/>
                <w:i w:val="0"/>
                <w:iCs w:val="0"/>
                <w:snapToGrid/>
                <w:color w:val="000000" w:themeColor="text1"/>
                <w:kern w:val="2"/>
                <w:sz w:val="24"/>
                <w:szCs w:val="24"/>
                <w:u w:val="none"/>
                <w:lang w:val="en-US" w:eastAsia="zh-CN" w:bidi="ar-SA"/>
                <w14:textFill>
                  <w14:solidFill>
                    <w14:schemeClr w14:val="tx1"/>
                  </w14:solidFill>
                </w14:textFill>
              </w:rPr>
              <w:t>2015, scored according to the Dietary Guidelines for Americans (DGA), consists of 13 food blocks or nutrients that correspond to their recommended intakes. There are nine adequacy components in the HEI (including total fruits, whole fruits, total vegetables, greens and beans, whole grains, dairy, total protein foods, seafood and plain proteins, and fatty acids) and four moderation components (including refined grains, sodium, added sugars, and saturated fats). For each component, there is a maximum score of 5 or 10, with a total score of 100, with higher scores indicating better overall diet quality</w:t>
            </w:r>
          </w:p>
        </w:tc>
      </w:tr>
    </w:tbl>
    <w:p w14:paraId="5924C3D1">
      <w:pPr>
        <w:tabs>
          <w:tab w:val="left" w:pos="902"/>
        </w:tabs>
        <w:spacing w:line="240" w:lineRule="auto"/>
        <w:jc w:val="both"/>
        <w:rPr>
          <w:rFonts w:hint="default" w:ascii="Times New Roman" w:hAnsi="Times New Roman" w:eastAsia="等线" w:cs="Times New Roman"/>
          <w:sz w:val="24"/>
          <w:szCs w:val="24"/>
          <w:lang w:eastAsia="zh-CN"/>
        </w:rPr>
      </w:pPr>
      <w:r>
        <w:rPr>
          <w:rFonts w:hint="default" w:ascii="Times New Roman" w:hAnsi="Times New Roman" w:eastAsia="等线" w:cs="Times New Roman"/>
          <w:sz w:val="24"/>
          <w:szCs w:val="24"/>
          <w:lang w:bidi="ar"/>
        </w:rPr>
        <w:t xml:space="preserve">Abbreviations: </w:t>
      </w:r>
      <w:r>
        <w:rPr>
          <w:rFonts w:hint="eastAsia" w:ascii="Times New Roman" w:hAnsi="Times New Roman" w:eastAsia="等线" w:cs="Times New Roman"/>
          <w:sz w:val="24"/>
          <w:szCs w:val="24"/>
          <w:lang w:val="en-US" w:eastAsia="zh-CN" w:bidi="ar"/>
        </w:rPr>
        <w:t>BRI</w:t>
      </w:r>
      <w:r>
        <w:rPr>
          <w:rFonts w:hint="default" w:ascii="Times New Roman" w:hAnsi="Times New Roman" w:eastAsia="等线" w:cs="Times New Roman"/>
          <w:sz w:val="24"/>
          <w:szCs w:val="24"/>
          <w:lang w:val="en-US" w:eastAsia="zh-CN" w:bidi="ar"/>
        </w:rPr>
        <w:t xml:space="preserve">, </w:t>
      </w:r>
      <w:r>
        <w:rPr>
          <w:rFonts w:hint="default" w:ascii="Times New Roman" w:hAnsi="Times New Roman" w:eastAsia="等线" w:cs="Times New Roman"/>
          <w:sz w:val="24"/>
          <w:szCs w:val="24"/>
          <w:lang w:bidi="ar"/>
        </w:rPr>
        <w:t>body roundness index</w:t>
      </w:r>
      <w:r>
        <w:rPr>
          <w:rFonts w:hint="default" w:ascii="Times New Roman" w:hAnsi="Times New Roman" w:eastAsia="等线" w:cs="Times New Roman"/>
          <w:sz w:val="24"/>
          <w:szCs w:val="24"/>
          <w:lang w:val="en-US" w:eastAsia="zh-CN" w:bidi="ar"/>
        </w:rPr>
        <w:t xml:space="preserve">; T, tertiles; </w:t>
      </w:r>
      <w:r>
        <w:rPr>
          <w:rFonts w:hint="default" w:ascii="Times New Roman" w:hAnsi="Times New Roman" w:eastAsia="等线" w:cs="Times New Roman"/>
          <w:sz w:val="24"/>
          <w:szCs w:val="24"/>
          <w:lang w:bidi="ar"/>
        </w:rPr>
        <w:t>PIR, family poverty income ratio;</w:t>
      </w:r>
      <w:r>
        <w:rPr>
          <w:rFonts w:hint="eastAsia" w:ascii="Times New Roman" w:hAnsi="Times New Roman" w:eastAsia="等线" w:cs="Times New Roman"/>
          <w:sz w:val="24"/>
          <w:szCs w:val="24"/>
          <w:lang w:val="en-US" w:eastAsia="zh-CN" w:bidi="ar"/>
        </w:rPr>
        <w:t xml:space="preserve"> DM, diabetes mellitus;</w:t>
      </w:r>
      <w:r>
        <w:rPr>
          <w:rFonts w:hint="default" w:ascii="Times New Roman" w:hAnsi="Times New Roman" w:eastAsia="等线" w:cs="Times New Roman"/>
          <w:sz w:val="24"/>
          <w:szCs w:val="24"/>
          <w:lang w:bidi="ar"/>
        </w:rPr>
        <w:t xml:space="preserve"> CVD, cardiovascular disease; BMI, body mass index; WC, waist circumstance</w:t>
      </w:r>
      <w:r>
        <w:rPr>
          <w:rFonts w:hint="eastAsia" w:ascii="Times New Roman" w:hAnsi="Times New Roman" w:eastAsia="等线" w:cs="Times New Roman"/>
          <w:sz w:val="24"/>
          <w:szCs w:val="24"/>
          <w:lang w:val="en-US" w:eastAsia="zh-CN" w:bidi="ar"/>
        </w:rPr>
        <w:t>;HEI, Healthy eating index</w:t>
      </w:r>
      <w:r>
        <w:rPr>
          <w:rFonts w:hint="default" w:ascii="Times New Roman" w:hAnsi="Times New Roman" w:eastAsia="等线" w:cs="Times New Roman"/>
          <w:sz w:val="24"/>
          <w:szCs w:val="24"/>
          <w:lang w:bidi="ar"/>
        </w:rPr>
        <w:t>.</w:t>
      </w:r>
    </w:p>
    <w:bookmarkEnd w:id="0"/>
    <w:p w14:paraId="0203D196">
      <w:pPr>
        <w:widowControl w:val="0"/>
        <w:jc w:val="center"/>
        <w:rPr>
          <w:rFonts w:hint="default" w:ascii="Times New Roman" w:hAnsi="Times New Roman" w:cs="Times New Roman"/>
          <w:b/>
          <w:bCs/>
          <w:sz w:val="22"/>
          <w:szCs w:val="22"/>
          <w:lang w:val="en-US" w:eastAsia="zh-Hans"/>
        </w:rPr>
      </w:pPr>
    </w:p>
    <w:p w14:paraId="673023EB">
      <w:pPr>
        <w:widowControl w:val="0"/>
        <w:jc w:val="center"/>
        <w:rPr>
          <w:rFonts w:hint="default" w:ascii="Times New Roman" w:hAnsi="Times New Roman" w:cs="Times New Roman"/>
          <w:b/>
          <w:bCs/>
          <w:sz w:val="22"/>
          <w:szCs w:val="22"/>
          <w:lang w:val="en-US" w:eastAsia="zh-Hans"/>
        </w:rPr>
      </w:pPr>
    </w:p>
    <w:p w14:paraId="5142053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alatino Linotype">
    <w:panose1 w:val="02040502050505030304"/>
    <w:charset w:val="00"/>
    <w:family w:val="auto"/>
    <w:pitch w:val="default"/>
    <w:sig w:usb0="E0000287" w:usb1="40000013" w:usb2="00000000" w:usb3="00000000" w:csb0="2000019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zYmJkODJjMTA1OTgyNWI4YmU2NzA1ODU4MzY3NTkifQ=="/>
  </w:docVars>
  <w:rsids>
    <w:rsidRoot w:val="30DF788E"/>
    <w:rsid w:val="30DF788E"/>
    <w:rsid w:val="5E595457"/>
    <w:rsid w:val="692E7F1E"/>
    <w:rsid w:val="7F7F0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Table Text"/>
    <w:basedOn w:val="1"/>
    <w:autoRedefine/>
    <w:semiHidden/>
    <w:qFormat/>
    <w:uiPriority w:val="0"/>
    <w:rPr>
      <w:rFonts w:ascii="Palatino Linotype" w:hAnsi="Palatino Linotype" w:eastAsia="Palatino Linotype" w:cs="Palatino Linotype"/>
      <w:sz w:val="20"/>
      <w:szCs w:val="20"/>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390</Words>
  <Characters>2257</Characters>
  <Lines>0</Lines>
  <Paragraphs>0</Paragraphs>
  <TotalTime>3</TotalTime>
  <ScaleCrop>false</ScaleCrop>
  <LinksUpToDate>false</LinksUpToDate>
  <CharactersWithSpaces>2615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2024-07-29T11:57:00Z</dcterms:created>
  <dc:creator>Forever</dc:creator>
  <cp:lastModifiedBy>Forever</cp:lastModifiedBy>
  <dcterms:modified xsi:type="dcterms:W3CDTF">2024-09-12T09:47:27Z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A003CB1718C646979649B07161E4F263_13</vt:lpwstr>
  </property>
</Properties>
</file>