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5B33F" w14:textId="77777777" w:rsidR="00F13F37" w:rsidRDefault="00F13F37" w:rsidP="00F13F37">
      <w:pPr>
        <w:spacing w:line="480" w:lineRule="auto"/>
        <w:ind w:firstLineChars="0" w:firstLine="0"/>
      </w:pPr>
    </w:p>
    <w:p w14:paraId="2A8A2DC4" w14:textId="77777777" w:rsidR="00F13F37" w:rsidRPr="00086CAA" w:rsidRDefault="00F13F37" w:rsidP="00F13F37">
      <w:pPr>
        <w:pStyle w:val="Caption"/>
        <w:keepNext/>
        <w:spacing w:line="480" w:lineRule="auto"/>
        <w:ind w:firstLineChars="0" w:firstLine="0"/>
        <w:rPr>
          <w:rFonts w:ascii="Times New Roman" w:hAnsi="Times New Roman" w:cs="Times New Roman"/>
          <w:b/>
          <w:bCs/>
        </w:rPr>
      </w:pPr>
      <w:r w:rsidRPr="00086CAA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1</w:t>
      </w:r>
      <w:r w:rsidRPr="00086CAA">
        <w:rPr>
          <w:rFonts w:ascii="Times New Roman" w:hAnsi="Times New Roman" w:cs="Times New Roman"/>
          <w:b/>
          <w:bCs/>
        </w:rPr>
        <w:t xml:space="preserve"> Basic information of included studies</w:t>
      </w:r>
    </w:p>
    <w:tbl>
      <w:tblPr>
        <w:tblStyle w:val="a"/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1814"/>
        <w:gridCol w:w="1815"/>
        <w:gridCol w:w="1814"/>
        <w:gridCol w:w="1815"/>
        <w:gridCol w:w="4888"/>
      </w:tblGrid>
      <w:tr w:rsidR="00F13F37" w:rsidRPr="00CD3DD3" w14:paraId="09FF7BFF" w14:textId="77777777" w:rsidTr="005B774C">
        <w:trPr>
          <w:cantSplit/>
          <w:trHeight w:val="483"/>
          <w:tblHeader w:val="0"/>
        </w:trPr>
        <w:tc>
          <w:tcPr>
            <w:tcW w:w="181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0A735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bookmarkStart w:id="0" w:name="OLE_LINK1"/>
            <w:r w:rsidRPr="00CD3DD3">
              <w:rPr>
                <w:sz w:val="21"/>
                <w:szCs w:val="20"/>
              </w:rPr>
              <w:t>Author(years)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5F6F6B1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Type of study</w:t>
            </w:r>
          </w:p>
        </w:tc>
        <w:tc>
          <w:tcPr>
            <w:tcW w:w="18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62BF5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Samples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533AA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Intervention</w:t>
            </w:r>
          </w:p>
        </w:tc>
        <w:tc>
          <w:tcPr>
            <w:tcW w:w="18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CFF0964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Control</w:t>
            </w:r>
          </w:p>
        </w:tc>
        <w:tc>
          <w:tcPr>
            <w:tcW w:w="488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F18158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Gender specific Outcomes</w:t>
            </w:r>
          </w:p>
        </w:tc>
      </w:tr>
      <w:tr w:rsidR="00F13F37" w:rsidRPr="00CD3DD3" w14:paraId="26B6E698" w14:textId="77777777" w:rsidTr="005B774C">
        <w:trPr>
          <w:cantSplit/>
          <w:trHeight w:val="3950"/>
          <w:tblHeader w:val="0"/>
        </w:trPr>
        <w:tc>
          <w:tcPr>
            <w:tcW w:w="1814" w:type="dxa"/>
            <w:tcBorders>
              <w:top w:val="single" w:sz="8" w:space="0" w:color="auto"/>
            </w:tcBorders>
            <w:vAlign w:val="center"/>
          </w:tcPr>
          <w:p w14:paraId="29449AEA" w14:textId="5A3D3A68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Wittmann et al., 2024</w:t>
            </w:r>
          </w:p>
        </w:tc>
        <w:tc>
          <w:tcPr>
            <w:tcW w:w="1814" w:type="dxa"/>
            <w:tcBorders>
              <w:top w:val="single" w:sz="8" w:space="0" w:color="auto"/>
            </w:tcBorders>
            <w:vAlign w:val="center"/>
          </w:tcPr>
          <w:p w14:paraId="47F7BC1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Cluster-randomized trial</w:t>
            </w:r>
          </w:p>
        </w:tc>
        <w:tc>
          <w:tcPr>
            <w:tcW w:w="1815" w:type="dxa"/>
            <w:tcBorders>
              <w:top w:val="single" w:sz="8" w:space="0" w:color="auto"/>
            </w:tcBorders>
            <w:vAlign w:val="center"/>
          </w:tcPr>
          <w:p w14:paraId="05F81B0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919 </w:t>
            </w:r>
            <w:r w:rsidRPr="00CD3DD3">
              <w:rPr>
                <w:sz w:val="21"/>
                <w:szCs w:val="20"/>
              </w:rPr>
              <w:t xml:space="preserve">older adults </w:t>
            </w:r>
          </w:p>
        </w:tc>
        <w:tc>
          <w:tcPr>
            <w:tcW w:w="1814" w:type="dxa"/>
            <w:tcBorders>
              <w:top w:val="single" w:sz="8" w:space="0" w:color="auto"/>
            </w:tcBorders>
            <w:vAlign w:val="center"/>
          </w:tcPr>
          <w:p w14:paraId="1A31660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2-</w:t>
            </w:r>
            <w:r w:rsidRPr="00CD3DD3">
              <w:rPr>
                <w:rFonts w:hint="eastAsia"/>
                <w:sz w:val="21"/>
                <w:szCs w:val="20"/>
              </w:rPr>
              <w:t>year</w:t>
            </w:r>
            <w:r w:rsidRPr="00CD3DD3">
              <w:rPr>
                <w:sz w:val="21"/>
                <w:szCs w:val="20"/>
              </w:rPr>
              <w:t xml:space="preserve"> Lifestyle intervention (Including PA)</w:t>
            </w:r>
            <w:r>
              <w:t xml:space="preserve"> </w:t>
            </w:r>
            <w:r w:rsidRPr="00CD3DD3">
              <w:rPr>
                <w:sz w:val="21"/>
                <w:szCs w:val="20"/>
              </w:rPr>
              <w:t>instructed by trained study nurses</w:t>
            </w:r>
          </w:p>
        </w:tc>
        <w:tc>
          <w:tcPr>
            <w:tcW w:w="1815" w:type="dxa"/>
            <w:tcBorders>
              <w:top w:val="single" w:sz="8" w:space="0" w:color="auto"/>
            </w:tcBorders>
            <w:vAlign w:val="center"/>
          </w:tcPr>
          <w:p w14:paraId="74242B3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Usual </w:t>
            </w:r>
            <w:r w:rsidRPr="00CD3DD3">
              <w:rPr>
                <w:sz w:val="21"/>
                <w:szCs w:val="20"/>
              </w:rPr>
              <w:t>general practitioners</w:t>
            </w:r>
            <w:r>
              <w:rPr>
                <w:sz w:val="21"/>
                <w:szCs w:val="20"/>
              </w:rPr>
              <w:t xml:space="preserve"> treatment and health advice</w:t>
            </w:r>
          </w:p>
        </w:tc>
        <w:tc>
          <w:tcPr>
            <w:tcW w:w="4888" w:type="dxa"/>
            <w:tcBorders>
              <w:top w:val="single" w:sz="8" w:space="0" w:color="auto"/>
            </w:tcBorders>
            <w:vAlign w:val="center"/>
          </w:tcPr>
          <w:p w14:paraId="2A9B469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cognitive difference;</w:t>
            </w:r>
          </w:p>
          <w:p w14:paraId="21F08FF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Women benefited in depressive symptoms, not men;</w:t>
            </w:r>
          </w:p>
          <w:p w14:paraId="24CEA5A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Both genders improved in health-related quality of life in younger group (60-69 years)</w:t>
            </w:r>
          </w:p>
        </w:tc>
      </w:tr>
      <w:tr w:rsidR="00F13F37" w:rsidRPr="00CD3DD3" w14:paraId="7DF168C7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51B91BA7" w14:textId="32DEE176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Dimitriadis et al., 2024</w:t>
            </w:r>
          </w:p>
        </w:tc>
        <w:tc>
          <w:tcPr>
            <w:tcW w:w="1814" w:type="dxa"/>
            <w:vAlign w:val="center"/>
          </w:tcPr>
          <w:p w14:paraId="4566A59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0DEC70F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82</w:t>
            </w:r>
            <w:r>
              <w:rPr>
                <w:sz w:val="21"/>
                <w:szCs w:val="20"/>
              </w:rPr>
              <w:t xml:space="preserve"> </w:t>
            </w:r>
            <w:r w:rsidRPr="00CD3DD3">
              <w:rPr>
                <w:sz w:val="21"/>
                <w:szCs w:val="20"/>
              </w:rPr>
              <w:t>older adults</w:t>
            </w:r>
          </w:p>
        </w:tc>
        <w:tc>
          <w:tcPr>
            <w:tcW w:w="1814" w:type="dxa"/>
            <w:vAlign w:val="center"/>
          </w:tcPr>
          <w:p w14:paraId="42B6BA6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12-week </w:t>
            </w:r>
            <w:r w:rsidRPr="00CD3DD3">
              <w:rPr>
                <w:sz w:val="21"/>
                <w:szCs w:val="20"/>
              </w:rPr>
              <w:t>Aerobic exercise, cognitive training, and their combination</w:t>
            </w:r>
          </w:p>
        </w:tc>
        <w:tc>
          <w:tcPr>
            <w:tcW w:w="1815" w:type="dxa"/>
            <w:vAlign w:val="center"/>
          </w:tcPr>
          <w:p w14:paraId="7718DE5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None </w:t>
            </w:r>
          </w:p>
        </w:tc>
        <w:tc>
          <w:tcPr>
            <w:tcW w:w="4888" w:type="dxa"/>
            <w:vAlign w:val="center"/>
          </w:tcPr>
          <w:p w14:paraId="1017D92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4AA97805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314D976D" w14:textId="5D7B2C1F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Belleville et al., 2023</w:t>
            </w:r>
          </w:p>
        </w:tc>
        <w:tc>
          <w:tcPr>
            <w:tcW w:w="1814" w:type="dxa"/>
            <w:vAlign w:val="center"/>
          </w:tcPr>
          <w:p w14:paraId="08B6F144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6D5267C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120 older adults</w:t>
            </w:r>
          </w:p>
        </w:tc>
        <w:tc>
          <w:tcPr>
            <w:tcW w:w="1814" w:type="dxa"/>
            <w:vAlign w:val="center"/>
          </w:tcPr>
          <w:p w14:paraId="0D65738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26-week </w:t>
            </w:r>
            <w:r w:rsidRPr="00CD3DD3">
              <w:rPr>
                <w:sz w:val="21"/>
                <w:szCs w:val="20"/>
              </w:rPr>
              <w:t>Computerized home-based multidomain training (Including PA)</w:t>
            </w:r>
          </w:p>
        </w:tc>
        <w:tc>
          <w:tcPr>
            <w:tcW w:w="1815" w:type="dxa"/>
            <w:vAlign w:val="center"/>
          </w:tcPr>
          <w:p w14:paraId="080EABB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35DF180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hint="eastAsia"/>
                <w:sz w:val="21"/>
                <w:szCs w:val="20"/>
              </w:rPr>
              <w:t>W</w:t>
            </w:r>
            <w:r w:rsidRPr="00CD3DD3">
              <w:rPr>
                <w:sz w:val="21"/>
                <w:szCs w:val="20"/>
              </w:rPr>
              <w:t>omen benefited more in Zaven global cognition and memory scores</w:t>
            </w:r>
          </w:p>
        </w:tc>
      </w:tr>
      <w:tr w:rsidR="00F13F37" w:rsidRPr="00CD3DD3" w14:paraId="156090D2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626E297D" w14:textId="103BE3FF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Barha et al., 2023</w:t>
            </w:r>
          </w:p>
        </w:tc>
        <w:tc>
          <w:tcPr>
            <w:tcW w:w="1814" w:type="dxa"/>
            <w:vAlign w:val="center"/>
          </w:tcPr>
          <w:p w14:paraId="373A79C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595F7BB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58 older adults</w:t>
            </w:r>
            <w:r>
              <w:rPr>
                <w:sz w:val="21"/>
                <w:szCs w:val="20"/>
              </w:rPr>
              <w:t xml:space="preserve"> with MCI</w:t>
            </w:r>
          </w:p>
        </w:tc>
        <w:tc>
          <w:tcPr>
            <w:tcW w:w="1814" w:type="dxa"/>
            <w:vAlign w:val="center"/>
          </w:tcPr>
          <w:p w14:paraId="3F194DC8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6-month </w:t>
            </w:r>
            <w:r w:rsidRPr="00CD3DD3">
              <w:rPr>
                <w:sz w:val="21"/>
                <w:szCs w:val="20"/>
              </w:rPr>
              <w:t>Aerobic exercise</w:t>
            </w:r>
          </w:p>
        </w:tc>
        <w:tc>
          <w:tcPr>
            <w:tcW w:w="1815" w:type="dxa"/>
            <w:vAlign w:val="center"/>
          </w:tcPr>
          <w:p w14:paraId="48C9BDA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Usual care and education control</w:t>
            </w:r>
          </w:p>
        </w:tc>
        <w:tc>
          <w:tcPr>
            <w:tcW w:w="4888" w:type="dxa"/>
            <w:vAlign w:val="center"/>
          </w:tcPr>
          <w:p w14:paraId="7E7CD0B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Improved executive functions in females without the BDNF Val66Met polymorphism, no improvement in males</w:t>
            </w:r>
          </w:p>
        </w:tc>
      </w:tr>
      <w:tr w:rsidR="00F13F37" w:rsidRPr="00CD3DD3" w14:paraId="445855E3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34A07792" w14:textId="2FB37C38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Belleville et al., 2022</w:t>
            </w:r>
          </w:p>
        </w:tc>
        <w:tc>
          <w:tcPr>
            <w:tcW w:w="1814" w:type="dxa"/>
            <w:vAlign w:val="center"/>
          </w:tcPr>
          <w:p w14:paraId="0B17E71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2F0A43E4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749 older adults </w:t>
            </w:r>
          </w:p>
        </w:tc>
        <w:tc>
          <w:tcPr>
            <w:tcW w:w="1814" w:type="dxa"/>
            <w:vAlign w:val="center"/>
          </w:tcPr>
          <w:p w14:paraId="37DB3B1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3-year </w:t>
            </w:r>
            <w:r w:rsidRPr="00CD3DD3">
              <w:rPr>
                <w:sz w:val="21"/>
                <w:szCs w:val="20"/>
              </w:rPr>
              <w:t>Multidomain intervention (</w:t>
            </w:r>
            <w:r>
              <w:rPr>
                <w:sz w:val="21"/>
                <w:szCs w:val="20"/>
              </w:rPr>
              <w:t>Including PA</w:t>
            </w:r>
            <w:r w:rsidRPr="00CD3DD3">
              <w:rPr>
                <w:sz w:val="21"/>
                <w:szCs w:val="20"/>
              </w:rPr>
              <w:t>)</w:t>
            </w:r>
          </w:p>
        </w:tc>
        <w:tc>
          <w:tcPr>
            <w:tcW w:w="1815" w:type="dxa"/>
            <w:vAlign w:val="center"/>
          </w:tcPr>
          <w:p w14:paraId="7076190C" w14:textId="77777777" w:rsidR="00F13F37" w:rsidRPr="003F1826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None</w:t>
            </w:r>
          </w:p>
        </w:tc>
        <w:tc>
          <w:tcPr>
            <w:tcW w:w="4888" w:type="dxa"/>
            <w:vAlign w:val="center"/>
          </w:tcPr>
          <w:p w14:paraId="7DABD6B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Women benefited more from a higher dose of the intervention in global cognition, delayed memory recall and executive function</w:t>
            </w:r>
          </w:p>
        </w:tc>
      </w:tr>
      <w:tr w:rsidR="00F13F37" w:rsidRPr="00CD3DD3" w14:paraId="1D1B114E" w14:textId="77777777" w:rsidTr="005B774C">
        <w:trPr>
          <w:cantSplit/>
          <w:trHeight w:val="1701"/>
          <w:tblHeader w:val="0"/>
        </w:trPr>
        <w:tc>
          <w:tcPr>
            <w:tcW w:w="1814" w:type="dxa"/>
            <w:vAlign w:val="center"/>
          </w:tcPr>
          <w:p w14:paraId="0BE3BC9C" w14:textId="5974A73E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Pani et al., 2022</w:t>
            </w:r>
          </w:p>
        </w:tc>
        <w:tc>
          <w:tcPr>
            <w:tcW w:w="1814" w:type="dxa"/>
            <w:vAlign w:val="center"/>
          </w:tcPr>
          <w:p w14:paraId="3AC769A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Longitudinal Study</w:t>
            </w:r>
          </w:p>
        </w:tc>
        <w:tc>
          <w:tcPr>
            <w:tcW w:w="1815" w:type="dxa"/>
            <w:vAlign w:val="center"/>
          </w:tcPr>
          <w:p w14:paraId="0F2D730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105</w:t>
            </w:r>
            <w:bookmarkStart w:id="1" w:name="OLE_LINK2"/>
            <w:r w:rsidRPr="00CD3DD3">
              <w:rPr>
                <w:sz w:val="21"/>
                <w:szCs w:val="20"/>
              </w:rPr>
              <w:t xml:space="preserve"> older adults</w:t>
            </w:r>
            <w:bookmarkEnd w:id="1"/>
          </w:p>
        </w:tc>
        <w:tc>
          <w:tcPr>
            <w:tcW w:w="1814" w:type="dxa"/>
            <w:vAlign w:val="center"/>
          </w:tcPr>
          <w:p w14:paraId="5DA3A0D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5-year moderate or high intensity exercise </w:t>
            </w:r>
          </w:p>
        </w:tc>
        <w:tc>
          <w:tcPr>
            <w:tcW w:w="1815" w:type="dxa"/>
            <w:vAlign w:val="center"/>
          </w:tcPr>
          <w:p w14:paraId="695D9617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4653EF95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hint="eastAsia"/>
                <w:sz w:val="21"/>
                <w:szCs w:val="20"/>
              </w:rPr>
              <w:t>W</w:t>
            </w:r>
            <w:r w:rsidRPr="00CD3DD3">
              <w:rPr>
                <w:sz w:val="21"/>
                <w:szCs w:val="20"/>
              </w:rPr>
              <w:t xml:space="preserve">omen have greater FD value in parietal GM lobe and higher parietal and temporal cortical thickness. </w:t>
            </w:r>
          </w:p>
        </w:tc>
      </w:tr>
      <w:tr w:rsidR="00F13F37" w:rsidRPr="00CD3DD3" w14:paraId="222E3031" w14:textId="77777777" w:rsidTr="005B774C">
        <w:trPr>
          <w:cantSplit/>
          <w:trHeight w:val="1843"/>
          <w:tblHeader w:val="0"/>
        </w:trPr>
        <w:tc>
          <w:tcPr>
            <w:tcW w:w="1814" w:type="dxa"/>
            <w:vAlign w:val="center"/>
          </w:tcPr>
          <w:p w14:paraId="32739F93" w14:textId="1B789D4F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Zotcheva et al., 2022</w:t>
            </w:r>
          </w:p>
        </w:tc>
        <w:tc>
          <w:tcPr>
            <w:tcW w:w="1814" w:type="dxa"/>
            <w:vAlign w:val="center"/>
          </w:tcPr>
          <w:p w14:paraId="18BD93C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3BDA4CA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945</w:t>
            </w:r>
            <w:r w:rsidRPr="00CD3DD3">
              <w:rPr>
                <w:sz w:val="21"/>
                <w:szCs w:val="20"/>
              </w:rPr>
              <w:t xml:space="preserve"> older adults</w:t>
            </w:r>
          </w:p>
        </w:tc>
        <w:tc>
          <w:tcPr>
            <w:tcW w:w="1814" w:type="dxa"/>
            <w:vAlign w:val="center"/>
          </w:tcPr>
          <w:p w14:paraId="40BB479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rFonts w:eastAsia="DengXian" w:cs="Times New Roman"/>
                <w:color w:val="000000"/>
                <w:sz w:val="21"/>
                <w:szCs w:val="20"/>
              </w:rPr>
              <w:t xml:space="preserve">5-year </w:t>
            </w: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 xml:space="preserve">Moderate </w:t>
            </w:r>
            <w:r>
              <w:rPr>
                <w:rFonts w:eastAsia="DengXian" w:cs="Times New Roman"/>
                <w:color w:val="000000"/>
                <w:sz w:val="21"/>
                <w:szCs w:val="20"/>
              </w:rPr>
              <w:t>or</w:t>
            </w: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 xml:space="preserve"> high-intensity interval training</w:t>
            </w:r>
          </w:p>
        </w:tc>
        <w:tc>
          <w:tcPr>
            <w:tcW w:w="1815" w:type="dxa"/>
            <w:vAlign w:val="center"/>
          </w:tcPr>
          <w:p w14:paraId="6BB6F43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sz w:val="21"/>
                <w:szCs w:val="20"/>
              </w:rPr>
            </w:pPr>
            <w:r>
              <w:rPr>
                <w:rFonts w:eastAsia="DengXian" w:cs="Times New Roman"/>
                <w:color w:val="000000"/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64C3422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sz w:val="21"/>
                <w:szCs w:val="20"/>
              </w:rPr>
            </w:pP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Men in the exercise group showed better cognitive outcomes than male controls;</w:t>
            </w:r>
          </w:p>
          <w:p w14:paraId="31CD0B1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No significant difference in women</w:t>
            </w:r>
          </w:p>
        </w:tc>
      </w:tr>
      <w:tr w:rsidR="00F13F37" w:rsidRPr="00CD3DD3" w14:paraId="68C25BD1" w14:textId="77777777" w:rsidTr="005B774C">
        <w:trPr>
          <w:cantSplit/>
          <w:trHeight w:val="1688"/>
          <w:tblHeader w:val="0"/>
        </w:trPr>
        <w:tc>
          <w:tcPr>
            <w:tcW w:w="1814" w:type="dxa"/>
            <w:vAlign w:val="center"/>
          </w:tcPr>
          <w:p w14:paraId="60FB974C" w14:textId="3A953CED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Guzman et al., 2021</w:t>
            </w:r>
          </w:p>
        </w:tc>
        <w:tc>
          <w:tcPr>
            <w:tcW w:w="1814" w:type="dxa"/>
            <w:vAlign w:val="center"/>
          </w:tcPr>
          <w:p w14:paraId="2EE8341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Pilot Study</w:t>
            </w:r>
          </w:p>
        </w:tc>
        <w:tc>
          <w:tcPr>
            <w:tcW w:w="1815" w:type="dxa"/>
            <w:vAlign w:val="center"/>
          </w:tcPr>
          <w:p w14:paraId="1D2375B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14 older </w:t>
            </w:r>
            <w:r>
              <w:rPr>
                <w:sz w:val="21"/>
                <w:szCs w:val="20"/>
              </w:rPr>
              <w:t>adults</w:t>
            </w:r>
            <w:r w:rsidRPr="00CD3DD3">
              <w:rPr>
                <w:sz w:val="21"/>
                <w:szCs w:val="20"/>
              </w:rPr>
              <w:t xml:space="preserve"> </w:t>
            </w:r>
          </w:p>
        </w:tc>
        <w:tc>
          <w:tcPr>
            <w:tcW w:w="1814" w:type="dxa"/>
            <w:vAlign w:val="center"/>
          </w:tcPr>
          <w:p w14:paraId="746847D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4-month BAILAMOS dance program</w:t>
            </w:r>
          </w:p>
        </w:tc>
        <w:tc>
          <w:tcPr>
            <w:tcW w:w="1815" w:type="dxa"/>
            <w:vAlign w:val="center"/>
          </w:tcPr>
          <w:p w14:paraId="5F9828A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6B5CF8D1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Gender had a significant effect on hippocampal volume change </w:t>
            </w:r>
          </w:p>
        </w:tc>
      </w:tr>
      <w:tr w:rsidR="00F13F37" w:rsidRPr="00CD3DD3" w14:paraId="03E72E14" w14:textId="77777777" w:rsidTr="005B774C">
        <w:trPr>
          <w:cantSplit/>
          <w:trHeight w:val="1471"/>
          <w:tblHeader w:val="0"/>
        </w:trPr>
        <w:tc>
          <w:tcPr>
            <w:tcW w:w="1814" w:type="dxa"/>
            <w:vAlign w:val="center"/>
          </w:tcPr>
          <w:p w14:paraId="03493E5E" w14:textId="33BE93DA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Bischoff-Ferrari et al., 2020</w:t>
            </w:r>
          </w:p>
        </w:tc>
        <w:tc>
          <w:tcPr>
            <w:tcW w:w="1814" w:type="dxa"/>
            <w:vAlign w:val="center"/>
          </w:tcPr>
          <w:p w14:paraId="2BEA3CA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Clinical Trial</w:t>
            </w:r>
          </w:p>
        </w:tc>
        <w:tc>
          <w:tcPr>
            <w:tcW w:w="1815" w:type="dxa"/>
            <w:vAlign w:val="center"/>
          </w:tcPr>
          <w:p w14:paraId="54263F85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2157 older adults </w:t>
            </w:r>
          </w:p>
        </w:tc>
        <w:tc>
          <w:tcPr>
            <w:tcW w:w="1814" w:type="dxa"/>
            <w:vAlign w:val="center"/>
          </w:tcPr>
          <w:p w14:paraId="5A5FA22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3-year </w:t>
            </w:r>
            <w:r w:rsidRPr="00CD3DD3">
              <w:rPr>
                <w:sz w:val="21"/>
                <w:szCs w:val="20"/>
              </w:rPr>
              <w:t>Vitamin D, omega-3s, strength-training (alone or combined)</w:t>
            </w:r>
          </w:p>
        </w:tc>
        <w:tc>
          <w:tcPr>
            <w:tcW w:w="1815" w:type="dxa"/>
            <w:vAlign w:val="center"/>
          </w:tcPr>
          <w:p w14:paraId="21DCFEB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3624D467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significant difference on cognitive outcomes;</w:t>
            </w:r>
          </w:p>
          <w:p w14:paraId="3DF53B0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Significant increase of systolic blood pressure among women in strength training exercise</w:t>
            </w:r>
          </w:p>
        </w:tc>
      </w:tr>
      <w:tr w:rsidR="00F13F37" w:rsidRPr="00CD3DD3" w14:paraId="1843EA23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56DF6C43" w14:textId="3F9A7A3C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Zlatar et al., 2019</w:t>
            </w:r>
          </w:p>
        </w:tc>
        <w:tc>
          <w:tcPr>
            <w:tcW w:w="1814" w:type="dxa"/>
            <w:vAlign w:val="center"/>
          </w:tcPr>
          <w:p w14:paraId="54492C9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Clinical Trial</w:t>
            </w:r>
          </w:p>
        </w:tc>
        <w:tc>
          <w:tcPr>
            <w:tcW w:w="1815" w:type="dxa"/>
            <w:vAlign w:val="center"/>
          </w:tcPr>
          <w:p w14:paraId="164180E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307 older adults </w:t>
            </w:r>
          </w:p>
        </w:tc>
        <w:tc>
          <w:tcPr>
            <w:tcW w:w="1814" w:type="dxa"/>
            <w:vAlign w:val="center"/>
          </w:tcPr>
          <w:p w14:paraId="69FB70D7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6-month </w:t>
            </w:r>
            <w:r w:rsidRPr="00CD3DD3">
              <w:rPr>
                <w:sz w:val="21"/>
                <w:szCs w:val="20"/>
              </w:rPr>
              <w:t>Light</w:t>
            </w:r>
            <w:r>
              <w:rPr>
                <w:sz w:val="21"/>
                <w:szCs w:val="20"/>
              </w:rPr>
              <w:t xml:space="preserve"> or</w:t>
            </w:r>
            <w:r w:rsidRPr="00CD3DD3">
              <w:rPr>
                <w:sz w:val="21"/>
                <w:szCs w:val="20"/>
              </w:rPr>
              <w:t xml:space="preserve"> Moderate to Vigorous </w:t>
            </w:r>
            <w:r>
              <w:rPr>
                <w:sz w:val="21"/>
                <w:szCs w:val="20"/>
              </w:rPr>
              <w:t>aerobic exercise</w:t>
            </w:r>
            <w:r w:rsidRPr="00CD3DD3">
              <w:rPr>
                <w:sz w:val="21"/>
                <w:szCs w:val="20"/>
              </w:rPr>
              <w:t xml:space="preserve"> </w:t>
            </w:r>
          </w:p>
        </w:tc>
        <w:tc>
          <w:tcPr>
            <w:tcW w:w="1815" w:type="dxa"/>
            <w:vAlign w:val="center"/>
          </w:tcPr>
          <w:p w14:paraId="6E24CE28" w14:textId="77777777" w:rsidR="00F13F37" w:rsidRPr="008E1991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1505BD8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Women benefited more from </w:t>
            </w:r>
            <w:r>
              <w:rPr>
                <w:sz w:val="21"/>
                <w:szCs w:val="20"/>
              </w:rPr>
              <w:t>moderate to vigorous aerobic exercise</w:t>
            </w:r>
            <w:r w:rsidRPr="00CD3DD3">
              <w:rPr>
                <w:sz w:val="21"/>
                <w:szCs w:val="20"/>
              </w:rPr>
              <w:t xml:space="preserve"> in executive function than men</w:t>
            </w:r>
          </w:p>
        </w:tc>
      </w:tr>
      <w:tr w:rsidR="00F13F37" w:rsidRPr="00CD3DD3" w14:paraId="0EBD8548" w14:textId="77777777" w:rsidTr="005B774C">
        <w:trPr>
          <w:cantSplit/>
          <w:trHeight w:val="2127"/>
          <w:tblHeader w:val="0"/>
        </w:trPr>
        <w:tc>
          <w:tcPr>
            <w:tcW w:w="1814" w:type="dxa"/>
            <w:vAlign w:val="center"/>
          </w:tcPr>
          <w:p w14:paraId="007A0641" w14:textId="29352C58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Romera-Liebana et al., 2018</w:t>
            </w:r>
          </w:p>
        </w:tc>
        <w:tc>
          <w:tcPr>
            <w:tcW w:w="1814" w:type="dxa"/>
            <w:vAlign w:val="center"/>
          </w:tcPr>
          <w:p w14:paraId="644E8E4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hint="eastAsia"/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34B6240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hint="eastAsia"/>
                <w:sz w:val="21"/>
                <w:szCs w:val="20"/>
              </w:rPr>
              <w:t>3</w:t>
            </w:r>
            <w:r w:rsidRPr="00CD3DD3">
              <w:rPr>
                <w:sz w:val="21"/>
                <w:szCs w:val="20"/>
              </w:rPr>
              <w:t>47</w:t>
            </w:r>
            <w:r w:rsidRPr="00CD3DD3">
              <w:rPr>
                <w:rFonts w:hint="eastAsia"/>
                <w:sz w:val="21"/>
                <w:szCs w:val="20"/>
              </w:rPr>
              <w:t xml:space="preserve"> </w:t>
            </w:r>
            <w:r w:rsidRPr="00CD3DD3">
              <w:rPr>
                <w:sz w:val="21"/>
                <w:szCs w:val="20"/>
              </w:rPr>
              <w:t>older adults</w:t>
            </w:r>
          </w:p>
        </w:tc>
        <w:tc>
          <w:tcPr>
            <w:tcW w:w="1814" w:type="dxa"/>
            <w:vAlign w:val="center"/>
          </w:tcPr>
          <w:p w14:paraId="4A8FD4E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12-week Multidomain intervention (Including PA)</w:t>
            </w:r>
          </w:p>
        </w:tc>
        <w:tc>
          <w:tcPr>
            <w:tcW w:w="1815" w:type="dxa"/>
            <w:vAlign w:val="center"/>
          </w:tcPr>
          <w:p w14:paraId="0AE6EDD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583F4817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7B4C25F9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17AED65A" w14:textId="32EC2EB9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Liu et al., 2018</w:t>
            </w:r>
          </w:p>
        </w:tc>
        <w:tc>
          <w:tcPr>
            <w:tcW w:w="1814" w:type="dxa"/>
            <w:vAlign w:val="center"/>
          </w:tcPr>
          <w:p w14:paraId="29620134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hint="eastAsia"/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2FD4FEC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1298 older adults, </w:t>
            </w:r>
          </w:p>
        </w:tc>
        <w:tc>
          <w:tcPr>
            <w:tcW w:w="1814" w:type="dxa"/>
            <w:vAlign w:val="center"/>
          </w:tcPr>
          <w:p w14:paraId="194019A7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24-month Moderate-intensity </w:t>
            </w:r>
            <w:r>
              <w:rPr>
                <w:sz w:val="21"/>
                <w:szCs w:val="20"/>
              </w:rPr>
              <w:t>PA</w:t>
            </w:r>
          </w:p>
        </w:tc>
        <w:tc>
          <w:tcPr>
            <w:tcW w:w="1815" w:type="dxa"/>
            <w:vAlign w:val="center"/>
          </w:tcPr>
          <w:p w14:paraId="4B24D5F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5F312458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40F463E9" w14:textId="77777777" w:rsidTr="005B774C">
        <w:trPr>
          <w:cantSplit/>
          <w:trHeight w:val="1460"/>
          <w:tblHeader w:val="0"/>
        </w:trPr>
        <w:tc>
          <w:tcPr>
            <w:tcW w:w="1814" w:type="dxa"/>
            <w:vAlign w:val="center"/>
          </w:tcPr>
          <w:p w14:paraId="3359B1C7" w14:textId="50B068E6" w:rsidR="00F13F37" w:rsidRPr="00CD3DD3" w:rsidRDefault="00F13F37" w:rsidP="005B774C">
            <w:pPr>
              <w:spacing w:line="480" w:lineRule="auto"/>
              <w:ind w:firstLineChars="0" w:firstLine="0"/>
              <w:rPr>
                <w:sz w:val="21"/>
                <w:szCs w:val="20"/>
              </w:rPr>
            </w:pPr>
            <w:r>
              <w:rPr>
                <w:rFonts w:cs="Times New Roman"/>
                <w:sz w:val="21"/>
                <w:szCs w:val="20"/>
              </w:rPr>
              <w:lastRenderedPageBreak/>
              <w:t>Lamb et al., 2018</w:t>
            </w:r>
          </w:p>
        </w:tc>
        <w:tc>
          <w:tcPr>
            <w:tcW w:w="1814" w:type="dxa"/>
            <w:vAlign w:val="center"/>
          </w:tcPr>
          <w:p w14:paraId="1305DD9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Randomized Clinical Trial</w:t>
            </w:r>
          </w:p>
        </w:tc>
        <w:tc>
          <w:tcPr>
            <w:tcW w:w="1815" w:type="dxa"/>
            <w:vAlign w:val="center"/>
          </w:tcPr>
          <w:p w14:paraId="63118E9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494 adults with dementia</w:t>
            </w:r>
          </w:p>
        </w:tc>
        <w:tc>
          <w:tcPr>
            <w:tcW w:w="1814" w:type="dxa"/>
            <w:vAlign w:val="center"/>
          </w:tcPr>
          <w:p w14:paraId="33990AC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rFonts w:eastAsia="DengXian" w:cs="Times New Roman"/>
                <w:color w:val="000000"/>
                <w:sz w:val="21"/>
                <w:szCs w:val="20"/>
              </w:rPr>
              <w:t xml:space="preserve">12-month </w:t>
            </w:r>
            <w:r w:rsidRPr="00CD3DD3">
              <w:rPr>
                <w:rFonts w:eastAsia="DengXian" w:cs="Times New Roman"/>
                <w:color w:val="000000"/>
                <w:sz w:val="21"/>
                <w:szCs w:val="20"/>
              </w:rPr>
              <w:t>Aerobic and strength training exercise program</w:t>
            </w:r>
          </w:p>
        </w:tc>
        <w:tc>
          <w:tcPr>
            <w:tcW w:w="1815" w:type="dxa"/>
            <w:vAlign w:val="center"/>
          </w:tcPr>
          <w:p w14:paraId="11405EA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6D7BC9A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2E36138B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7AA9C3DF" w14:textId="27BF0292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Rosenberg et al., 2018</w:t>
            </w:r>
          </w:p>
        </w:tc>
        <w:tc>
          <w:tcPr>
            <w:tcW w:w="1814" w:type="dxa"/>
            <w:vAlign w:val="center"/>
          </w:tcPr>
          <w:p w14:paraId="5DCC473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00D5A124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1260 </w:t>
            </w:r>
            <w:r>
              <w:rPr>
                <w:sz w:val="21"/>
                <w:szCs w:val="20"/>
              </w:rPr>
              <w:t>older adults</w:t>
            </w:r>
            <w:r w:rsidRPr="00CD3DD3">
              <w:rPr>
                <w:sz w:val="21"/>
                <w:szCs w:val="20"/>
              </w:rPr>
              <w:t xml:space="preserve"> </w:t>
            </w:r>
          </w:p>
        </w:tc>
        <w:tc>
          <w:tcPr>
            <w:tcW w:w="1814" w:type="dxa"/>
            <w:vAlign w:val="center"/>
          </w:tcPr>
          <w:p w14:paraId="1E939B7A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2-year </w:t>
            </w:r>
            <w:r w:rsidRPr="00CD3DD3">
              <w:rPr>
                <w:sz w:val="21"/>
                <w:szCs w:val="20"/>
              </w:rPr>
              <w:t>Multidomain intervention (Including PA)</w:t>
            </w:r>
          </w:p>
        </w:tc>
        <w:tc>
          <w:tcPr>
            <w:tcW w:w="1815" w:type="dxa"/>
            <w:vAlign w:val="center"/>
          </w:tcPr>
          <w:p w14:paraId="1FC0500B" w14:textId="77777777" w:rsidR="00F13F37" w:rsidRPr="00734D71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2FCB883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0AF1D075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6B987DFE" w14:textId="1FCA2F44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Henskens et al., 2018</w:t>
            </w:r>
          </w:p>
        </w:tc>
        <w:tc>
          <w:tcPr>
            <w:tcW w:w="1814" w:type="dxa"/>
            <w:vAlign w:val="center"/>
          </w:tcPr>
          <w:p w14:paraId="54266E3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615E7291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87 </w:t>
            </w:r>
            <w:r>
              <w:rPr>
                <w:sz w:val="21"/>
                <w:szCs w:val="20"/>
              </w:rPr>
              <w:t>older adults</w:t>
            </w:r>
            <w:r w:rsidRPr="00CD3DD3">
              <w:rPr>
                <w:sz w:val="21"/>
                <w:szCs w:val="20"/>
              </w:rPr>
              <w:t xml:space="preserve"> with dementia</w:t>
            </w:r>
          </w:p>
        </w:tc>
        <w:tc>
          <w:tcPr>
            <w:tcW w:w="1814" w:type="dxa"/>
            <w:vAlign w:val="center"/>
          </w:tcPr>
          <w:p w14:paraId="7F5E0EE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6-month </w:t>
            </w:r>
            <w:r w:rsidRPr="00CD3DD3">
              <w:rPr>
                <w:sz w:val="21"/>
                <w:szCs w:val="20"/>
              </w:rPr>
              <w:t>Activities of daily living (ADL) training, exercise training, or combined</w:t>
            </w:r>
          </w:p>
        </w:tc>
        <w:tc>
          <w:tcPr>
            <w:tcW w:w="1815" w:type="dxa"/>
            <w:vAlign w:val="center"/>
          </w:tcPr>
          <w:p w14:paraId="566F634D" w14:textId="77777777" w:rsidR="00F13F37" w:rsidRPr="001934C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None</w:t>
            </w:r>
          </w:p>
        </w:tc>
        <w:tc>
          <w:tcPr>
            <w:tcW w:w="4888" w:type="dxa"/>
            <w:vAlign w:val="center"/>
          </w:tcPr>
          <w:p w14:paraId="0A416CA6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Men benefited in depressive symptoms</w:t>
            </w:r>
            <w:r w:rsidRPr="00CD3DD3">
              <w:rPr>
                <w:rFonts w:hint="eastAsia"/>
                <w:sz w:val="21"/>
                <w:szCs w:val="20"/>
              </w:rPr>
              <w:t xml:space="preserve"> </w:t>
            </w:r>
            <w:r w:rsidRPr="00CD3DD3">
              <w:rPr>
                <w:sz w:val="21"/>
                <w:szCs w:val="20"/>
              </w:rPr>
              <w:t xml:space="preserve">in </w:t>
            </w:r>
            <w:r w:rsidRPr="00CD3DD3">
              <w:rPr>
                <w:rFonts w:hint="eastAsia"/>
                <w:sz w:val="21"/>
                <w:szCs w:val="20"/>
              </w:rPr>
              <w:t>A</w:t>
            </w:r>
            <w:r w:rsidRPr="00CD3DD3">
              <w:rPr>
                <w:sz w:val="21"/>
                <w:szCs w:val="20"/>
              </w:rPr>
              <w:t xml:space="preserve">DL training; </w:t>
            </w:r>
          </w:p>
        </w:tc>
      </w:tr>
      <w:tr w:rsidR="00F13F37" w:rsidRPr="00CD3DD3" w14:paraId="7BB3B3DB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79D6DC29" w14:textId="1AE7B494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Toots et al., 2017</w:t>
            </w:r>
          </w:p>
        </w:tc>
        <w:tc>
          <w:tcPr>
            <w:tcW w:w="1814" w:type="dxa"/>
            <w:vAlign w:val="center"/>
          </w:tcPr>
          <w:p w14:paraId="42C911E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36C15C7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186 </w:t>
            </w:r>
            <w:r>
              <w:rPr>
                <w:sz w:val="21"/>
                <w:szCs w:val="20"/>
              </w:rPr>
              <w:t>older adults</w:t>
            </w:r>
            <w:r w:rsidRPr="00CD3DD3">
              <w:rPr>
                <w:sz w:val="21"/>
                <w:szCs w:val="20"/>
              </w:rPr>
              <w:t xml:space="preserve"> with dementia</w:t>
            </w:r>
          </w:p>
        </w:tc>
        <w:tc>
          <w:tcPr>
            <w:tcW w:w="1814" w:type="dxa"/>
            <w:vAlign w:val="center"/>
          </w:tcPr>
          <w:p w14:paraId="3305BB0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4-month </w:t>
            </w:r>
            <w:r w:rsidRPr="00CD3DD3">
              <w:rPr>
                <w:sz w:val="21"/>
                <w:szCs w:val="20"/>
              </w:rPr>
              <w:t>High-Intensity Functional Exercise program</w:t>
            </w:r>
          </w:p>
        </w:tc>
        <w:tc>
          <w:tcPr>
            <w:tcW w:w="1815" w:type="dxa"/>
            <w:vAlign w:val="center"/>
          </w:tcPr>
          <w:p w14:paraId="7DE55F1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637E349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11254D26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3807CB33" w14:textId="091B7BE2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Sink et al., 2015</w:t>
            </w:r>
          </w:p>
        </w:tc>
        <w:tc>
          <w:tcPr>
            <w:tcW w:w="1814" w:type="dxa"/>
            <w:vAlign w:val="center"/>
          </w:tcPr>
          <w:p w14:paraId="1E0B3A1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Clinical Trial</w:t>
            </w:r>
          </w:p>
        </w:tc>
        <w:tc>
          <w:tcPr>
            <w:tcW w:w="1815" w:type="dxa"/>
            <w:vAlign w:val="center"/>
          </w:tcPr>
          <w:p w14:paraId="2FBF968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1635 older adults </w:t>
            </w:r>
          </w:p>
        </w:tc>
        <w:tc>
          <w:tcPr>
            <w:tcW w:w="1814" w:type="dxa"/>
            <w:vAlign w:val="center"/>
          </w:tcPr>
          <w:p w14:paraId="63FDEE7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24-month moderate-intensity </w:t>
            </w:r>
            <w:r>
              <w:rPr>
                <w:sz w:val="21"/>
                <w:szCs w:val="20"/>
              </w:rPr>
              <w:t>PA</w:t>
            </w:r>
          </w:p>
        </w:tc>
        <w:tc>
          <w:tcPr>
            <w:tcW w:w="1815" w:type="dxa"/>
            <w:vAlign w:val="center"/>
          </w:tcPr>
          <w:p w14:paraId="1FB31584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344D3635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539C1FED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5F0D5FA1" w14:textId="5A836765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Telenius et al., 2015</w:t>
            </w:r>
          </w:p>
        </w:tc>
        <w:tc>
          <w:tcPr>
            <w:tcW w:w="1814" w:type="dxa"/>
            <w:vAlign w:val="center"/>
          </w:tcPr>
          <w:p w14:paraId="1F1A7F81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569A2D7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170 older adults with dementia</w:t>
            </w:r>
          </w:p>
        </w:tc>
        <w:tc>
          <w:tcPr>
            <w:tcW w:w="1814" w:type="dxa"/>
            <w:vAlign w:val="center"/>
          </w:tcPr>
          <w:p w14:paraId="73CDF6A7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12-week </w:t>
            </w:r>
            <w:r w:rsidRPr="00CD3DD3">
              <w:rPr>
                <w:sz w:val="21"/>
                <w:szCs w:val="20"/>
              </w:rPr>
              <w:t>High-intensity functional exercise</w:t>
            </w:r>
          </w:p>
        </w:tc>
        <w:tc>
          <w:tcPr>
            <w:tcW w:w="1815" w:type="dxa"/>
            <w:vAlign w:val="center"/>
          </w:tcPr>
          <w:p w14:paraId="3F7C641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2219D20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5F5BE69B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2781B3D2" w14:textId="5F7CF04D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Varma et al., 2015</w:t>
            </w:r>
          </w:p>
        </w:tc>
        <w:tc>
          <w:tcPr>
            <w:tcW w:w="1814" w:type="dxa"/>
            <w:vAlign w:val="center"/>
          </w:tcPr>
          <w:p w14:paraId="35DC4845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Cross-sectional study</w:t>
            </w:r>
          </w:p>
        </w:tc>
        <w:tc>
          <w:tcPr>
            <w:tcW w:w="1815" w:type="dxa"/>
            <w:vAlign w:val="center"/>
          </w:tcPr>
          <w:p w14:paraId="5ECD55C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92 older adults</w:t>
            </w:r>
          </w:p>
        </w:tc>
        <w:tc>
          <w:tcPr>
            <w:tcW w:w="1814" w:type="dxa"/>
            <w:vAlign w:val="center"/>
          </w:tcPr>
          <w:p w14:paraId="065FD36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Daily walking activity</w:t>
            </w:r>
          </w:p>
        </w:tc>
        <w:tc>
          <w:tcPr>
            <w:tcW w:w="1815" w:type="dxa"/>
            <w:vAlign w:val="center"/>
          </w:tcPr>
          <w:p w14:paraId="253D43A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None</w:t>
            </w:r>
          </w:p>
        </w:tc>
        <w:tc>
          <w:tcPr>
            <w:tcW w:w="4888" w:type="dxa"/>
            <w:vAlign w:val="center"/>
          </w:tcPr>
          <w:p w14:paraId="3A580F9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A greater amount, duration, and frequency of total daily walking activity were each associated with larger hippocampal volume among older women, not men.</w:t>
            </w:r>
          </w:p>
        </w:tc>
      </w:tr>
      <w:tr w:rsidR="00F13F37" w:rsidRPr="00CD3DD3" w14:paraId="20298D8F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63AAA9B7" w14:textId="23505B1B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van Stralen et al., 2010</w:t>
            </w:r>
          </w:p>
        </w:tc>
        <w:tc>
          <w:tcPr>
            <w:tcW w:w="1814" w:type="dxa"/>
            <w:vAlign w:val="center"/>
          </w:tcPr>
          <w:p w14:paraId="253DB06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4AA5B1AB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1971 older adults</w:t>
            </w:r>
          </w:p>
        </w:tc>
        <w:tc>
          <w:tcPr>
            <w:tcW w:w="1814" w:type="dxa"/>
            <w:vAlign w:val="center"/>
          </w:tcPr>
          <w:p w14:paraId="519DBAD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12-month </w:t>
            </w:r>
            <w:r w:rsidRPr="00CD3DD3">
              <w:rPr>
                <w:sz w:val="21"/>
                <w:szCs w:val="20"/>
              </w:rPr>
              <w:t xml:space="preserve">Two computer-tailored </w:t>
            </w:r>
            <w:r>
              <w:rPr>
                <w:sz w:val="21"/>
                <w:szCs w:val="20"/>
              </w:rPr>
              <w:t>PA</w:t>
            </w:r>
          </w:p>
        </w:tc>
        <w:tc>
          <w:tcPr>
            <w:tcW w:w="1815" w:type="dxa"/>
            <w:vAlign w:val="center"/>
          </w:tcPr>
          <w:p w14:paraId="2B14F1FE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5D945FB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No explicit gender-based outcomes founded</w:t>
            </w:r>
          </w:p>
        </w:tc>
      </w:tr>
      <w:tr w:rsidR="00F13F37" w:rsidRPr="00CD3DD3" w14:paraId="47C714BD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75286DC1" w14:textId="5D854D2C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t>Baker et al., 2010</w:t>
            </w:r>
          </w:p>
        </w:tc>
        <w:tc>
          <w:tcPr>
            <w:tcW w:w="1814" w:type="dxa"/>
            <w:vAlign w:val="center"/>
          </w:tcPr>
          <w:p w14:paraId="2B0777E8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588FBD3F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33 </w:t>
            </w:r>
            <w:r>
              <w:rPr>
                <w:sz w:val="21"/>
                <w:szCs w:val="20"/>
              </w:rPr>
              <w:t xml:space="preserve">older </w:t>
            </w:r>
            <w:r w:rsidRPr="00CD3DD3">
              <w:rPr>
                <w:sz w:val="21"/>
                <w:szCs w:val="20"/>
              </w:rPr>
              <w:t>adults</w:t>
            </w:r>
            <w:r>
              <w:rPr>
                <w:sz w:val="21"/>
                <w:szCs w:val="20"/>
              </w:rPr>
              <w:t xml:space="preserve"> </w:t>
            </w:r>
            <w:r w:rsidRPr="00CD3DD3">
              <w:rPr>
                <w:sz w:val="21"/>
                <w:szCs w:val="20"/>
              </w:rPr>
              <w:t>with MCI</w:t>
            </w:r>
          </w:p>
        </w:tc>
        <w:tc>
          <w:tcPr>
            <w:tcW w:w="1814" w:type="dxa"/>
            <w:vAlign w:val="center"/>
          </w:tcPr>
          <w:p w14:paraId="1D5BFC0C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6-month high-intensity aerobic exercise </w:t>
            </w:r>
          </w:p>
        </w:tc>
        <w:tc>
          <w:tcPr>
            <w:tcW w:w="1815" w:type="dxa"/>
            <w:vAlign w:val="center"/>
          </w:tcPr>
          <w:p w14:paraId="6CE109E2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bookmarkStart w:id="2" w:name="OLE_LINK3"/>
            <w:r>
              <w:rPr>
                <w:sz w:val="21"/>
                <w:szCs w:val="20"/>
              </w:rPr>
              <w:t>Placebo to intervention</w:t>
            </w:r>
            <w:bookmarkEnd w:id="2"/>
          </w:p>
        </w:tc>
        <w:tc>
          <w:tcPr>
            <w:tcW w:w="4888" w:type="dxa"/>
            <w:vAlign w:val="center"/>
          </w:tcPr>
          <w:p w14:paraId="104525C8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Women benefited more in executive functions from Aerobic exercise than men.</w:t>
            </w:r>
          </w:p>
        </w:tc>
      </w:tr>
      <w:tr w:rsidR="00F13F37" w:rsidRPr="00CD3DD3" w14:paraId="49ADD1B3" w14:textId="77777777" w:rsidTr="005B774C">
        <w:trPr>
          <w:cantSplit/>
          <w:trHeight w:val="977"/>
          <w:tblHeader w:val="0"/>
        </w:trPr>
        <w:tc>
          <w:tcPr>
            <w:tcW w:w="1814" w:type="dxa"/>
            <w:vAlign w:val="center"/>
          </w:tcPr>
          <w:p w14:paraId="3B738182" w14:textId="7EB29DC9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rFonts w:cs="Times New Roman"/>
                <w:sz w:val="21"/>
                <w:szCs w:val="20"/>
              </w:rPr>
              <w:lastRenderedPageBreak/>
              <w:t>van Uffelen et al., 2008</w:t>
            </w:r>
          </w:p>
        </w:tc>
        <w:tc>
          <w:tcPr>
            <w:tcW w:w="1814" w:type="dxa"/>
            <w:vAlign w:val="center"/>
          </w:tcPr>
          <w:p w14:paraId="593C32D0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Randomized Controlled Trial</w:t>
            </w:r>
          </w:p>
        </w:tc>
        <w:tc>
          <w:tcPr>
            <w:tcW w:w="1815" w:type="dxa"/>
            <w:vAlign w:val="center"/>
          </w:tcPr>
          <w:p w14:paraId="7576468D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 xml:space="preserve">152 </w:t>
            </w:r>
            <w:r>
              <w:rPr>
                <w:sz w:val="21"/>
                <w:szCs w:val="20"/>
              </w:rPr>
              <w:t xml:space="preserve">older </w:t>
            </w:r>
            <w:r w:rsidRPr="00CD3DD3">
              <w:rPr>
                <w:sz w:val="21"/>
                <w:szCs w:val="20"/>
              </w:rPr>
              <w:t>adults</w:t>
            </w:r>
            <w:r>
              <w:rPr>
                <w:sz w:val="21"/>
                <w:szCs w:val="20"/>
              </w:rPr>
              <w:t xml:space="preserve"> </w:t>
            </w:r>
            <w:r w:rsidRPr="00CD3DD3">
              <w:rPr>
                <w:sz w:val="21"/>
                <w:szCs w:val="20"/>
              </w:rPr>
              <w:t>with MCI</w:t>
            </w:r>
          </w:p>
        </w:tc>
        <w:tc>
          <w:tcPr>
            <w:tcW w:w="1814" w:type="dxa"/>
            <w:vAlign w:val="center"/>
          </w:tcPr>
          <w:p w14:paraId="557D8C21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 xml:space="preserve">12-month </w:t>
            </w:r>
            <w:r w:rsidRPr="00CD3DD3">
              <w:rPr>
                <w:sz w:val="21"/>
                <w:szCs w:val="20"/>
              </w:rPr>
              <w:t xml:space="preserve">Aerobic walking </w:t>
            </w:r>
            <w:r>
              <w:rPr>
                <w:sz w:val="21"/>
                <w:szCs w:val="20"/>
              </w:rPr>
              <w:t>or</w:t>
            </w:r>
            <w:r w:rsidRPr="00CD3DD3">
              <w:rPr>
                <w:sz w:val="21"/>
                <w:szCs w:val="20"/>
              </w:rPr>
              <w:t xml:space="preserve"> vitamin B supplementation</w:t>
            </w:r>
          </w:p>
        </w:tc>
        <w:tc>
          <w:tcPr>
            <w:tcW w:w="1815" w:type="dxa"/>
            <w:vAlign w:val="center"/>
          </w:tcPr>
          <w:p w14:paraId="4C75A009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>
              <w:rPr>
                <w:sz w:val="21"/>
                <w:szCs w:val="20"/>
              </w:rPr>
              <w:t>Placebo to intervention</w:t>
            </w:r>
          </w:p>
        </w:tc>
        <w:tc>
          <w:tcPr>
            <w:tcW w:w="4888" w:type="dxa"/>
            <w:vAlign w:val="center"/>
          </w:tcPr>
          <w:p w14:paraId="57894F23" w14:textId="77777777" w:rsidR="00F13F37" w:rsidRPr="00CD3DD3" w:rsidRDefault="00F13F37" w:rsidP="005B774C">
            <w:pPr>
              <w:spacing w:line="480" w:lineRule="auto"/>
              <w:ind w:firstLineChars="0" w:firstLine="0"/>
              <w:jc w:val="center"/>
              <w:rPr>
                <w:sz w:val="21"/>
                <w:szCs w:val="20"/>
              </w:rPr>
            </w:pPr>
            <w:r w:rsidRPr="00CD3DD3">
              <w:rPr>
                <w:sz w:val="21"/>
                <w:szCs w:val="20"/>
              </w:rPr>
              <w:t>Walking improved memory in men and both memory and attention in women with better adherence</w:t>
            </w:r>
          </w:p>
        </w:tc>
      </w:tr>
      <w:bookmarkEnd w:id="0"/>
    </w:tbl>
    <w:p w14:paraId="2C528DA8" w14:textId="77777777" w:rsidR="00F13F37" w:rsidRDefault="00F13F37" w:rsidP="00F13F37">
      <w:pPr>
        <w:spacing w:line="480" w:lineRule="auto"/>
        <w:ind w:firstLine="480"/>
      </w:pPr>
    </w:p>
    <w:p w14:paraId="76112066" w14:textId="77777777" w:rsidR="00F13F37" w:rsidRDefault="00F13F37" w:rsidP="00F13F37">
      <w:pPr>
        <w:widowControl/>
        <w:spacing w:line="480" w:lineRule="auto"/>
        <w:ind w:firstLineChars="0" w:firstLine="0"/>
        <w:jc w:val="left"/>
        <w:rPr>
          <w:rFonts w:eastAsia="SimHei" w:cs="Times New Roman"/>
          <w:b/>
          <w:bCs/>
          <w:sz w:val="20"/>
          <w:szCs w:val="20"/>
        </w:rPr>
      </w:pPr>
    </w:p>
    <w:p w14:paraId="0A14D601" w14:textId="77777777" w:rsidR="00F13F37" w:rsidRDefault="00F13F37" w:rsidP="00F13F37">
      <w:pPr>
        <w:widowControl/>
        <w:spacing w:line="480" w:lineRule="auto"/>
        <w:ind w:firstLineChars="0" w:firstLine="0"/>
        <w:jc w:val="left"/>
        <w:rPr>
          <w:rFonts w:eastAsia="SimHei" w:cs="Times New Roman"/>
          <w:b/>
          <w:bCs/>
          <w:sz w:val="20"/>
          <w:szCs w:val="20"/>
        </w:rPr>
      </w:pPr>
    </w:p>
    <w:p w14:paraId="5C629C09" w14:textId="77777777" w:rsidR="00F13F37" w:rsidRDefault="00F13F37" w:rsidP="00F13F37">
      <w:pPr>
        <w:widowControl/>
        <w:spacing w:line="480" w:lineRule="auto"/>
        <w:ind w:firstLineChars="0" w:firstLine="0"/>
        <w:jc w:val="left"/>
        <w:rPr>
          <w:rFonts w:eastAsia="SimHei" w:cs="Times New Roman"/>
          <w:b/>
          <w:bCs/>
          <w:sz w:val="20"/>
          <w:szCs w:val="20"/>
        </w:rPr>
        <w:sectPr w:rsidR="00F13F37" w:rsidSect="00B50ED6">
          <w:footerReference w:type="even" r:id="rId7"/>
          <w:footerReference w:type="default" r:id="rId8"/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4E08DD89" w14:textId="77777777" w:rsidR="00F13F37" w:rsidRPr="001D272E" w:rsidRDefault="00F13F37" w:rsidP="00F13F37">
      <w:pPr>
        <w:pStyle w:val="Caption"/>
        <w:keepNext/>
        <w:spacing w:line="480" w:lineRule="auto"/>
        <w:ind w:firstLineChars="0" w:firstLine="0"/>
        <w:rPr>
          <w:rFonts w:ascii="Times New Roman" w:hAnsi="Times New Roman" w:cs="Times New Roman"/>
          <w:b/>
          <w:bCs/>
        </w:rPr>
      </w:pPr>
      <w:r w:rsidRPr="001D272E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2</w:t>
      </w:r>
      <w:r w:rsidRPr="001D272E">
        <w:rPr>
          <w:rFonts w:ascii="Times New Roman" w:hAnsi="Times New Roman" w:cs="Times New Roman"/>
          <w:b/>
          <w:bCs/>
        </w:rPr>
        <w:t xml:space="preserve"> The characteristics of included studies</w:t>
      </w:r>
    </w:p>
    <w:tbl>
      <w:tblPr>
        <w:tblStyle w:val="a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71"/>
        <w:gridCol w:w="2956"/>
        <w:gridCol w:w="1970"/>
        <w:gridCol w:w="1344"/>
      </w:tblGrid>
      <w:tr w:rsidR="00F13F37" w14:paraId="700F94E3" w14:textId="77777777" w:rsidTr="005B774C">
        <w:trPr>
          <w:cantSplit/>
          <w:trHeight w:val="1045"/>
          <w:tblHeader w:val="0"/>
        </w:trPr>
        <w:tc>
          <w:tcPr>
            <w:tcW w:w="1971" w:type="dxa"/>
            <w:tcBorders>
              <w:top w:val="single" w:sz="12" w:space="0" w:color="auto"/>
              <w:bottom w:val="single" w:sz="8" w:space="0" w:color="auto"/>
            </w:tcBorders>
          </w:tcPr>
          <w:p w14:paraId="4527A98F" w14:textId="77777777" w:rsidR="00F13F37" w:rsidRDefault="00F13F37" w:rsidP="005B774C">
            <w:pPr>
              <w:spacing w:line="480" w:lineRule="auto"/>
              <w:ind w:firstLineChars="0" w:firstLine="0"/>
            </w:pPr>
            <w:bookmarkStart w:id="3" w:name="OLE_LINK7"/>
            <w:bookmarkStart w:id="4" w:name="OLE_LINK8"/>
          </w:p>
        </w:tc>
        <w:tc>
          <w:tcPr>
            <w:tcW w:w="295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A0B628" w14:textId="77777777" w:rsidR="00F13F37" w:rsidRPr="002966BB" w:rsidRDefault="00F13F37" w:rsidP="005B774C">
            <w:pPr>
              <w:spacing w:line="480" w:lineRule="auto"/>
              <w:ind w:firstLineChars="0" w:firstLine="0"/>
              <w:jc w:val="center"/>
              <w:rPr>
                <w:b/>
              </w:rPr>
            </w:pPr>
            <w:r w:rsidRPr="002966BB">
              <w:rPr>
                <w:b/>
              </w:rPr>
              <w:t>Intervention</w:t>
            </w:r>
          </w:p>
        </w:tc>
        <w:tc>
          <w:tcPr>
            <w:tcW w:w="19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978E2E4" w14:textId="77777777" w:rsidR="00F13F37" w:rsidRPr="002966BB" w:rsidRDefault="00F13F37" w:rsidP="005B774C">
            <w:pPr>
              <w:spacing w:line="480" w:lineRule="auto"/>
              <w:ind w:firstLineChars="0" w:firstLine="0"/>
              <w:jc w:val="center"/>
              <w:rPr>
                <w:b/>
              </w:rPr>
            </w:pPr>
            <w:r w:rsidRPr="002966BB">
              <w:rPr>
                <w:b/>
              </w:rPr>
              <w:t>Number of studies</w:t>
            </w:r>
          </w:p>
        </w:tc>
        <w:tc>
          <w:tcPr>
            <w:tcW w:w="134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DA50DCE" w14:textId="77777777" w:rsidR="00F13F37" w:rsidRPr="002966BB" w:rsidRDefault="00F13F37" w:rsidP="005B774C">
            <w:pPr>
              <w:spacing w:line="480" w:lineRule="auto"/>
              <w:ind w:firstLineChars="0" w:firstLine="0"/>
              <w:jc w:val="center"/>
              <w:rPr>
                <w:b/>
              </w:rPr>
            </w:pPr>
            <w:r w:rsidRPr="002966BB">
              <w:rPr>
                <w:b/>
              </w:rPr>
              <w:t>Percent (%)</w:t>
            </w:r>
          </w:p>
        </w:tc>
      </w:tr>
      <w:tr w:rsidR="00F13F37" w14:paraId="19653BC4" w14:textId="77777777" w:rsidTr="005B774C">
        <w:trPr>
          <w:cantSplit/>
          <w:trHeight w:val="1045"/>
          <w:tblHeader w:val="0"/>
        </w:trPr>
        <w:tc>
          <w:tcPr>
            <w:tcW w:w="1971" w:type="dxa"/>
            <w:vMerge w:val="restart"/>
            <w:tcBorders>
              <w:top w:val="single" w:sz="8" w:space="0" w:color="auto"/>
            </w:tcBorders>
            <w:vAlign w:val="center"/>
          </w:tcPr>
          <w:p w14:paraId="20CFCED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Study type</w:t>
            </w:r>
          </w:p>
        </w:tc>
        <w:tc>
          <w:tcPr>
            <w:tcW w:w="2956" w:type="dxa"/>
            <w:tcBorders>
              <w:top w:val="single" w:sz="8" w:space="0" w:color="auto"/>
              <w:bottom w:val="nil"/>
            </w:tcBorders>
            <w:vAlign w:val="center"/>
          </w:tcPr>
          <w:p w14:paraId="5F3DCF43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 w:rsidRPr="00820ECE">
              <w:t>Randomized controlled trial</w:t>
            </w:r>
          </w:p>
        </w:tc>
        <w:tc>
          <w:tcPr>
            <w:tcW w:w="1970" w:type="dxa"/>
            <w:tcBorders>
              <w:top w:val="single" w:sz="8" w:space="0" w:color="auto"/>
              <w:bottom w:val="nil"/>
            </w:tcBorders>
            <w:vAlign w:val="center"/>
          </w:tcPr>
          <w:p w14:paraId="6145250A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1344" w:type="dxa"/>
            <w:tcBorders>
              <w:top w:val="single" w:sz="8" w:space="0" w:color="auto"/>
              <w:bottom w:val="nil"/>
            </w:tcBorders>
            <w:vAlign w:val="center"/>
          </w:tcPr>
          <w:p w14:paraId="34AAD97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8</w:t>
            </w:r>
            <w:r>
              <w:t>6.5%</w:t>
            </w:r>
          </w:p>
        </w:tc>
      </w:tr>
      <w:tr w:rsidR="00F13F37" w14:paraId="5A191CD3" w14:textId="77777777" w:rsidTr="005B774C">
        <w:trPr>
          <w:cantSplit/>
          <w:trHeight w:val="152"/>
          <w:tblHeader w:val="0"/>
        </w:trPr>
        <w:tc>
          <w:tcPr>
            <w:tcW w:w="1971" w:type="dxa"/>
            <w:vMerge/>
            <w:vAlign w:val="center"/>
          </w:tcPr>
          <w:p w14:paraId="5BB2950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6D0B6084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Cluster-randomized trial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68828C48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734C886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4.5%</w:t>
            </w:r>
          </w:p>
        </w:tc>
      </w:tr>
      <w:tr w:rsidR="00F13F37" w14:paraId="301B7830" w14:textId="77777777" w:rsidTr="005B774C">
        <w:trPr>
          <w:cantSplit/>
          <w:trHeight w:val="152"/>
          <w:tblHeader w:val="0"/>
        </w:trPr>
        <w:tc>
          <w:tcPr>
            <w:tcW w:w="1971" w:type="dxa"/>
            <w:vMerge/>
            <w:vAlign w:val="center"/>
          </w:tcPr>
          <w:p w14:paraId="1073A2FF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3F40CA08" w14:textId="77777777" w:rsidR="00F13F37" w:rsidRPr="00820ECE" w:rsidRDefault="00F13F37" w:rsidP="005B774C">
            <w:pPr>
              <w:spacing w:line="480" w:lineRule="auto"/>
              <w:ind w:firstLineChars="0" w:firstLine="0"/>
              <w:jc w:val="center"/>
            </w:pPr>
            <w:r w:rsidRPr="00820ECE">
              <w:t>Longitudinal Study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339373FE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3AD59E0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4.5%</w:t>
            </w:r>
          </w:p>
        </w:tc>
      </w:tr>
      <w:tr w:rsidR="00F13F37" w14:paraId="10FE7CC5" w14:textId="77777777" w:rsidTr="005B774C">
        <w:trPr>
          <w:cantSplit/>
          <w:trHeight w:val="152"/>
          <w:tblHeader w:val="0"/>
        </w:trPr>
        <w:tc>
          <w:tcPr>
            <w:tcW w:w="1971" w:type="dxa"/>
            <w:vMerge/>
            <w:tcBorders>
              <w:bottom w:val="nil"/>
            </w:tcBorders>
            <w:vAlign w:val="center"/>
          </w:tcPr>
          <w:p w14:paraId="28DE8B87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7C9B757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 w:rsidRPr="00820ECE">
              <w:t>Cross-sectional study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72F60B47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641B93B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4.5%</w:t>
            </w:r>
          </w:p>
        </w:tc>
      </w:tr>
      <w:tr w:rsidR="00F13F37" w14:paraId="7D4D469E" w14:textId="77777777" w:rsidTr="005B774C">
        <w:trPr>
          <w:cantSplit/>
          <w:trHeight w:val="526"/>
          <w:tblHeader w:val="0"/>
        </w:trPr>
        <w:tc>
          <w:tcPr>
            <w:tcW w:w="1971" w:type="dxa"/>
            <w:vMerge w:val="restart"/>
            <w:tcBorders>
              <w:top w:val="nil"/>
            </w:tcBorders>
            <w:vAlign w:val="center"/>
          </w:tcPr>
          <w:p w14:paraId="0E054844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Sample size</w:t>
            </w: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7BB2231B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&lt;</w:t>
            </w:r>
            <w:r>
              <w:t>50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7BF9AACE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341AA589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9</w:t>
            </w:r>
            <w:r>
              <w:t>.1%</w:t>
            </w:r>
          </w:p>
        </w:tc>
      </w:tr>
      <w:tr w:rsidR="00F13F37" w14:paraId="2F52CECE" w14:textId="77777777" w:rsidTr="005B774C">
        <w:trPr>
          <w:cantSplit/>
          <w:trHeight w:val="526"/>
          <w:tblHeader w:val="0"/>
        </w:trPr>
        <w:tc>
          <w:tcPr>
            <w:tcW w:w="1971" w:type="dxa"/>
            <w:vMerge/>
            <w:vAlign w:val="center"/>
          </w:tcPr>
          <w:p w14:paraId="189B110A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0FE96701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51-100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082157F3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0237BCCE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8.2%</w:t>
            </w:r>
          </w:p>
        </w:tc>
      </w:tr>
      <w:tr w:rsidR="00F13F37" w14:paraId="5C8A99AF" w14:textId="77777777" w:rsidTr="005B774C">
        <w:trPr>
          <w:cantSplit/>
          <w:trHeight w:val="526"/>
          <w:tblHeader w:val="0"/>
        </w:trPr>
        <w:tc>
          <w:tcPr>
            <w:tcW w:w="1971" w:type="dxa"/>
            <w:vMerge/>
            <w:vAlign w:val="center"/>
          </w:tcPr>
          <w:p w14:paraId="16D46F83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6EC6A15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101-200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5527B17C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6ED0D50F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8.2%</w:t>
            </w:r>
          </w:p>
        </w:tc>
      </w:tr>
      <w:tr w:rsidR="00F13F37" w14:paraId="304AB40D" w14:textId="77777777" w:rsidTr="005B774C">
        <w:trPr>
          <w:cantSplit/>
          <w:trHeight w:val="526"/>
          <w:tblHeader w:val="0"/>
        </w:trPr>
        <w:tc>
          <w:tcPr>
            <w:tcW w:w="1971" w:type="dxa"/>
            <w:vMerge/>
            <w:tcBorders>
              <w:bottom w:val="nil"/>
            </w:tcBorders>
            <w:vAlign w:val="center"/>
          </w:tcPr>
          <w:p w14:paraId="4C36A484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675242E7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&gt;</w:t>
            </w:r>
            <w:r>
              <w:t>200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59DD87C9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22AF0B21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>4.5%</w:t>
            </w:r>
          </w:p>
        </w:tc>
      </w:tr>
      <w:tr w:rsidR="00F13F37" w14:paraId="3635F7B7" w14:textId="77777777" w:rsidTr="005B774C">
        <w:trPr>
          <w:cantSplit/>
          <w:trHeight w:val="1095"/>
          <w:tblHeader w:val="0"/>
        </w:trPr>
        <w:tc>
          <w:tcPr>
            <w:tcW w:w="1971" w:type="dxa"/>
            <w:vMerge w:val="restart"/>
            <w:tcBorders>
              <w:top w:val="nil"/>
            </w:tcBorders>
            <w:vAlign w:val="center"/>
          </w:tcPr>
          <w:p w14:paraId="3CEA2001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Participants</w:t>
            </w: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7CDA929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bookmarkStart w:id="5" w:name="OLE_LINK4"/>
            <w:r>
              <w:t>Women participants &gt; 50%</w:t>
            </w:r>
            <w:bookmarkEnd w:id="5"/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68359419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6A7F7199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>7.3%</w:t>
            </w:r>
          </w:p>
        </w:tc>
      </w:tr>
      <w:tr w:rsidR="00F13F37" w14:paraId="16BE05ED" w14:textId="77777777" w:rsidTr="005B774C">
        <w:trPr>
          <w:cantSplit/>
          <w:trHeight w:val="1095"/>
          <w:tblHeader w:val="0"/>
        </w:trPr>
        <w:tc>
          <w:tcPr>
            <w:tcW w:w="1971" w:type="dxa"/>
            <w:vMerge/>
            <w:tcBorders>
              <w:top w:val="nil"/>
            </w:tcBorders>
            <w:vAlign w:val="center"/>
          </w:tcPr>
          <w:p w14:paraId="4F6CE7FE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200CE42D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Women participants = 50%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299A5137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202A6DAB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4.5%</w:t>
            </w:r>
          </w:p>
        </w:tc>
      </w:tr>
      <w:tr w:rsidR="00F13F37" w14:paraId="24F2B107" w14:textId="77777777" w:rsidTr="005B774C">
        <w:trPr>
          <w:cantSplit/>
          <w:trHeight w:val="1095"/>
          <w:tblHeader w:val="0"/>
        </w:trPr>
        <w:tc>
          <w:tcPr>
            <w:tcW w:w="1971" w:type="dxa"/>
            <w:vMerge/>
            <w:tcBorders>
              <w:bottom w:val="nil"/>
            </w:tcBorders>
            <w:vAlign w:val="center"/>
          </w:tcPr>
          <w:p w14:paraId="12F60F8B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04BF150D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Women participants &lt; 50%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3197472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1390615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8.2%</w:t>
            </w:r>
          </w:p>
        </w:tc>
      </w:tr>
      <w:tr w:rsidR="00F13F37" w14:paraId="13C214AB" w14:textId="77777777" w:rsidTr="005B774C">
        <w:trPr>
          <w:cantSplit/>
          <w:trHeight w:val="699"/>
          <w:tblHeader w:val="0"/>
        </w:trPr>
        <w:tc>
          <w:tcPr>
            <w:tcW w:w="1971" w:type="dxa"/>
            <w:vMerge w:val="restart"/>
            <w:vAlign w:val="center"/>
          </w:tcPr>
          <w:p w14:paraId="0D7E2766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Baseline cognition status</w:t>
            </w: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3BBA1CF7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Without MCI or dementia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6DF6105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13DCAC13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  <w:r>
              <w:t>3.7%</w:t>
            </w:r>
          </w:p>
        </w:tc>
      </w:tr>
      <w:tr w:rsidR="00F13F37" w14:paraId="5A95CF76" w14:textId="77777777" w:rsidTr="005B774C">
        <w:trPr>
          <w:cantSplit/>
          <w:trHeight w:val="699"/>
          <w:tblHeader w:val="0"/>
        </w:trPr>
        <w:tc>
          <w:tcPr>
            <w:tcW w:w="1971" w:type="dxa"/>
            <w:vMerge/>
            <w:vAlign w:val="center"/>
          </w:tcPr>
          <w:p w14:paraId="179FADB4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nil"/>
            </w:tcBorders>
            <w:vAlign w:val="center"/>
          </w:tcPr>
          <w:p w14:paraId="63D7941A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With MCI</w:t>
            </w:r>
          </w:p>
        </w:tc>
        <w:tc>
          <w:tcPr>
            <w:tcW w:w="1970" w:type="dxa"/>
            <w:tcBorders>
              <w:top w:val="nil"/>
              <w:bottom w:val="nil"/>
            </w:tcBorders>
            <w:vAlign w:val="center"/>
          </w:tcPr>
          <w:p w14:paraId="60598EBF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44" w:type="dxa"/>
            <w:tcBorders>
              <w:top w:val="nil"/>
              <w:bottom w:val="nil"/>
            </w:tcBorders>
            <w:vAlign w:val="center"/>
          </w:tcPr>
          <w:p w14:paraId="66C62567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3.6%</w:t>
            </w:r>
          </w:p>
        </w:tc>
      </w:tr>
      <w:tr w:rsidR="00F13F37" w14:paraId="12A9D2A2" w14:textId="77777777" w:rsidTr="005B774C">
        <w:trPr>
          <w:cantSplit/>
          <w:trHeight w:val="699"/>
          <w:tblHeader w:val="0"/>
        </w:trPr>
        <w:tc>
          <w:tcPr>
            <w:tcW w:w="1971" w:type="dxa"/>
            <w:vMerge/>
            <w:tcBorders>
              <w:bottom w:val="single" w:sz="12" w:space="0" w:color="auto"/>
            </w:tcBorders>
            <w:vAlign w:val="center"/>
          </w:tcPr>
          <w:p w14:paraId="4044C30D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2956" w:type="dxa"/>
            <w:tcBorders>
              <w:top w:val="nil"/>
              <w:bottom w:val="single" w:sz="12" w:space="0" w:color="auto"/>
            </w:tcBorders>
            <w:vAlign w:val="center"/>
          </w:tcPr>
          <w:p w14:paraId="28FB93C1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With dementia</w:t>
            </w:r>
          </w:p>
        </w:tc>
        <w:tc>
          <w:tcPr>
            <w:tcW w:w="1970" w:type="dxa"/>
            <w:tcBorders>
              <w:top w:val="nil"/>
              <w:bottom w:val="single" w:sz="12" w:space="0" w:color="auto"/>
            </w:tcBorders>
            <w:vAlign w:val="center"/>
          </w:tcPr>
          <w:p w14:paraId="5660184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44" w:type="dxa"/>
            <w:tcBorders>
              <w:top w:val="nil"/>
              <w:bottom w:val="single" w:sz="12" w:space="0" w:color="auto"/>
            </w:tcBorders>
            <w:vAlign w:val="center"/>
          </w:tcPr>
          <w:p w14:paraId="3F90020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  <w:r>
              <w:t>2.7%</w:t>
            </w:r>
          </w:p>
        </w:tc>
      </w:tr>
      <w:bookmarkEnd w:id="3"/>
      <w:bookmarkEnd w:id="4"/>
    </w:tbl>
    <w:p w14:paraId="18024468" w14:textId="77777777" w:rsidR="00F13F37" w:rsidRDefault="00F13F37" w:rsidP="00F13F37">
      <w:pPr>
        <w:spacing w:line="480" w:lineRule="auto"/>
        <w:ind w:firstLineChars="0" w:firstLine="0"/>
        <w:sectPr w:rsidR="00F13F37" w:rsidSect="000E5171">
          <w:pgSz w:w="11900" w:h="16840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2A06FC0F" w14:textId="77777777" w:rsidR="00F13F37" w:rsidRPr="00353F77" w:rsidRDefault="00F13F37" w:rsidP="00F13F37">
      <w:pPr>
        <w:pStyle w:val="Caption"/>
        <w:keepNext/>
        <w:spacing w:line="480" w:lineRule="auto"/>
        <w:ind w:firstLineChars="0" w:firstLine="0"/>
        <w:rPr>
          <w:rFonts w:ascii="Times New Roman" w:hAnsi="Times New Roman" w:cs="Times New Roman"/>
          <w:b/>
          <w:bCs/>
        </w:rPr>
      </w:pPr>
      <w:r w:rsidRPr="00353F77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3</w:t>
      </w:r>
      <w:r w:rsidRPr="00353F77">
        <w:rPr>
          <w:rFonts w:ascii="Times New Roman" w:hAnsi="Times New Roman" w:cs="Times New Roman"/>
          <w:b/>
          <w:bCs/>
        </w:rPr>
        <w:t xml:space="preserve"> PA intervention and outcome in included studies</w:t>
      </w:r>
    </w:p>
    <w:tbl>
      <w:tblPr>
        <w:tblStyle w:val="a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27"/>
        <w:gridCol w:w="4110"/>
        <w:gridCol w:w="2063"/>
      </w:tblGrid>
      <w:tr w:rsidR="00F13F37" w14:paraId="4F2129AD" w14:textId="77777777" w:rsidTr="005B774C">
        <w:trPr>
          <w:trHeight w:val="524"/>
        </w:trPr>
        <w:tc>
          <w:tcPr>
            <w:tcW w:w="2127" w:type="dxa"/>
            <w:tcBorders>
              <w:top w:val="single" w:sz="12" w:space="0" w:color="auto"/>
              <w:bottom w:val="single" w:sz="8" w:space="0" w:color="auto"/>
            </w:tcBorders>
          </w:tcPr>
          <w:p w14:paraId="6900A0B7" w14:textId="77777777" w:rsidR="00F13F37" w:rsidRPr="00B471BD" w:rsidRDefault="00F13F37" w:rsidP="005B774C">
            <w:pPr>
              <w:spacing w:line="480" w:lineRule="auto"/>
              <w:ind w:firstLineChars="0" w:firstLine="0"/>
            </w:pPr>
          </w:p>
        </w:tc>
        <w:tc>
          <w:tcPr>
            <w:tcW w:w="41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8228171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Details</w:t>
            </w:r>
          </w:p>
        </w:tc>
        <w:tc>
          <w:tcPr>
            <w:tcW w:w="206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ECCBAA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N</w:t>
            </w:r>
            <w:r>
              <w:rPr>
                <w:rFonts w:hint="eastAsia"/>
              </w:rPr>
              <w:t>um</w:t>
            </w:r>
            <w:r>
              <w:t>ber(%)</w:t>
            </w:r>
          </w:p>
        </w:tc>
      </w:tr>
      <w:tr w:rsidR="00F13F37" w14:paraId="46435E2B" w14:textId="77777777" w:rsidTr="005B774C">
        <w:trPr>
          <w:trHeight w:val="536"/>
        </w:trPr>
        <w:tc>
          <w:tcPr>
            <w:tcW w:w="2127" w:type="dxa"/>
            <w:vMerge w:val="restart"/>
            <w:tcBorders>
              <w:top w:val="single" w:sz="8" w:space="0" w:color="auto"/>
            </w:tcBorders>
            <w:vAlign w:val="center"/>
          </w:tcPr>
          <w:p w14:paraId="4648B49A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Interventions</w:t>
            </w:r>
          </w:p>
        </w:tc>
        <w:tc>
          <w:tcPr>
            <w:tcW w:w="4110" w:type="dxa"/>
            <w:tcBorders>
              <w:top w:val="single" w:sz="8" w:space="0" w:color="auto"/>
              <w:bottom w:val="nil"/>
            </w:tcBorders>
            <w:vAlign w:val="center"/>
          </w:tcPr>
          <w:p w14:paraId="6E456138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Aerobic exercise or light exercise</w:t>
            </w:r>
          </w:p>
        </w:tc>
        <w:tc>
          <w:tcPr>
            <w:tcW w:w="2063" w:type="dxa"/>
            <w:tcBorders>
              <w:top w:val="single" w:sz="8" w:space="0" w:color="auto"/>
              <w:bottom w:val="nil"/>
            </w:tcBorders>
            <w:vAlign w:val="center"/>
          </w:tcPr>
          <w:p w14:paraId="76AF830C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 xml:space="preserve">1* </w:t>
            </w:r>
            <w:r>
              <w:rPr>
                <w:rFonts w:hint="eastAsia"/>
              </w:rPr>
              <w:t>(5</w:t>
            </w:r>
            <w:r>
              <w:t>0%</w:t>
            </w:r>
            <w:r>
              <w:rPr>
                <w:rFonts w:hint="eastAsia"/>
              </w:rPr>
              <w:t>)</w:t>
            </w:r>
          </w:p>
        </w:tc>
      </w:tr>
      <w:tr w:rsidR="00F13F37" w14:paraId="7A7744E4" w14:textId="77777777" w:rsidTr="005B774C">
        <w:trPr>
          <w:trHeight w:val="524"/>
        </w:trPr>
        <w:tc>
          <w:tcPr>
            <w:tcW w:w="2127" w:type="dxa"/>
            <w:vMerge/>
            <w:vAlign w:val="center"/>
          </w:tcPr>
          <w:p w14:paraId="2180665F" w14:textId="77777777" w:rsidR="00F13F37" w:rsidRDefault="00F13F37" w:rsidP="005B774C">
            <w:pPr>
              <w:spacing w:line="480" w:lineRule="auto"/>
              <w:ind w:firstLine="480"/>
              <w:jc w:val="center"/>
            </w:pP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55E420AE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Moderate to high intensity exercise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2BC688B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7* (31.8%)</w:t>
            </w:r>
          </w:p>
        </w:tc>
      </w:tr>
      <w:tr w:rsidR="00F13F37" w14:paraId="66B35781" w14:textId="77777777" w:rsidTr="005B774C">
        <w:trPr>
          <w:trHeight w:val="536"/>
        </w:trPr>
        <w:tc>
          <w:tcPr>
            <w:tcW w:w="2127" w:type="dxa"/>
            <w:vMerge/>
            <w:vAlign w:val="center"/>
          </w:tcPr>
          <w:p w14:paraId="4C9AE76C" w14:textId="77777777" w:rsidR="00F13F37" w:rsidRDefault="00F13F37" w:rsidP="005B774C">
            <w:pPr>
              <w:spacing w:line="480" w:lineRule="auto"/>
              <w:ind w:firstLine="480"/>
              <w:jc w:val="center"/>
            </w:pP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6DACF92B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Multidomain including exercise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1FDFC5C8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  <w:r>
              <w:t xml:space="preserve"> (22.7%)</w:t>
            </w:r>
          </w:p>
        </w:tc>
      </w:tr>
      <w:tr w:rsidR="00F13F37" w14:paraId="18AA0758" w14:textId="77777777" w:rsidTr="005B774C">
        <w:trPr>
          <w:trHeight w:val="524"/>
        </w:trPr>
        <w:tc>
          <w:tcPr>
            <w:tcW w:w="2127" w:type="dxa"/>
            <w:vMerge w:val="restart"/>
            <w:vAlign w:val="center"/>
          </w:tcPr>
          <w:p w14:paraId="0930E581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Duration of intervention</w:t>
            </w: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33E1401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&lt;</w:t>
            </w:r>
            <w:r>
              <w:t>6 months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636444A3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 xml:space="preserve"> (31.8%)</w:t>
            </w:r>
          </w:p>
        </w:tc>
      </w:tr>
      <w:tr w:rsidR="00F13F37" w14:paraId="1EE6DFA5" w14:textId="77777777" w:rsidTr="005B774C">
        <w:trPr>
          <w:trHeight w:val="524"/>
        </w:trPr>
        <w:tc>
          <w:tcPr>
            <w:tcW w:w="2127" w:type="dxa"/>
            <w:vMerge/>
            <w:vAlign w:val="center"/>
          </w:tcPr>
          <w:p w14:paraId="4DE8848C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6C31D6EF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6-</w:t>
            </w:r>
            <w:r w:rsidRPr="00067893">
              <w:t xml:space="preserve">months – </w:t>
            </w:r>
            <w:r>
              <w:t>24-</w:t>
            </w:r>
            <w:r w:rsidRPr="00067893">
              <w:t>months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4F0F742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>
              <w:t>1 (50%)</w:t>
            </w:r>
          </w:p>
        </w:tc>
      </w:tr>
      <w:tr w:rsidR="00F13F37" w14:paraId="7226AF12" w14:textId="77777777" w:rsidTr="005B774C">
        <w:trPr>
          <w:trHeight w:val="524"/>
        </w:trPr>
        <w:tc>
          <w:tcPr>
            <w:tcW w:w="2127" w:type="dxa"/>
            <w:vMerge/>
            <w:vAlign w:val="center"/>
          </w:tcPr>
          <w:p w14:paraId="1A1E85A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1FF905F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&gt;24</w:t>
            </w:r>
            <w:r w:rsidRPr="00067893">
              <w:t xml:space="preserve"> months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2F65DEF2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>
              <w:t xml:space="preserve"> (19.2%)</w:t>
            </w:r>
          </w:p>
        </w:tc>
      </w:tr>
      <w:tr w:rsidR="00F13F37" w14:paraId="12816835" w14:textId="77777777" w:rsidTr="005B774C">
        <w:trPr>
          <w:trHeight w:val="524"/>
        </w:trPr>
        <w:tc>
          <w:tcPr>
            <w:tcW w:w="2127" w:type="dxa"/>
            <w:vMerge w:val="restart"/>
            <w:vAlign w:val="center"/>
          </w:tcPr>
          <w:p w14:paraId="5117387A" w14:textId="77777777" w:rsidR="00F13F37" w:rsidRDefault="00F13F37" w:rsidP="005B774C">
            <w:pPr>
              <w:spacing w:line="480" w:lineRule="auto"/>
              <w:ind w:firstLine="480"/>
              <w:jc w:val="center"/>
            </w:pPr>
            <w:r>
              <w:t>Outcomes</w:t>
            </w: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02DE92BD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No gender difference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2FB01E26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9</w:t>
            </w:r>
            <w:r>
              <w:t xml:space="preserve"> (40.9%)</w:t>
            </w:r>
          </w:p>
        </w:tc>
      </w:tr>
      <w:tr w:rsidR="00F13F37" w14:paraId="0135A72A" w14:textId="77777777" w:rsidTr="005B774C">
        <w:trPr>
          <w:trHeight w:val="1061"/>
        </w:trPr>
        <w:tc>
          <w:tcPr>
            <w:tcW w:w="2127" w:type="dxa"/>
            <w:vMerge/>
            <w:vAlign w:val="center"/>
          </w:tcPr>
          <w:p w14:paraId="09877FEA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4110" w:type="dxa"/>
            <w:tcBorders>
              <w:top w:val="nil"/>
              <w:bottom w:val="nil"/>
            </w:tcBorders>
            <w:vAlign w:val="center"/>
          </w:tcPr>
          <w:p w14:paraId="2E42F280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Gender difference in cognition</w:t>
            </w:r>
          </w:p>
        </w:tc>
        <w:tc>
          <w:tcPr>
            <w:tcW w:w="2063" w:type="dxa"/>
            <w:tcBorders>
              <w:top w:val="nil"/>
              <w:bottom w:val="nil"/>
            </w:tcBorders>
            <w:vAlign w:val="center"/>
          </w:tcPr>
          <w:p w14:paraId="595DDEB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>
              <w:t xml:space="preserve"> (31.8%)</w:t>
            </w:r>
          </w:p>
        </w:tc>
      </w:tr>
      <w:tr w:rsidR="00F13F37" w14:paraId="4E7FDF3E" w14:textId="77777777" w:rsidTr="005B774C">
        <w:trPr>
          <w:trHeight w:val="536"/>
        </w:trPr>
        <w:tc>
          <w:tcPr>
            <w:tcW w:w="2127" w:type="dxa"/>
            <w:vMerge/>
            <w:vAlign w:val="center"/>
          </w:tcPr>
          <w:p w14:paraId="025AAED5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</w:p>
        </w:tc>
        <w:tc>
          <w:tcPr>
            <w:tcW w:w="4110" w:type="dxa"/>
            <w:tcBorders>
              <w:top w:val="nil"/>
            </w:tcBorders>
            <w:vAlign w:val="center"/>
          </w:tcPr>
          <w:p w14:paraId="6BF1DA2C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t>Gender difference in other aspects</w:t>
            </w:r>
          </w:p>
        </w:tc>
        <w:tc>
          <w:tcPr>
            <w:tcW w:w="2063" w:type="dxa"/>
            <w:tcBorders>
              <w:top w:val="nil"/>
            </w:tcBorders>
            <w:vAlign w:val="center"/>
          </w:tcPr>
          <w:p w14:paraId="384BC98C" w14:textId="77777777" w:rsidR="00F13F37" w:rsidRDefault="00F13F37" w:rsidP="005B774C">
            <w:pPr>
              <w:spacing w:line="480" w:lineRule="auto"/>
              <w:ind w:firstLineChars="0" w:firstLine="0"/>
              <w:jc w:val="center"/>
            </w:pPr>
            <w:r>
              <w:rPr>
                <w:rFonts w:hint="eastAsia"/>
              </w:rPr>
              <w:t>6</w:t>
            </w:r>
            <w:r>
              <w:t xml:space="preserve"> (27.3%)</w:t>
            </w:r>
          </w:p>
        </w:tc>
      </w:tr>
    </w:tbl>
    <w:p w14:paraId="1AA43022" w14:textId="77777777" w:rsidR="00F13F37" w:rsidRDefault="00F13F37" w:rsidP="00F13F37">
      <w:pPr>
        <w:spacing w:line="480" w:lineRule="auto"/>
        <w:ind w:firstLineChars="0" w:firstLine="0"/>
      </w:pPr>
      <w:r w:rsidRPr="00B97EFB">
        <w:rPr>
          <w:rFonts w:hint="eastAsia"/>
          <w:sz w:val="21"/>
        </w:rPr>
        <w:t>*</w:t>
      </w:r>
      <w:r w:rsidRPr="00B97EFB">
        <w:rPr>
          <w:sz w:val="21"/>
        </w:rPr>
        <w:t>Zlatar et al.,</w:t>
      </w:r>
      <w:r>
        <w:rPr>
          <w:sz w:val="21"/>
        </w:rPr>
        <w:t xml:space="preserve"> (</w:t>
      </w:r>
      <w:r w:rsidRPr="00B97EFB">
        <w:rPr>
          <w:sz w:val="21"/>
        </w:rPr>
        <w:t>2019) involves light, moderate and high intensity aerobic exercise intervention.</w:t>
      </w:r>
    </w:p>
    <w:p w14:paraId="27D73D54" w14:textId="77777777" w:rsidR="00F13F37" w:rsidRDefault="00F13F37" w:rsidP="00F13F37">
      <w:pPr>
        <w:spacing w:line="480" w:lineRule="auto"/>
        <w:ind w:firstLine="480"/>
      </w:pPr>
    </w:p>
    <w:p w14:paraId="0758831B" w14:textId="77777777" w:rsidR="00F13F37" w:rsidRPr="005D0DB6" w:rsidRDefault="00F13F37" w:rsidP="00F13F37">
      <w:pPr>
        <w:spacing w:line="480" w:lineRule="auto"/>
        <w:ind w:firstLineChars="0" w:firstLine="0"/>
        <w:rPr>
          <w:bCs/>
        </w:rPr>
      </w:pPr>
    </w:p>
    <w:p w14:paraId="69AA5023" w14:textId="77777777" w:rsidR="00F13F37" w:rsidRDefault="00F13F37" w:rsidP="00F13F37">
      <w:pPr>
        <w:spacing w:line="480" w:lineRule="auto"/>
        <w:ind w:firstLineChars="0" w:firstLine="0"/>
        <w:rPr>
          <w:bCs/>
        </w:rPr>
        <w:sectPr w:rsidR="00F13F37" w:rsidSect="006921EF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5D14ACC" w14:textId="77777777" w:rsidR="00F13F37" w:rsidRPr="007662B8" w:rsidRDefault="00F13F37" w:rsidP="00F13F37">
      <w:pPr>
        <w:pStyle w:val="Caption"/>
        <w:keepNext/>
        <w:spacing w:line="480" w:lineRule="auto"/>
        <w:ind w:firstLineChars="0" w:firstLine="0"/>
        <w:rPr>
          <w:rFonts w:ascii="Times New Roman" w:hAnsi="Times New Roman" w:cs="Times New Roman"/>
          <w:b/>
          <w:bCs/>
        </w:rPr>
      </w:pPr>
      <w:r w:rsidRPr="007662B8">
        <w:rPr>
          <w:rFonts w:ascii="Times New Roman" w:hAnsi="Times New Roman" w:cs="Times New Roman"/>
          <w:b/>
          <w:bCs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</w:rPr>
        <w:t>4</w:t>
      </w:r>
      <w:r w:rsidRPr="007662B8">
        <w:rPr>
          <w:rFonts w:ascii="Times New Roman" w:hAnsi="Times New Roman" w:cs="Times New Roman"/>
          <w:b/>
          <w:bCs/>
        </w:rPr>
        <w:t xml:space="preserve"> Quality assessment of the included studies</w:t>
      </w:r>
    </w:p>
    <w:tbl>
      <w:tblPr>
        <w:tblW w:w="13942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94"/>
        <w:gridCol w:w="1383"/>
        <w:gridCol w:w="1383"/>
        <w:gridCol w:w="1440"/>
        <w:gridCol w:w="1383"/>
        <w:gridCol w:w="1383"/>
        <w:gridCol w:w="1427"/>
        <w:gridCol w:w="1383"/>
        <w:gridCol w:w="1383"/>
        <w:gridCol w:w="1383"/>
      </w:tblGrid>
      <w:tr w:rsidR="00F13F37" w:rsidRPr="0099135B" w14:paraId="6A244828" w14:textId="77777777" w:rsidTr="005B774C">
        <w:trPr>
          <w:trHeight w:val="357"/>
        </w:trPr>
        <w:tc>
          <w:tcPr>
            <w:tcW w:w="139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F462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bookmarkStart w:id="6" w:name="_Hlk174527139"/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Study ID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3426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Selection Bias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7230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Study Design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8045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Confounders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B189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Blinding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ACE9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Data Collection Methods</w:t>
            </w:r>
          </w:p>
        </w:tc>
        <w:tc>
          <w:tcPr>
            <w:tcW w:w="142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4553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Withdrawals and Dropouts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5069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bookmarkStart w:id="7" w:name="OLE_LINK17"/>
            <w:bookmarkStart w:id="8" w:name="OLE_LINK18"/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Intervention Integrity</w:t>
            </w:r>
            <w:bookmarkEnd w:id="7"/>
            <w:bookmarkEnd w:id="8"/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A241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Analysis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46AB3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Global Rating</w:t>
            </w:r>
          </w:p>
        </w:tc>
      </w:tr>
      <w:tr w:rsidR="00F13F37" w:rsidRPr="0099135B" w14:paraId="5AA5BB40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0CF1102F" w14:textId="1097D454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Wittmann et al., 2024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70692E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23E416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95F903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22D583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09D161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05650C0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08A5D2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72566E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bookmarkStart w:id="9" w:name="OLE_LINK13"/>
            <w:bookmarkStart w:id="10" w:name="OLE_LINK14"/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  <w:bookmarkEnd w:id="9"/>
            <w:bookmarkEnd w:id="10"/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0E8B64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</w:tr>
      <w:tr w:rsidR="00F13F37" w:rsidRPr="0099135B" w14:paraId="68B7640E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230D70F3" w14:textId="1E9147C9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Dimitriadis et al., 2024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5B2E6E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B520B5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58991A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9A64C8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BD19C3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6363FD3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DF7242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D32532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EAC72A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</w:tr>
      <w:tr w:rsidR="00F13F37" w:rsidRPr="0099135B" w14:paraId="362EBD29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5E8662CC" w14:textId="20E6C1F9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Belleville et al., 2023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48913A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9C4154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27151A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056867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270E3B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bookmarkStart w:id="11" w:name="OLE_LINK15"/>
            <w:bookmarkStart w:id="12" w:name="OLE_LINK16"/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  <w:bookmarkEnd w:id="11"/>
            <w:bookmarkEnd w:id="12"/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0FDB9EB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764E17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42BC3A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DFE772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24E66735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3A1B9022" w14:textId="55D0BE9D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Barha et al., 2023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E7531B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100BFE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4CFB26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EFBE1F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018060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54ABF53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3EAFB1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8AED54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639DD2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24BB8BF2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361212BA" w14:textId="66138909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lastRenderedPageBreak/>
              <w:t>Belleville et al., 2022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E65456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E25815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FDF2A7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F6BE9F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9FCB74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0F0FD7F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DDCE8E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EE005B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3490E7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</w:tr>
      <w:tr w:rsidR="00F13F37" w:rsidRPr="0099135B" w14:paraId="7502F6FD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49F491AA" w14:textId="058E845A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Pani et al., 2022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68513E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A5A5DE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7D0B1C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C419AF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BE347C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7944964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745C92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B41DEC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Strong 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90BCEA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Strong </w:t>
            </w:r>
          </w:p>
        </w:tc>
      </w:tr>
      <w:tr w:rsidR="00F13F37" w:rsidRPr="0099135B" w14:paraId="3A0C6C27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0DCA3575" w14:textId="619A6F36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Zotcheva et al., 2022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171929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D10559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6B11D7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3C3FEE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1169EE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4BDA426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F33593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 w:rsidRPr="0099135B"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FF36CD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8A3AC0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</w:tr>
      <w:tr w:rsidR="00F13F37" w:rsidRPr="0099135B" w14:paraId="79BE53E0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099DF0B5" w14:textId="55BFE856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Guzman et al., 2021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B280FB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 xml:space="preserve">Weak 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AF0CA8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295B8F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Weak 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4E4B59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5182D7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Strong 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7B95EBF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Weak 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18BA2C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4F1746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Moderate 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E0B7CC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 xml:space="preserve">Weak </w:t>
            </w:r>
          </w:p>
        </w:tc>
      </w:tr>
      <w:tr w:rsidR="00F13F37" w:rsidRPr="0099135B" w14:paraId="1066F42B" w14:textId="77777777" w:rsidTr="005B774C">
        <w:trPr>
          <w:trHeight w:val="1204"/>
        </w:trPr>
        <w:tc>
          <w:tcPr>
            <w:tcW w:w="139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5A4AF10" w14:textId="3242DCF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bookmarkStart w:id="13" w:name="_Hlk174522693"/>
            <w:r w:rsidRPr="0099135B">
              <w:rPr>
                <w:rFonts w:cs="Times New Roman"/>
                <w:sz w:val="20"/>
                <w:szCs w:val="20"/>
              </w:rPr>
              <w:t>Bischoff-Ferrari et al., 2020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9DCC7D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DengXian" w:cs="Times New Roman" w:hint="eastAsia"/>
                <w:color w:val="000000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5EC34F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1B8ACB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4C7B3A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C4454E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479FB1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6A2347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7C378E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102B85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bookmarkEnd w:id="13"/>
      <w:tr w:rsidR="00F13F37" w:rsidRPr="0099135B" w14:paraId="4B8859D9" w14:textId="77777777" w:rsidTr="005B774C">
        <w:trPr>
          <w:trHeight w:val="709"/>
        </w:trPr>
        <w:tc>
          <w:tcPr>
            <w:tcW w:w="139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8B1D42F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Study ID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926029D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Selection Bias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23F1E53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Study Design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A7B0F19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Confounders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DFF0DB8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Blinding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CBE424E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Data Collection Methods</w:t>
            </w:r>
          </w:p>
        </w:tc>
        <w:tc>
          <w:tcPr>
            <w:tcW w:w="142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A028AEB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Withdrawals and Dropouts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E983875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Intervention Integrity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0BAA73D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Analysis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3AE949F" w14:textId="77777777" w:rsidR="00F13F37" w:rsidRPr="00702E43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702E43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Global Rating</w:t>
            </w:r>
          </w:p>
        </w:tc>
      </w:tr>
      <w:tr w:rsidR="00F13F37" w:rsidRPr="0099135B" w14:paraId="26AB1DAF" w14:textId="77777777" w:rsidTr="005B774C">
        <w:trPr>
          <w:trHeight w:val="357"/>
        </w:trPr>
        <w:tc>
          <w:tcPr>
            <w:tcW w:w="139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8EBBB9D" w14:textId="575DEFCC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Zlatar et al., 2019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689517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</w:t>
            </w:r>
            <w:r w:rsidRPr="0099135B">
              <w:rPr>
                <w:rFonts w:eastAsia="DengXian" w:cs="Times New Roman" w:hint="eastAsia"/>
                <w:color w:val="000000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D06735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bookmarkStart w:id="14" w:name="OLE_LINK19"/>
            <w:bookmarkStart w:id="15" w:name="OLE_LINK20"/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  <w:bookmarkEnd w:id="14"/>
            <w:bookmarkEnd w:id="15"/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B83537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8255F3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CC34F6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BC9C44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67C024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E6F5A5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0EAB19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</w:tr>
      <w:tr w:rsidR="00F13F37" w:rsidRPr="0099135B" w14:paraId="3DC24981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0D9E8EC8" w14:textId="6498023A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Romera-Liebana et al., 2018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6D837B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FDE55F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0F9614C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BA78A3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56EC9E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7644A64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2AB688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4D4E29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606CBB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33CCBD66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618AB6C6" w14:textId="318A4BFA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Liu et al., 2018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192ACC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S</w:t>
            </w:r>
            <w:r w:rsidRPr="0099135B">
              <w:rPr>
                <w:rFonts w:eastAsia="DengXian" w:cs="Times New Roman" w:hint="eastAsia"/>
                <w:color w:val="000000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2FA7EB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EDC366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120EEC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77539C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67379B2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B48292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A60361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80786D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0F581F65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508ABCFB" w14:textId="3937CD50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Lamb et al., 2018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580DB9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eastAsia="DengXian" w:cs="Times New Roman" w:hint="eastAsia"/>
                <w:color w:val="000000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B75646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19AC6E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9CC3D0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B4E954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00C1AD5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122E52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2BEC6A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BD7580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1250E1D0" w14:textId="77777777" w:rsidTr="005B774C">
        <w:trPr>
          <w:cantSplit/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42B91113" w14:textId="5C8687BA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lastRenderedPageBreak/>
              <w:t>Rosenberg et al., 2018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0D0E64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 w:rsidRPr="0099135B"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91E627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DB37B8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9974BF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C499BE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7EEF5CC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FC68F3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F71EE4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0CFE35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 w:rsidRPr="0099135B"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753BACDE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43F3A94D" w14:textId="1FAD8925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Henskens et al., 2018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5B2C66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672A95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57D88BD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97960E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087D87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6688E0F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C2B4E5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469BEB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7C7560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0920A2F3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0D63C38D" w14:textId="18687590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Toots et al., 2017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751B84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517ADF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87A010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B87102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783D6D4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07D54601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BEB56A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E68FB2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C78960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712B776E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44180949" w14:textId="5321DB4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Sink et al., 2015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9291A8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8EB5AD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280829D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C39169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52536C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4FB3AE3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B301F3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02B797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EE0CD2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5538695C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2B91B97D" w14:textId="55AA22A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Telenius et al., 2015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085B41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459F13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3987297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14F72E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2FF8079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59483FD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43C5EAF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1AD46AC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211856C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</w:tr>
      <w:tr w:rsidR="00F13F37" w:rsidRPr="0099135B" w14:paraId="45D0C3C4" w14:textId="77777777" w:rsidTr="005B774C">
        <w:trPr>
          <w:trHeight w:val="357"/>
        </w:trPr>
        <w:tc>
          <w:tcPr>
            <w:tcW w:w="139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02EC230" w14:textId="6CD9E02E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Varma et al., 2015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DCAE7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91EBF6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A1FC5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05B076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Weak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F37B3D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42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6FA11A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283D409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Not applicable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66A4917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Strong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682DFC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Moderate</w:t>
            </w:r>
          </w:p>
        </w:tc>
      </w:tr>
      <w:tr w:rsidR="00F13F37" w:rsidRPr="0099135B" w14:paraId="035F7154" w14:textId="77777777" w:rsidTr="005B774C">
        <w:trPr>
          <w:trHeight w:val="357"/>
        </w:trPr>
        <w:tc>
          <w:tcPr>
            <w:tcW w:w="139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4F31F8D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lastRenderedPageBreak/>
              <w:t>Study ID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E0E4CE6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Selection Bias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5A8E3F3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Study Design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B3DDDA8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Confounders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F6D63F4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Blinding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2A04D19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Data Collection Methods</w:t>
            </w:r>
          </w:p>
        </w:tc>
        <w:tc>
          <w:tcPr>
            <w:tcW w:w="142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ABAA088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Withdrawals and Dropouts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4AD6331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Intervention Integrity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AC303DA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Analysis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6778CC0" w14:textId="77777777" w:rsidR="00F13F37" w:rsidRPr="00CC0639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b/>
                <w:kern w:val="0"/>
                <w:sz w:val="20"/>
                <w:szCs w:val="20"/>
              </w:rPr>
            </w:pPr>
            <w:r w:rsidRPr="00CC0639">
              <w:rPr>
                <w:rFonts w:eastAsia="DengXian" w:cs="Times New Roman"/>
                <w:b/>
                <w:color w:val="000000"/>
                <w:kern w:val="0"/>
                <w:sz w:val="20"/>
                <w:szCs w:val="20"/>
              </w:rPr>
              <w:t>Global Rating</w:t>
            </w:r>
          </w:p>
        </w:tc>
      </w:tr>
      <w:tr w:rsidR="00F13F37" w:rsidRPr="0099135B" w14:paraId="0125B0B7" w14:textId="77777777" w:rsidTr="005B774C">
        <w:trPr>
          <w:trHeight w:val="357"/>
        </w:trPr>
        <w:tc>
          <w:tcPr>
            <w:tcW w:w="139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F8B533E" w14:textId="29D70470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bookmarkStart w:id="16" w:name="OLE_LINK23"/>
            <w:bookmarkStart w:id="17" w:name="OLE_LINK24"/>
            <w:r w:rsidRPr="0099135B">
              <w:rPr>
                <w:rFonts w:cs="Times New Roman"/>
                <w:sz w:val="20"/>
                <w:szCs w:val="20"/>
              </w:rPr>
              <w:t>van Stralen et al., 2010</w:t>
            </w:r>
            <w:bookmarkEnd w:id="16"/>
            <w:bookmarkEnd w:id="17"/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F05666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D36B1C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64EB46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46C759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W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eak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FE8F4D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2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7055F5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426EC1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43BE84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94AAEEE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oderate</w:t>
            </w:r>
          </w:p>
        </w:tc>
      </w:tr>
      <w:tr w:rsidR="00F13F37" w:rsidRPr="0099135B" w14:paraId="651A9F4C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1DF8FE33" w14:textId="03BC2EFC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Baker et al., 2010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43CBA53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W</w:t>
            </w:r>
            <w:r>
              <w:rPr>
                <w:rFonts w:eastAsia="DengXian" w:cs="Times New Roman" w:hint="eastAsia"/>
                <w:color w:val="000000"/>
                <w:kern w:val="0"/>
                <w:sz w:val="20"/>
                <w:szCs w:val="20"/>
              </w:rPr>
              <w:t>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8C4F8A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1783EF85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B88746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CE7021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45470DC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51E98A8D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775209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36FDA6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oderate</w:t>
            </w:r>
          </w:p>
        </w:tc>
      </w:tr>
      <w:tr w:rsidR="00F13F37" w:rsidRPr="0099135B" w14:paraId="3A45DDFA" w14:textId="77777777" w:rsidTr="005B774C">
        <w:trPr>
          <w:trHeight w:val="357"/>
        </w:trPr>
        <w:tc>
          <w:tcPr>
            <w:tcW w:w="1394" w:type="dxa"/>
            <w:shd w:val="clear" w:color="auto" w:fill="auto"/>
            <w:noWrap/>
            <w:vAlign w:val="center"/>
          </w:tcPr>
          <w:p w14:paraId="495E0671" w14:textId="687F1AC3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sz w:val="20"/>
                <w:szCs w:val="20"/>
              </w:rPr>
            </w:pPr>
            <w:r w:rsidRPr="0099135B">
              <w:rPr>
                <w:rFonts w:cs="Times New Roman"/>
                <w:sz w:val="20"/>
                <w:szCs w:val="20"/>
              </w:rPr>
              <w:t>van Uffelen et al., 2008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372A031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 w:cs="Times New Roman"/>
                <w:color w:val="000000"/>
                <w:kern w:val="0"/>
                <w:sz w:val="20"/>
                <w:szCs w:val="20"/>
              </w:rPr>
              <w:t>W</w:t>
            </w:r>
            <w:r>
              <w:rPr>
                <w:rFonts w:eastAsia="DengXian" w:cs="Times New Roman" w:hint="eastAsia"/>
                <w:color w:val="000000"/>
                <w:kern w:val="0"/>
                <w:sz w:val="20"/>
                <w:szCs w:val="20"/>
              </w:rPr>
              <w:t>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1C5E56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14:paraId="7FFF2610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A643F1A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oderate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2D5BC0F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0C9C6FC8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68790786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W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eak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06227E8B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</w:rPr>
              <w:t>S</w:t>
            </w:r>
            <w:r>
              <w:rPr>
                <w:rFonts w:eastAsia="Times New Roman" w:cs="Times New Roman" w:hint="eastAsia"/>
                <w:kern w:val="0"/>
                <w:sz w:val="20"/>
                <w:szCs w:val="20"/>
              </w:rPr>
              <w:t>trong</w:t>
            </w:r>
          </w:p>
        </w:tc>
        <w:tc>
          <w:tcPr>
            <w:tcW w:w="1383" w:type="dxa"/>
            <w:shd w:val="clear" w:color="auto" w:fill="auto"/>
            <w:noWrap/>
            <w:vAlign w:val="center"/>
          </w:tcPr>
          <w:p w14:paraId="745D4C52" w14:textId="77777777" w:rsidR="00F13F37" w:rsidRPr="0099135B" w:rsidRDefault="00F13F37" w:rsidP="005B774C">
            <w:pPr>
              <w:widowControl/>
              <w:spacing w:line="480" w:lineRule="auto"/>
              <w:ind w:firstLineChars="0" w:firstLine="0"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oderate</w:t>
            </w:r>
          </w:p>
        </w:tc>
      </w:tr>
      <w:bookmarkEnd w:id="6"/>
    </w:tbl>
    <w:p w14:paraId="256180C9" w14:textId="77777777" w:rsidR="00F13F37" w:rsidRDefault="00F13F37" w:rsidP="00F13F37">
      <w:pPr>
        <w:spacing w:line="480" w:lineRule="auto"/>
        <w:ind w:firstLineChars="0" w:firstLine="0"/>
        <w:rPr>
          <w:bCs/>
        </w:rPr>
      </w:pPr>
    </w:p>
    <w:p w14:paraId="28966501" w14:textId="77777777" w:rsidR="00F13F37" w:rsidRDefault="00F13F37" w:rsidP="00F13F37">
      <w:pPr>
        <w:spacing w:line="480" w:lineRule="auto"/>
        <w:ind w:firstLineChars="0" w:firstLine="0"/>
        <w:rPr>
          <w:bCs/>
        </w:rPr>
      </w:pPr>
    </w:p>
    <w:p w14:paraId="2CADA3DE" w14:textId="77777777" w:rsidR="00F13F37" w:rsidRDefault="00F13F37" w:rsidP="00F13F37">
      <w:pPr>
        <w:spacing w:line="480" w:lineRule="auto"/>
        <w:ind w:firstLineChars="0" w:firstLine="0"/>
        <w:rPr>
          <w:bCs/>
        </w:rPr>
        <w:sectPr w:rsidR="00F13F37" w:rsidSect="007662B8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C744096" w14:textId="77777777" w:rsidR="00F13F37" w:rsidRPr="009B403B" w:rsidRDefault="00F13F37" w:rsidP="00F13F37">
      <w:pPr>
        <w:spacing w:line="480" w:lineRule="auto"/>
        <w:ind w:firstLineChars="0" w:firstLine="0"/>
        <w:rPr>
          <w:bCs/>
        </w:rPr>
      </w:pPr>
    </w:p>
    <w:p w14:paraId="32DE722A" w14:textId="77777777" w:rsidR="00F13F37" w:rsidRDefault="00F13F37" w:rsidP="00F13F37">
      <w:pPr>
        <w:ind w:firstLine="480"/>
      </w:pPr>
    </w:p>
    <w:p w14:paraId="5FBEB8A3" w14:textId="67F01CFB" w:rsidR="005124EF" w:rsidRDefault="005124EF" w:rsidP="00A20F25">
      <w:pPr>
        <w:spacing w:line="480" w:lineRule="auto"/>
        <w:ind w:firstLineChars="0" w:firstLine="0"/>
        <w:rPr>
          <w:b/>
          <w:bCs/>
        </w:rPr>
      </w:pPr>
    </w:p>
    <w:sectPr w:rsidR="005124EF" w:rsidSect="005124EF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20D3E2" w14:textId="77777777" w:rsidR="00CB6597" w:rsidRDefault="00CB6597" w:rsidP="00196E31">
      <w:pPr>
        <w:spacing w:line="240" w:lineRule="auto"/>
        <w:ind w:firstLine="480"/>
      </w:pPr>
      <w:r>
        <w:separator/>
      </w:r>
    </w:p>
  </w:endnote>
  <w:endnote w:type="continuationSeparator" w:id="0">
    <w:p w14:paraId="23341F84" w14:textId="77777777" w:rsidR="00CB6597" w:rsidRDefault="00CB6597" w:rsidP="00196E3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36032552"/>
      <w:docPartObj>
        <w:docPartGallery w:val="Page Numbers (Bottom of Page)"/>
        <w:docPartUnique/>
      </w:docPartObj>
    </w:sdtPr>
    <w:sdtContent>
      <w:p w14:paraId="2C429E76" w14:textId="4DBF8ECC" w:rsidR="00A7234C" w:rsidRDefault="00A7234C" w:rsidP="00F91900">
        <w:pPr>
          <w:pStyle w:val="Footer"/>
          <w:framePr w:wrap="none" w:vAnchor="text" w:hAnchor="margin" w:xAlign="right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4765FB5" w14:textId="77777777" w:rsidR="00A7234C" w:rsidRDefault="00A7234C" w:rsidP="00196E31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404119612"/>
      <w:docPartObj>
        <w:docPartGallery w:val="Page Numbers (Bottom of Page)"/>
        <w:docPartUnique/>
      </w:docPartObj>
    </w:sdtPr>
    <w:sdtContent>
      <w:p w14:paraId="27C87F62" w14:textId="5AC25C6C" w:rsidR="00A7234C" w:rsidRDefault="00A7234C" w:rsidP="00F91900">
        <w:pPr>
          <w:pStyle w:val="Footer"/>
          <w:framePr w:wrap="none" w:vAnchor="text" w:hAnchor="margin" w:xAlign="right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A68F694" w14:textId="77777777" w:rsidR="00A7234C" w:rsidRDefault="00A7234C" w:rsidP="00196E31">
    <w:pPr>
      <w:pStyle w:val="Footer"/>
      <w:ind w:rightChars="150"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8E717B" w14:textId="77777777" w:rsidR="00CB6597" w:rsidRDefault="00CB6597" w:rsidP="00196E31">
      <w:pPr>
        <w:spacing w:line="240" w:lineRule="auto"/>
        <w:ind w:firstLine="480"/>
      </w:pPr>
      <w:r>
        <w:separator/>
      </w:r>
    </w:p>
  </w:footnote>
  <w:footnote w:type="continuationSeparator" w:id="0">
    <w:p w14:paraId="0AD45C82" w14:textId="77777777" w:rsidR="00CB6597" w:rsidRDefault="00CB6597" w:rsidP="00196E31"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A62"/>
    <w:multiLevelType w:val="hybridMultilevel"/>
    <w:tmpl w:val="90DE0E1A"/>
    <w:lvl w:ilvl="0" w:tplc="67602360">
      <w:start w:val="6"/>
      <w:numFmt w:val="bullet"/>
      <w:lvlText w:val=""/>
      <w:lvlJc w:val="left"/>
      <w:pPr>
        <w:ind w:left="360" w:hanging="360"/>
      </w:pPr>
      <w:rPr>
        <w:rFonts w:ascii="Wingdings" w:eastAsia="SimSun" w:hAnsi="Wingdings" w:cs="Times New Roman (正文 CS 字体)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1C74ADA"/>
    <w:multiLevelType w:val="hybridMultilevel"/>
    <w:tmpl w:val="661A8DC8"/>
    <w:lvl w:ilvl="0" w:tplc="DE32E5AA">
      <w:start w:val="6"/>
      <w:numFmt w:val="bullet"/>
      <w:lvlText w:val=""/>
      <w:lvlJc w:val="left"/>
      <w:pPr>
        <w:ind w:left="360" w:hanging="360"/>
      </w:pPr>
      <w:rPr>
        <w:rFonts w:ascii="Wingdings" w:eastAsia="SimSun" w:hAnsi="Wingdings" w:cs="Times New Roman (正文 CS 字体)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B848B0"/>
    <w:multiLevelType w:val="multilevel"/>
    <w:tmpl w:val="6F7AF8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9690D4B"/>
    <w:multiLevelType w:val="hybridMultilevel"/>
    <w:tmpl w:val="5E30BC7E"/>
    <w:lvl w:ilvl="0" w:tplc="BAC22D5C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45387E"/>
    <w:multiLevelType w:val="hybridMultilevel"/>
    <w:tmpl w:val="0486F2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1B20F34"/>
    <w:multiLevelType w:val="hybridMultilevel"/>
    <w:tmpl w:val="28CEF204"/>
    <w:lvl w:ilvl="0" w:tplc="392EE386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11219697">
    <w:abstractNumId w:val="2"/>
  </w:num>
  <w:num w:numId="2" w16cid:durableId="6031744">
    <w:abstractNumId w:val="4"/>
  </w:num>
  <w:num w:numId="3" w16cid:durableId="472985387">
    <w:abstractNumId w:val="1"/>
  </w:num>
  <w:num w:numId="4" w16cid:durableId="1910311202">
    <w:abstractNumId w:val="0"/>
  </w:num>
  <w:num w:numId="5" w16cid:durableId="1728143904">
    <w:abstractNumId w:val="5"/>
  </w:num>
  <w:num w:numId="6" w16cid:durableId="12523566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DC4"/>
    <w:rsid w:val="00002FA4"/>
    <w:rsid w:val="000046F8"/>
    <w:rsid w:val="00006984"/>
    <w:rsid w:val="0001086A"/>
    <w:rsid w:val="00010E45"/>
    <w:rsid w:val="000141B9"/>
    <w:rsid w:val="00015AB2"/>
    <w:rsid w:val="0001639D"/>
    <w:rsid w:val="000200F7"/>
    <w:rsid w:val="00021C10"/>
    <w:rsid w:val="00022F7B"/>
    <w:rsid w:val="0003081C"/>
    <w:rsid w:val="000322F5"/>
    <w:rsid w:val="00043870"/>
    <w:rsid w:val="00046186"/>
    <w:rsid w:val="00047A2D"/>
    <w:rsid w:val="000522FE"/>
    <w:rsid w:val="00054E0A"/>
    <w:rsid w:val="00060F2B"/>
    <w:rsid w:val="000615AD"/>
    <w:rsid w:val="0006538F"/>
    <w:rsid w:val="00067893"/>
    <w:rsid w:val="00072225"/>
    <w:rsid w:val="000751BA"/>
    <w:rsid w:val="00075BC6"/>
    <w:rsid w:val="000806A0"/>
    <w:rsid w:val="00082087"/>
    <w:rsid w:val="00086CAA"/>
    <w:rsid w:val="00087E00"/>
    <w:rsid w:val="000904D3"/>
    <w:rsid w:val="00091BDE"/>
    <w:rsid w:val="000976BA"/>
    <w:rsid w:val="000A1F0D"/>
    <w:rsid w:val="000A4F2B"/>
    <w:rsid w:val="000B2C56"/>
    <w:rsid w:val="000B4E06"/>
    <w:rsid w:val="000B6866"/>
    <w:rsid w:val="000C4514"/>
    <w:rsid w:val="000C497E"/>
    <w:rsid w:val="000C7C52"/>
    <w:rsid w:val="000D2E49"/>
    <w:rsid w:val="000D31EF"/>
    <w:rsid w:val="000D7D9E"/>
    <w:rsid w:val="000E35E7"/>
    <w:rsid w:val="000E4998"/>
    <w:rsid w:val="000E5171"/>
    <w:rsid w:val="000E7443"/>
    <w:rsid w:val="000F39F9"/>
    <w:rsid w:val="000F5914"/>
    <w:rsid w:val="000F6B06"/>
    <w:rsid w:val="00110C36"/>
    <w:rsid w:val="001126BD"/>
    <w:rsid w:val="00112EE2"/>
    <w:rsid w:val="00114609"/>
    <w:rsid w:val="0011509C"/>
    <w:rsid w:val="0011799D"/>
    <w:rsid w:val="001215BE"/>
    <w:rsid w:val="00121BC5"/>
    <w:rsid w:val="00122972"/>
    <w:rsid w:val="00126C9B"/>
    <w:rsid w:val="00140AD1"/>
    <w:rsid w:val="0014122F"/>
    <w:rsid w:val="001457E1"/>
    <w:rsid w:val="00156FB9"/>
    <w:rsid w:val="00161BD0"/>
    <w:rsid w:val="00163E25"/>
    <w:rsid w:val="001666E8"/>
    <w:rsid w:val="00170714"/>
    <w:rsid w:val="001730F3"/>
    <w:rsid w:val="00174480"/>
    <w:rsid w:val="00175555"/>
    <w:rsid w:val="0017643A"/>
    <w:rsid w:val="001920B4"/>
    <w:rsid w:val="001934C3"/>
    <w:rsid w:val="00195E40"/>
    <w:rsid w:val="00196D94"/>
    <w:rsid w:val="00196E31"/>
    <w:rsid w:val="001A6BAA"/>
    <w:rsid w:val="001B273E"/>
    <w:rsid w:val="001C4A43"/>
    <w:rsid w:val="001C74D7"/>
    <w:rsid w:val="001C79A3"/>
    <w:rsid w:val="001D272E"/>
    <w:rsid w:val="001D385C"/>
    <w:rsid w:val="001D58D6"/>
    <w:rsid w:val="001D7789"/>
    <w:rsid w:val="001D7B39"/>
    <w:rsid w:val="001E453E"/>
    <w:rsid w:val="001E739E"/>
    <w:rsid w:val="001F7287"/>
    <w:rsid w:val="00201E20"/>
    <w:rsid w:val="00207BD4"/>
    <w:rsid w:val="00211BA6"/>
    <w:rsid w:val="00217D82"/>
    <w:rsid w:val="00223505"/>
    <w:rsid w:val="002236A3"/>
    <w:rsid w:val="002310F7"/>
    <w:rsid w:val="00235515"/>
    <w:rsid w:val="002358CB"/>
    <w:rsid w:val="00242E7C"/>
    <w:rsid w:val="00245CEB"/>
    <w:rsid w:val="00245D89"/>
    <w:rsid w:val="00253814"/>
    <w:rsid w:val="0025496F"/>
    <w:rsid w:val="002570F0"/>
    <w:rsid w:val="00257FD4"/>
    <w:rsid w:val="00261958"/>
    <w:rsid w:val="0026210C"/>
    <w:rsid w:val="00262C43"/>
    <w:rsid w:val="0026764F"/>
    <w:rsid w:val="0026795D"/>
    <w:rsid w:val="0027012E"/>
    <w:rsid w:val="0027475D"/>
    <w:rsid w:val="00276A32"/>
    <w:rsid w:val="002803E9"/>
    <w:rsid w:val="00282669"/>
    <w:rsid w:val="00291B26"/>
    <w:rsid w:val="00293206"/>
    <w:rsid w:val="00295AF3"/>
    <w:rsid w:val="002966BB"/>
    <w:rsid w:val="0029742F"/>
    <w:rsid w:val="002A0313"/>
    <w:rsid w:val="002A0850"/>
    <w:rsid w:val="002A1C89"/>
    <w:rsid w:val="002A7EA1"/>
    <w:rsid w:val="002B03FA"/>
    <w:rsid w:val="002B058B"/>
    <w:rsid w:val="002B0629"/>
    <w:rsid w:val="002B53F4"/>
    <w:rsid w:val="002B5EED"/>
    <w:rsid w:val="002B7055"/>
    <w:rsid w:val="002C1517"/>
    <w:rsid w:val="002C32D4"/>
    <w:rsid w:val="002C6E23"/>
    <w:rsid w:val="002C6E66"/>
    <w:rsid w:val="002D7B1B"/>
    <w:rsid w:val="002E0B7F"/>
    <w:rsid w:val="002E494E"/>
    <w:rsid w:val="002E4B59"/>
    <w:rsid w:val="002F4218"/>
    <w:rsid w:val="00303770"/>
    <w:rsid w:val="00305343"/>
    <w:rsid w:val="003060AD"/>
    <w:rsid w:val="00307951"/>
    <w:rsid w:val="00307EDA"/>
    <w:rsid w:val="00312AD5"/>
    <w:rsid w:val="003152B8"/>
    <w:rsid w:val="00315C34"/>
    <w:rsid w:val="00316384"/>
    <w:rsid w:val="0031742B"/>
    <w:rsid w:val="0032246C"/>
    <w:rsid w:val="00330CBD"/>
    <w:rsid w:val="0033566C"/>
    <w:rsid w:val="00345594"/>
    <w:rsid w:val="003461CB"/>
    <w:rsid w:val="00351363"/>
    <w:rsid w:val="00353F77"/>
    <w:rsid w:val="00356DBD"/>
    <w:rsid w:val="003579F0"/>
    <w:rsid w:val="003601CF"/>
    <w:rsid w:val="00360724"/>
    <w:rsid w:val="00361F8D"/>
    <w:rsid w:val="0036666E"/>
    <w:rsid w:val="0036716D"/>
    <w:rsid w:val="003679A9"/>
    <w:rsid w:val="003707CC"/>
    <w:rsid w:val="00382360"/>
    <w:rsid w:val="00384151"/>
    <w:rsid w:val="00392799"/>
    <w:rsid w:val="003A0013"/>
    <w:rsid w:val="003B104A"/>
    <w:rsid w:val="003B5C22"/>
    <w:rsid w:val="003B694F"/>
    <w:rsid w:val="003C7025"/>
    <w:rsid w:val="003D6E67"/>
    <w:rsid w:val="003D7CE6"/>
    <w:rsid w:val="003E1CD4"/>
    <w:rsid w:val="003E2DAB"/>
    <w:rsid w:val="003E3045"/>
    <w:rsid w:val="003E3219"/>
    <w:rsid w:val="003E5549"/>
    <w:rsid w:val="003E5DE7"/>
    <w:rsid w:val="003F1826"/>
    <w:rsid w:val="003F6289"/>
    <w:rsid w:val="003F68AC"/>
    <w:rsid w:val="00411C38"/>
    <w:rsid w:val="004130A8"/>
    <w:rsid w:val="00414361"/>
    <w:rsid w:val="00414585"/>
    <w:rsid w:val="00416893"/>
    <w:rsid w:val="00420FB6"/>
    <w:rsid w:val="0042556B"/>
    <w:rsid w:val="004257CB"/>
    <w:rsid w:val="00425CDE"/>
    <w:rsid w:val="00426E59"/>
    <w:rsid w:val="004379D6"/>
    <w:rsid w:val="0044213D"/>
    <w:rsid w:val="00443F79"/>
    <w:rsid w:val="004450AE"/>
    <w:rsid w:val="0044623F"/>
    <w:rsid w:val="004512D5"/>
    <w:rsid w:val="0045142A"/>
    <w:rsid w:val="00456B77"/>
    <w:rsid w:val="0046107C"/>
    <w:rsid w:val="00464B27"/>
    <w:rsid w:val="00466E4D"/>
    <w:rsid w:val="00467455"/>
    <w:rsid w:val="00467C18"/>
    <w:rsid w:val="00470092"/>
    <w:rsid w:val="004707C3"/>
    <w:rsid w:val="00473C61"/>
    <w:rsid w:val="00474849"/>
    <w:rsid w:val="004768BD"/>
    <w:rsid w:val="00483E9B"/>
    <w:rsid w:val="004909D0"/>
    <w:rsid w:val="00492A6C"/>
    <w:rsid w:val="00495F35"/>
    <w:rsid w:val="004A04F8"/>
    <w:rsid w:val="004A138E"/>
    <w:rsid w:val="004A5CA3"/>
    <w:rsid w:val="004A70E5"/>
    <w:rsid w:val="004B4651"/>
    <w:rsid w:val="004C20E7"/>
    <w:rsid w:val="004C3EE7"/>
    <w:rsid w:val="004C56FE"/>
    <w:rsid w:val="004D02DB"/>
    <w:rsid w:val="004D1421"/>
    <w:rsid w:val="004E1141"/>
    <w:rsid w:val="004E2BD0"/>
    <w:rsid w:val="004E4D3C"/>
    <w:rsid w:val="004E5287"/>
    <w:rsid w:val="004F6975"/>
    <w:rsid w:val="00501CC2"/>
    <w:rsid w:val="005033A1"/>
    <w:rsid w:val="005034DB"/>
    <w:rsid w:val="00511534"/>
    <w:rsid w:val="005124EF"/>
    <w:rsid w:val="00514B3B"/>
    <w:rsid w:val="00523100"/>
    <w:rsid w:val="00530DF4"/>
    <w:rsid w:val="00531058"/>
    <w:rsid w:val="00534767"/>
    <w:rsid w:val="00537AF3"/>
    <w:rsid w:val="005410DC"/>
    <w:rsid w:val="005422CD"/>
    <w:rsid w:val="005479A4"/>
    <w:rsid w:val="005518E7"/>
    <w:rsid w:val="0055298F"/>
    <w:rsid w:val="00557134"/>
    <w:rsid w:val="00560C4B"/>
    <w:rsid w:val="00560FC3"/>
    <w:rsid w:val="00562336"/>
    <w:rsid w:val="005651C5"/>
    <w:rsid w:val="00565C83"/>
    <w:rsid w:val="0057191E"/>
    <w:rsid w:val="00580C92"/>
    <w:rsid w:val="005810EE"/>
    <w:rsid w:val="00587290"/>
    <w:rsid w:val="005915A3"/>
    <w:rsid w:val="00591B10"/>
    <w:rsid w:val="00594975"/>
    <w:rsid w:val="00594D65"/>
    <w:rsid w:val="005971E3"/>
    <w:rsid w:val="005A14E6"/>
    <w:rsid w:val="005A28BC"/>
    <w:rsid w:val="005A6A50"/>
    <w:rsid w:val="005A70B4"/>
    <w:rsid w:val="005B7353"/>
    <w:rsid w:val="005B774C"/>
    <w:rsid w:val="005C1792"/>
    <w:rsid w:val="005C1E04"/>
    <w:rsid w:val="005C2008"/>
    <w:rsid w:val="005C327A"/>
    <w:rsid w:val="005D0A74"/>
    <w:rsid w:val="005D0DB6"/>
    <w:rsid w:val="005D47A0"/>
    <w:rsid w:val="005D47DD"/>
    <w:rsid w:val="005D695F"/>
    <w:rsid w:val="005D75AF"/>
    <w:rsid w:val="005E1561"/>
    <w:rsid w:val="005E3A43"/>
    <w:rsid w:val="00602E4C"/>
    <w:rsid w:val="00607DC4"/>
    <w:rsid w:val="00610D95"/>
    <w:rsid w:val="00614729"/>
    <w:rsid w:val="0061575D"/>
    <w:rsid w:val="00624618"/>
    <w:rsid w:val="00627284"/>
    <w:rsid w:val="00627C31"/>
    <w:rsid w:val="006307DA"/>
    <w:rsid w:val="006319D4"/>
    <w:rsid w:val="00640108"/>
    <w:rsid w:val="006407E1"/>
    <w:rsid w:val="0064173F"/>
    <w:rsid w:val="006423C3"/>
    <w:rsid w:val="006445E4"/>
    <w:rsid w:val="0064501C"/>
    <w:rsid w:val="00647E9B"/>
    <w:rsid w:val="006507FE"/>
    <w:rsid w:val="00653E41"/>
    <w:rsid w:val="00654820"/>
    <w:rsid w:val="00657C24"/>
    <w:rsid w:val="00660EE1"/>
    <w:rsid w:val="0066199E"/>
    <w:rsid w:val="00661F96"/>
    <w:rsid w:val="00664E50"/>
    <w:rsid w:val="00666758"/>
    <w:rsid w:val="006667EC"/>
    <w:rsid w:val="00666D1E"/>
    <w:rsid w:val="00667E26"/>
    <w:rsid w:val="00670F28"/>
    <w:rsid w:val="00676ACB"/>
    <w:rsid w:val="006834EE"/>
    <w:rsid w:val="0068459E"/>
    <w:rsid w:val="00690741"/>
    <w:rsid w:val="006921EF"/>
    <w:rsid w:val="00692E3E"/>
    <w:rsid w:val="006930CA"/>
    <w:rsid w:val="00694E5D"/>
    <w:rsid w:val="00695750"/>
    <w:rsid w:val="00695864"/>
    <w:rsid w:val="006A0AB2"/>
    <w:rsid w:val="006A5D64"/>
    <w:rsid w:val="006B12BD"/>
    <w:rsid w:val="006B13F9"/>
    <w:rsid w:val="006B2A28"/>
    <w:rsid w:val="006B32D8"/>
    <w:rsid w:val="006B6A4C"/>
    <w:rsid w:val="006B7AE6"/>
    <w:rsid w:val="006C5992"/>
    <w:rsid w:val="006D3C07"/>
    <w:rsid w:val="006E6E71"/>
    <w:rsid w:val="006F0598"/>
    <w:rsid w:val="006F4D95"/>
    <w:rsid w:val="006F6EA1"/>
    <w:rsid w:val="006F77EE"/>
    <w:rsid w:val="00700C6E"/>
    <w:rsid w:val="00702D9C"/>
    <w:rsid w:val="00702E43"/>
    <w:rsid w:val="00707AC4"/>
    <w:rsid w:val="007115A2"/>
    <w:rsid w:val="00716B22"/>
    <w:rsid w:val="00720918"/>
    <w:rsid w:val="00722510"/>
    <w:rsid w:val="00726607"/>
    <w:rsid w:val="00727A4A"/>
    <w:rsid w:val="00730320"/>
    <w:rsid w:val="00730C96"/>
    <w:rsid w:val="00734D71"/>
    <w:rsid w:val="0074020F"/>
    <w:rsid w:val="0074481A"/>
    <w:rsid w:val="007556D0"/>
    <w:rsid w:val="00756CE3"/>
    <w:rsid w:val="00765200"/>
    <w:rsid w:val="007662B8"/>
    <w:rsid w:val="007708C8"/>
    <w:rsid w:val="00771C10"/>
    <w:rsid w:val="00780C9E"/>
    <w:rsid w:val="00781DD7"/>
    <w:rsid w:val="00782D32"/>
    <w:rsid w:val="00786F76"/>
    <w:rsid w:val="00787653"/>
    <w:rsid w:val="00791D4A"/>
    <w:rsid w:val="007920FF"/>
    <w:rsid w:val="0079242E"/>
    <w:rsid w:val="007971A3"/>
    <w:rsid w:val="007A0D83"/>
    <w:rsid w:val="007A5446"/>
    <w:rsid w:val="007B3322"/>
    <w:rsid w:val="007B33AC"/>
    <w:rsid w:val="007B38AD"/>
    <w:rsid w:val="007C2043"/>
    <w:rsid w:val="007C4E93"/>
    <w:rsid w:val="007C569B"/>
    <w:rsid w:val="007D562C"/>
    <w:rsid w:val="007E3329"/>
    <w:rsid w:val="007E3D81"/>
    <w:rsid w:val="007E6878"/>
    <w:rsid w:val="007E79B5"/>
    <w:rsid w:val="007F43F2"/>
    <w:rsid w:val="007F7C7A"/>
    <w:rsid w:val="0080461B"/>
    <w:rsid w:val="008135BB"/>
    <w:rsid w:val="00820ECE"/>
    <w:rsid w:val="00822B1F"/>
    <w:rsid w:val="008233A1"/>
    <w:rsid w:val="00823ED0"/>
    <w:rsid w:val="008275A0"/>
    <w:rsid w:val="00830E9C"/>
    <w:rsid w:val="00831F55"/>
    <w:rsid w:val="00833DF4"/>
    <w:rsid w:val="008357DB"/>
    <w:rsid w:val="00837B27"/>
    <w:rsid w:val="00840C6C"/>
    <w:rsid w:val="00840D6B"/>
    <w:rsid w:val="00841405"/>
    <w:rsid w:val="008414FC"/>
    <w:rsid w:val="00844221"/>
    <w:rsid w:val="00844365"/>
    <w:rsid w:val="00852A4E"/>
    <w:rsid w:val="00865600"/>
    <w:rsid w:val="00867183"/>
    <w:rsid w:val="008706D9"/>
    <w:rsid w:val="00873EBB"/>
    <w:rsid w:val="0087703A"/>
    <w:rsid w:val="00881CA5"/>
    <w:rsid w:val="0089054C"/>
    <w:rsid w:val="008923AC"/>
    <w:rsid w:val="00893A38"/>
    <w:rsid w:val="008A13E1"/>
    <w:rsid w:val="008A1ED3"/>
    <w:rsid w:val="008A358A"/>
    <w:rsid w:val="008A4DE2"/>
    <w:rsid w:val="008B169F"/>
    <w:rsid w:val="008B21D8"/>
    <w:rsid w:val="008B263C"/>
    <w:rsid w:val="008B4E2E"/>
    <w:rsid w:val="008B7517"/>
    <w:rsid w:val="008C00EE"/>
    <w:rsid w:val="008C5054"/>
    <w:rsid w:val="008C7958"/>
    <w:rsid w:val="008D3012"/>
    <w:rsid w:val="008D5C04"/>
    <w:rsid w:val="008D666F"/>
    <w:rsid w:val="008E1845"/>
    <w:rsid w:val="008E1991"/>
    <w:rsid w:val="008E6317"/>
    <w:rsid w:val="008E6BE3"/>
    <w:rsid w:val="008F442B"/>
    <w:rsid w:val="008F7614"/>
    <w:rsid w:val="0090072E"/>
    <w:rsid w:val="00900F5B"/>
    <w:rsid w:val="0090360F"/>
    <w:rsid w:val="009038F6"/>
    <w:rsid w:val="009127FF"/>
    <w:rsid w:val="00912BB5"/>
    <w:rsid w:val="00914131"/>
    <w:rsid w:val="00915059"/>
    <w:rsid w:val="00915171"/>
    <w:rsid w:val="0091534A"/>
    <w:rsid w:val="00917A20"/>
    <w:rsid w:val="00923DFE"/>
    <w:rsid w:val="0092474F"/>
    <w:rsid w:val="009253F0"/>
    <w:rsid w:val="00925861"/>
    <w:rsid w:val="00936F50"/>
    <w:rsid w:val="00942AD2"/>
    <w:rsid w:val="00943A3E"/>
    <w:rsid w:val="00950F01"/>
    <w:rsid w:val="00953854"/>
    <w:rsid w:val="009572E0"/>
    <w:rsid w:val="009602FE"/>
    <w:rsid w:val="00975C66"/>
    <w:rsid w:val="00976F20"/>
    <w:rsid w:val="00980C67"/>
    <w:rsid w:val="00983DC8"/>
    <w:rsid w:val="0099135B"/>
    <w:rsid w:val="009915C2"/>
    <w:rsid w:val="009929CD"/>
    <w:rsid w:val="009A7BD6"/>
    <w:rsid w:val="009B0F0B"/>
    <w:rsid w:val="009B1EA5"/>
    <w:rsid w:val="009B1EF9"/>
    <w:rsid w:val="009B403B"/>
    <w:rsid w:val="009B46F7"/>
    <w:rsid w:val="009C1A38"/>
    <w:rsid w:val="009C20A7"/>
    <w:rsid w:val="009C41AF"/>
    <w:rsid w:val="009C4832"/>
    <w:rsid w:val="009C68D2"/>
    <w:rsid w:val="009C7129"/>
    <w:rsid w:val="009D2617"/>
    <w:rsid w:val="009D3338"/>
    <w:rsid w:val="009D7276"/>
    <w:rsid w:val="009D737C"/>
    <w:rsid w:val="009E4591"/>
    <w:rsid w:val="009F36BB"/>
    <w:rsid w:val="00A0229F"/>
    <w:rsid w:val="00A048C6"/>
    <w:rsid w:val="00A071DB"/>
    <w:rsid w:val="00A11121"/>
    <w:rsid w:val="00A11CEC"/>
    <w:rsid w:val="00A20F25"/>
    <w:rsid w:val="00A21CB1"/>
    <w:rsid w:val="00A264E5"/>
    <w:rsid w:val="00A33A8A"/>
    <w:rsid w:val="00A343E2"/>
    <w:rsid w:val="00A41EF5"/>
    <w:rsid w:val="00A427FB"/>
    <w:rsid w:val="00A42927"/>
    <w:rsid w:val="00A47D5A"/>
    <w:rsid w:val="00A5103F"/>
    <w:rsid w:val="00A53A4F"/>
    <w:rsid w:val="00A55158"/>
    <w:rsid w:val="00A55F21"/>
    <w:rsid w:val="00A56F39"/>
    <w:rsid w:val="00A61F8A"/>
    <w:rsid w:val="00A62D4D"/>
    <w:rsid w:val="00A66209"/>
    <w:rsid w:val="00A722BB"/>
    <w:rsid w:val="00A7234C"/>
    <w:rsid w:val="00A7298C"/>
    <w:rsid w:val="00A81481"/>
    <w:rsid w:val="00A85DD1"/>
    <w:rsid w:val="00A8657F"/>
    <w:rsid w:val="00A92AB5"/>
    <w:rsid w:val="00AA0D12"/>
    <w:rsid w:val="00AA6C58"/>
    <w:rsid w:val="00AA754B"/>
    <w:rsid w:val="00AB65C8"/>
    <w:rsid w:val="00AC0833"/>
    <w:rsid w:val="00AC2A24"/>
    <w:rsid w:val="00AC4D27"/>
    <w:rsid w:val="00AE07E2"/>
    <w:rsid w:val="00AE128C"/>
    <w:rsid w:val="00AE1DAC"/>
    <w:rsid w:val="00AE480E"/>
    <w:rsid w:val="00AE6DBD"/>
    <w:rsid w:val="00AF020F"/>
    <w:rsid w:val="00AF0668"/>
    <w:rsid w:val="00AF1125"/>
    <w:rsid w:val="00AF2743"/>
    <w:rsid w:val="00B02704"/>
    <w:rsid w:val="00B03D5B"/>
    <w:rsid w:val="00B05E04"/>
    <w:rsid w:val="00B11E38"/>
    <w:rsid w:val="00B12F7E"/>
    <w:rsid w:val="00B14DEF"/>
    <w:rsid w:val="00B14EA2"/>
    <w:rsid w:val="00B27B34"/>
    <w:rsid w:val="00B41E09"/>
    <w:rsid w:val="00B42114"/>
    <w:rsid w:val="00B42349"/>
    <w:rsid w:val="00B471BD"/>
    <w:rsid w:val="00B50ED6"/>
    <w:rsid w:val="00B50F34"/>
    <w:rsid w:val="00B54E34"/>
    <w:rsid w:val="00B638D9"/>
    <w:rsid w:val="00B65F5C"/>
    <w:rsid w:val="00B70B07"/>
    <w:rsid w:val="00B72219"/>
    <w:rsid w:val="00B729C9"/>
    <w:rsid w:val="00B759DD"/>
    <w:rsid w:val="00B81974"/>
    <w:rsid w:val="00B8548D"/>
    <w:rsid w:val="00B85E9C"/>
    <w:rsid w:val="00B87275"/>
    <w:rsid w:val="00B87D0C"/>
    <w:rsid w:val="00B930D6"/>
    <w:rsid w:val="00B97EFB"/>
    <w:rsid w:val="00BB3099"/>
    <w:rsid w:val="00BB4266"/>
    <w:rsid w:val="00BC25ED"/>
    <w:rsid w:val="00BC3EA1"/>
    <w:rsid w:val="00BC4DDF"/>
    <w:rsid w:val="00BC533C"/>
    <w:rsid w:val="00BC55AF"/>
    <w:rsid w:val="00BC7D81"/>
    <w:rsid w:val="00BD50A5"/>
    <w:rsid w:val="00BD712C"/>
    <w:rsid w:val="00BE38F5"/>
    <w:rsid w:val="00BE44F7"/>
    <w:rsid w:val="00BE6B29"/>
    <w:rsid w:val="00BF38C9"/>
    <w:rsid w:val="00BF77D7"/>
    <w:rsid w:val="00C00A71"/>
    <w:rsid w:val="00C01066"/>
    <w:rsid w:val="00C0456D"/>
    <w:rsid w:val="00C0670B"/>
    <w:rsid w:val="00C1157A"/>
    <w:rsid w:val="00C1228C"/>
    <w:rsid w:val="00C2035E"/>
    <w:rsid w:val="00C239F9"/>
    <w:rsid w:val="00C31583"/>
    <w:rsid w:val="00C34F2C"/>
    <w:rsid w:val="00C36C95"/>
    <w:rsid w:val="00C37D5B"/>
    <w:rsid w:val="00C5197C"/>
    <w:rsid w:val="00C53369"/>
    <w:rsid w:val="00C53B0C"/>
    <w:rsid w:val="00C549B8"/>
    <w:rsid w:val="00C5772A"/>
    <w:rsid w:val="00C608E0"/>
    <w:rsid w:val="00C6091F"/>
    <w:rsid w:val="00C63B25"/>
    <w:rsid w:val="00C73054"/>
    <w:rsid w:val="00C866FC"/>
    <w:rsid w:val="00C87D97"/>
    <w:rsid w:val="00C90410"/>
    <w:rsid w:val="00C90933"/>
    <w:rsid w:val="00C977FE"/>
    <w:rsid w:val="00C97E5E"/>
    <w:rsid w:val="00CA23E7"/>
    <w:rsid w:val="00CA2670"/>
    <w:rsid w:val="00CA4CCD"/>
    <w:rsid w:val="00CA5955"/>
    <w:rsid w:val="00CB1F00"/>
    <w:rsid w:val="00CB54A1"/>
    <w:rsid w:val="00CB5A35"/>
    <w:rsid w:val="00CB6597"/>
    <w:rsid w:val="00CB7C4D"/>
    <w:rsid w:val="00CC0639"/>
    <w:rsid w:val="00CC4C27"/>
    <w:rsid w:val="00CD21A7"/>
    <w:rsid w:val="00CD3DD3"/>
    <w:rsid w:val="00CD73BC"/>
    <w:rsid w:val="00CE6796"/>
    <w:rsid w:val="00CE7A75"/>
    <w:rsid w:val="00CF12AE"/>
    <w:rsid w:val="00D05C92"/>
    <w:rsid w:val="00D119C0"/>
    <w:rsid w:val="00D12567"/>
    <w:rsid w:val="00D15A47"/>
    <w:rsid w:val="00D1710B"/>
    <w:rsid w:val="00D17AEE"/>
    <w:rsid w:val="00D349C4"/>
    <w:rsid w:val="00D41A5C"/>
    <w:rsid w:val="00D45362"/>
    <w:rsid w:val="00D47312"/>
    <w:rsid w:val="00D5134F"/>
    <w:rsid w:val="00D517AB"/>
    <w:rsid w:val="00D54887"/>
    <w:rsid w:val="00D55375"/>
    <w:rsid w:val="00D569E9"/>
    <w:rsid w:val="00D61D88"/>
    <w:rsid w:val="00D64F2F"/>
    <w:rsid w:val="00D70336"/>
    <w:rsid w:val="00D740B6"/>
    <w:rsid w:val="00D90F37"/>
    <w:rsid w:val="00D92657"/>
    <w:rsid w:val="00D967D0"/>
    <w:rsid w:val="00DA2A5D"/>
    <w:rsid w:val="00DA4011"/>
    <w:rsid w:val="00DA70F2"/>
    <w:rsid w:val="00DB1C1C"/>
    <w:rsid w:val="00DB2573"/>
    <w:rsid w:val="00DB2702"/>
    <w:rsid w:val="00DB499C"/>
    <w:rsid w:val="00DC0E89"/>
    <w:rsid w:val="00DC243C"/>
    <w:rsid w:val="00DC4A29"/>
    <w:rsid w:val="00DD3CEC"/>
    <w:rsid w:val="00DD4B87"/>
    <w:rsid w:val="00DD5CD0"/>
    <w:rsid w:val="00DD762C"/>
    <w:rsid w:val="00DD7A79"/>
    <w:rsid w:val="00DE1A32"/>
    <w:rsid w:val="00DE39E6"/>
    <w:rsid w:val="00DE3DC6"/>
    <w:rsid w:val="00DF25EA"/>
    <w:rsid w:val="00DF7763"/>
    <w:rsid w:val="00E00246"/>
    <w:rsid w:val="00E006C3"/>
    <w:rsid w:val="00E006CD"/>
    <w:rsid w:val="00E104FC"/>
    <w:rsid w:val="00E13901"/>
    <w:rsid w:val="00E204A9"/>
    <w:rsid w:val="00E208CB"/>
    <w:rsid w:val="00E20DA1"/>
    <w:rsid w:val="00E2262C"/>
    <w:rsid w:val="00E30451"/>
    <w:rsid w:val="00E34CFA"/>
    <w:rsid w:val="00E35D98"/>
    <w:rsid w:val="00E41AC9"/>
    <w:rsid w:val="00E4257D"/>
    <w:rsid w:val="00E51AB4"/>
    <w:rsid w:val="00E774ED"/>
    <w:rsid w:val="00E87267"/>
    <w:rsid w:val="00E873BC"/>
    <w:rsid w:val="00E915D1"/>
    <w:rsid w:val="00E94400"/>
    <w:rsid w:val="00E97865"/>
    <w:rsid w:val="00EA5F40"/>
    <w:rsid w:val="00EB2EA2"/>
    <w:rsid w:val="00EC1C92"/>
    <w:rsid w:val="00EC4CFB"/>
    <w:rsid w:val="00EC5029"/>
    <w:rsid w:val="00ED5792"/>
    <w:rsid w:val="00ED621E"/>
    <w:rsid w:val="00EE0822"/>
    <w:rsid w:val="00EE1496"/>
    <w:rsid w:val="00EE14D1"/>
    <w:rsid w:val="00EE1952"/>
    <w:rsid w:val="00EE555D"/>
    <w:rsid w:val="00EE64A1"/>
    <w:rsid w:val="00EF1AE9"/>
    <w:rsid w:val="00EF2A3A"/>
    <w:rsid w:val="00EF3A9A"/>
    <w:rsid w:val="00EF580B"/>
    <w:rsid w:val="00F01C85"/>
    <w:rsid w:val="00F0445A"/>
    <w:rsid w:val="00F07CB8"/>
    <w:rsid w:val="00F13F37"/>
    <w:rsid w:val="00F173BA"/>
    <w:rsid w:val="00F22196"/>
    <w:rsid w:val="00F224B8"/>
    <w:rsid w:val="00F26532"/>
    <w:rsid w:val="00F27BCA"/>
    <w:rsid w:val="00F32517"/>
    <w:rsid w:val="00F34F9C"/>
    <w:rsid w:val="00F35EC7"/>
    <w:rsid w:val="00F368E1"/>
    <w:rsid w:val="00F37E87"/>
    <w:rsid w:val="00F440B8"/>
    <w:rsid w:val="00F44530"/>
    <w:rsid w:val="00F461C1"/>
    <w:rsid w:val="00F518C9"/>
    <w:rsid w:val="00F51D3E"/>
    <w:rsid w:val="00F53E57"/>
    <w:rsid w:val="00F54678"/>
    <w:rsid w:val="00F5563D"/>
    <w:rsid w:val="00F62F69"/>
    <w:rsid w:val="00F661FD"/>
    <w:rsid w:val="00F664F3"/>
    <w:rsid w:val="00F81441"/>
    <w:rsid w:val="00F834FC"/>
    <w:rsid w:val="00F86CCE"/>
    <w:rsid w:val="00F91900"/>
    <w:rsid w:val="00FA0B53"/>
    <w:rsid w:val="00FA50F6"/>
    <w:rsid w:val="00FA6EFA"/>
    <w:rsid w:val="00FB36AA"/>
    <w:rsid w:val="00FC2804"/>
    <w:rsid w:val="00FC456D"/>
    <w:rsid w:val="00FC63FF"/>
    <w:rsid w:val="00FC6592"/>
    <w:rsid w:val="00FD2B15"/>
    <w:rsid w:val="00FD3CE5"/>
    <w:rsid w:val="00FD5D74"/>
    <w:rsid w:val="00FE1F97"/>
    <w:rsid w:val="00FE598B"/>
    <w:rsid w:val="00FE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0D019"/>
  <w15:chartTrackingRefBased/>
  <w15:docId w15:val="{670B6840-96BB-1E49-B3C1-79C827D77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1EF"/>
    <w:pPr>
      <w:widowControl w:val="0"/>
      <w:spacing w:line="360" w:lineRule="auto"/>
      <w:ind w:firstLineChars="200" w:firstLine="200"/>
      <w:jc w:val="both"/>
    </w:pPr>
    <w:rPr>
      <w:rFonts w:ascii="Times New Roman" w:eastAsia="SimSun" w:hAnsi="Times New Roman" w:cs="Times New Roman (正文 CS 字体)"/>
      <w:sz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75BC6"/>
    <w:pPr>
      <w:keepNext/>
      <w:keepLines/>
      <w:spacing w:before="260" w:after="260" w:line="416" w:lineRule="auto"/>
      <w:outlineLvl w:val="1"/>
    </w:pPr>
    <w:rPr>
      <w:rFonts w:asciiTheme="majorHAnsi" w:eastAsia="SimSun-ExtB" w:hAnsiTheme="majorHAnsi" w:cstheme="majorBidi"/>
      <w:b/>
      <w:bCs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4E0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4E0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autoRedefine/>
    <w:uiPriority w:val="9"/>
    <w:qFormat/>
    <w:rsid w:val="00075BC6"/>
    <w:rPr>
      <w:rFonts w:asciiTheme="majorHAnsi" w:eastAsia="SimSun-ExtB" w:hAnsiTheme="majorHAnsi" w:cstheme="majorBidi"/>
      <w:b/>
      <w:bCs/>
      <w:sz w:val="24"/>
      <w:szCs w:val="32"/>
    </w:rPr>
  </w:style>
  <w:style w:type="paragraph" w:styleId="TOC2">
    <w:name w:val="toc 2"/>
    <w:aliases w:val="二级标题"/>
    <w:basedOn w:val="Normal"/>
    <w:next w:val="Normal"/>
    <w:autoRedefine/>
    <w:uiPriority w:val="39"/>
    <w:unhideWhenUsed/>
    <w:qFormat/>
    <w:rsid w:val="00075BC6"/>
    <w:pPr>
      <w:ind w:leftChars="200" w:left="420" w:firstLine="482"/>
    </w:pPr>
    <w:rPr>
      <w:rFonts w:cstheme="minorBidi"/>
      <w:b/>
      <w:szCs w:val="22"/>
    </w:rPr>
  </w:style>
  <w:style w:type="table" w:customStyle="1" w:styleId="a">
    <w:name w:val="三线表"/>
    <w:basedOn w:val="TableNormal"/>
    <w:uiPriority w:val="99"/>
    <w:rsid w:val="00DA4011"/>
    <w:rPr>
      <w:rFonts w:eastAsia="SimSun-ExtB"/>
      <w:kern w:val="0"/>
      <w:sz w:val="24"/>
      <w:szCs w:val="22"/>
    </w:rPr>
    <w:tblPr>
      <w:tblBorders>
        <w:top w:val="single" w:sz="8" w:space="0" w:color="auto"/>
        <w:bottom w:val="single" w:sz="8" w:space="0" w:color="auto"/>
      </w:tblBorders>
    </w:tblPr>
    <w:trPr>
      <w:tblHeader/>
    </w:trPr>
  </w:style>
  <w:style w:type="table" w:styleId="TableGrid">
    <w:name w:val="Table Grid"/>
    <w:basedOn w:val="TableNormal"/>
    <w:uiPriority w:val="39"/>
    <w:rsid w:val="00DA4011"/>
    <w:rPr>
      <w:rFonts w:eastAsia="SimSun-ExtB"/>
      <w:kern w:val="0"/>
      <w:sz w:val="24"/>
      <w:szCs w:val="22"/>
    </w:rPr>
    <w:tblPr>
      <w:tblBorders>
        <w:top w:val="single" w:sz="4" w:space="0" w:color="auto"/>
        <w:bottom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054E0A"/>
    <w:rPr>
      <w:rFonts w:ascii="Times New Roman" w:eastAsia="SimSun" w:hAnsi="Times New Roman" w:cs="Times New Roman (正文 CS 字体)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4E0A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086CAA"/>
    <w:rPr>
      <w:rFonts w:asciiTheme="majorHAnsi" w:eastAsia="SimHei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D05C92"/>
    <w:pPr>
      <w:ind w:firstLine="420"/>
    </w:pPr>
  </w:style>
  <w:style w:type="character" w:styleId="Hyperlink">
    <w:name w:val="Hyperlink"/>
    <w:basedOn w:val="DefaultParagraphFont"/>
    <w:uiPriority w:val="99"/>
    <w:unhideWhenUsed/>
    <w:qFormat/>
    <w:rsid w:val="009B40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403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E7C"/>
    <w:pPr>
      <w:spacing w:line="240" w:lineRule="auto"/>
    </w:pPr>
    <w:rPr>
      <w:rFonts w:ascii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E7C"/>
    <w:rPr>
      <w:rFonts w:ascii="SimSun" w:eastAsia="SimSun" w:hAnsi="Times New Roman" w:cs="Times New Roman (正文 CS 字体)"/>
      <w:sz w:val="18"/>
      <w:szCs w:val="18"/>
    </w:rPr>
  </w:style>
  <w:style w:type="paragraph" w:customStyle="1" w:styleId="1">
    <w:name w:val="书目1"/>
    <w:basedOn w:val="Normal"/>
    <w:link w:val="Bibliography"/>
    <w:rsid w:val="001C4A43"/>
    <w:pPr>
      <w:spacing w:line="480" w:lineRule="auto"/>
      <w:ind w:left="720" w:firstLineChars="0" w:hanging="720"/>
    </w:pPr>
    <w:rPr>
      <w:b/>
      <w:bCs/>
    </w:rPr>
  </w:style>
  <w:style w:type="character" w:customStyle="1" w:styleId="Bibliography">
    <w:name w:val="Bibliography 字符"/>
    <w:basedOn w:val="DefaultParagraphFont"/>
    <w:link w:val="1"/>
    <w:rsid w:val="001C4A43"/>
    <w:rPr>
      <w:rFonts w:ascii="Times New Roman" w:eastAsia="SimSun" w:hAnsi="Times New Roman" w:cs="Times New Roman (正文 CS 字体)"/>
      <w:b/>
      <w:bCs/>
      <w:sz w:val="24"/>
    </w:rPr>
  </w:style>
  <w:style w:type="paragraph" w:styleId="Revision">
    <w:name w:val="Revision"/>
    <w:hidden/>
    <w:uiPriority w:val="99"/>
    <w:semiHidden/>
    <w:rsid w:val="00653E41"/>
    <w:rPr>
      <w:rFonts w:ascii="Times New Roman" w:eastAsia="SimSun" w:hAnsi="Times New Roman" w:cs="Times New Roman (正文 CS 字体)"/>
      <w:sz w:val="24"/>
    </w:rPr>
  </w:style>
  <w:style w:type="character" w:styleId="Strong">
    <w:name w:val="Strong"/>
    <w:basedOn w:val="DefaultParagraphFont"/>
    <w:uiPriority w:val="22"/>
    <w:qFormat/>
    <w:rsid w:val="00207BD4"/>
    <w:rPr>
      <w:b/>
      <w:bCs/>
    </w:rPr>
  </w:style>
  <w:style w:type="character" w:customStyle="1" w:styleId="15">
    <w:name w:val="15"/>
    <w:basedOn w:val="DefaultParagraphFont"/>
    <w:rsid w:val="00B41E09"/>
    <w:rPr>
      <w:rFonts w:ascii="DengXian" w:eastAsia="DengXian" w:hAnsi="DengXian" w:hint="eastAsia"/>
      <w:color w:val="0563C1"/>
      <w:u w:val="single"/>
    </w:rPr>
  </w:style>
  <w:style w:type="paragraph" w:customStyle="1" w:styleId="2">
    <w:name w:val="书目2"/>
    <w:basedOn w:val="Normal"/>
    <w:link w:val="Bibliography1"/>
    <w:rsid w:val="005C1E04"/>
    <w:pPr>
      <w:tabs>
        <w:tab w:val="left" w:pos="380"/>
      </w:tabs>
      <w:autoSpaceDE w:val="0"/>
      <w:autoSpaceDN w:val="0"/>
      <w:adjustRightInd w:val="0"/>
      <w:spacing w:after="240" w:line="240" w:lineRule="auto"/>
      <w:ind w:left="384" w:hanging="384"/>
      <w:jc w:val="left"/>
    </w:pPr>
    <w:rPr>
      <w:rFonts w:cs="Times New Roman"/>
      <w:i/>
      <w:iCs/>
      <w:kern w:val="0"/>
    </w:rPr>
  </w:style>
  <w:style w:type="character" w:customStyle="1" w:styleId="Bibliography1">
    <w:name w:val="Bibliography 字符1"/>
    <w:basedOn w:val="DefaultParagraphFont"/>
    <w:link w:val="2"/>
    <w:rsid w:val="005C1E04"/>
    <w:rPr>
      <w:rFonts w:ascii="Times New Roman" w:eastAsia="SimSun" w:hAnsi="Times New Roman" w:cs="Times New Roman"/>
      <w:i/>
      <w:iCs/>
      <w:kern w:val="0"/>
      <w:sz w:val="24"/>
    </w:rPr>
  </w:style>
  <w:style w:type="paragraph" w:styleId="Footer">
    <w:name w:val="footer"/>
    <w:basedOn w:val="Normal"/>
    <w:link w:val="FooterChar"/>
    <w:uiPriority w:val="99"/>
    <w:unhideWhenUsed/>
    <w:rsid w:val="00196E3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96E31"/>
    <w:rPr>
      <w:rFonts w:ascii="Times New Roman" w:eastAsia="SimSun" w:hAnsi="Times New Roman" w:cs="Times New Roman (正文 CS 字体)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6E31"/>
  </w:style>
  <w:style w:type="paragraph" w:customStyle="1" w:styleId="3">
    <w:name w:val="书目3"/>
    <w:basedOn w:val="Normal"/>
    <w:link w:val="Bibliography2"/>
    <w:rsid w:val="00C5197C"/>
    <w:pPr>
      <w:autoSpaceDE w:val="0"/>
      <w:autoSpaceDN w:val="0"/>
      <w:adjustRightInd w:val="0"/>
      <w:spacing w:line="480" w:lineRule="auto"/>
      <w:ind w:left="720" w:hanging="720"/>
      <w:jc w:val="left"/>
    </w:pPr>
    <w:rPr>
      <w:sz w:val="20"/>
      <w:szCs w:val="20"/>
    </w:rPr>
  </w:style>
  <w:style w:type="character" w:customStyle="1" w:styleId="Bibliography2">
    <w:name w:val="Bibliography 字符2"/>
    <w:basedOn w:val="DefaultParagraphFont"/>
    <w:link w:val="3"/>
    <w:rsid w:val="00C5197C"/>
    <w:rPr>
      <w:rFonts w:ascii="Times New Roman" w:eastAsia="SimSun" w:hAnsi="Times New Roman" w:cs="Times New Roman (正文 CS 字体)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5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2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9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2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1282</Words>
  <Characters>7310</Characters>
  <Application>Microsoft Office Word</Application>
  <DocSecurity>0</DocSecurity>
  <Lines>60</Lines>
  <Paragraphs>17</Paragraphs>
  <ScaleCrop>false</ScaleCrop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mac9318</dc:creator>
  <cp:keywords/>
  <dc:description/>
  <cp:lastModifiedBy>Nilesh Nawale</cp:lastModifiedBy>
  <cp:revision>2</cp:revision>
  <cp:lastPrinted>2024-08-15T06:46:00Z</cp:lastPrinted>
  <dcterms:created xsi:type="dcterms:W3CDTF">2024-11-18T05:20:00Z</dcterms:created>
  <dcterms:modified xsi:type="dcterms:W3CDTF">2024-11-18T05:20:00Z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id="CLdndVgc"/&gt;&lt;style id="http://www.zotero.org/styles/apa" locale="en-GB"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