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6173C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Times New Roman" w:hAnsi="Times New Roman" w:cs="Times New Roman"/>
          <w:b/>
          <w:bCs/>
          <w:sz w:val="24"/>
          <w:szCs w:val="24"/>
        </w:rPr>
      </w:pPr>
      <w:bookmarkStart w:id="0" w:name="OLE_LINK177"/>
      <w:bookmarkStart w:id="1" w:name="OLE_LINK178"/>
      <w:r>
        <w:rPr>
          <w:rFonts w:ascii="Times New Roman" w:hAnsi="Times New Roman" w:cs="Times New Roman"/>
          <w:b/>
          <w:bCs/>
          <w:sz w:val="24"/>
          <w:szCs w:val="24"/>
        </w:rPr>
        <w:t>Supplementary Materials</w:t>
      </w:r>
    </w:p>
    <w:bookmarkEnd w:id="0"/>
    <w:bookmarkEnd w:id="1"/>
    <w:p w14:paraId="7F34B99A">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b/>
          <w:sz w:val="24"/>
          <w:szCs w:val="24"/>
        </w:rPr>
      </w:pPr>
      <w:bookmarkStart w:id="2" w:name="OLE_LINK176"/>
      <w:bookmarkStart w:id="3" w:name="OLE_LINK175"/>
      <w:r>
        <w:rPr>
          <w:rFonts w:ascii="Times New Roman" w:hAnsi="Times New Roman" w:cs="Times New Roman"/>
          <w:b/>
          <w:sz w:val="24"/>
          <w:szCs w:val="24"/>
        </w:rPr>
        <w:t xml:space="preserve">Materials and Methods </w:t>
      </w:r>
    </w:p>
    <w:bookmarkEnd w:id="2"/>
    <w:bookmarkEnd w:id="3"/>
    <w:p w14:paraId="4B1344E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Times New Roman" w:hAnsi="Times New Roman" w:cs="Times New Roman"/>
          <w:b/>
          <w:bCs/>
          <w:color w:val="211E1E"/>
          <w:sz w:val="24"/>
          <w:szCs w:val="24"/>
        </w:rPr>
      </w:pPr>
      <w:r>
        <w:rPr>
          <w:rFonts w:ascii="Times New Roman" w:hAnsi="Times New Roman" w:cs="Times New Roman"/>
          <w:b/>
          <w:bCs/>
          <w:color w:val="211E1E"/>
          <w:sz w:val="24"/>
          <w:szCs w:val="24"/>
        </w:rPr>
        <w:t>Immunohistochemistry assays</w:t>
      </w:r>
    </w:p>
    <w:p w14:paraId="30ADA4B4">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r>
        <w:rPr>
          <w:rFonts w:ascii="Times New Roman" w:hAnsi="Times New Roman" w:eastAsia="宋体" w:cs="Times New Roman"/>
          <w:sz w:val="24"/>
          <w:szCs w:val="24"/>
        </w:rPr>
        <w:t>First, bake the paraffin sections at 62°C for 1 hour. Next, proceed with the dewaxing of the sections: immerse the tissue in xylene for 20 minutes, repeating this process three times. Afterward, perform hydration of the sections. To block endogenous peroxidase activity, add one drop or 100 μL of hydrogen peroxide blocking solution to each section, incubating at room temperature for 10 minutes. Then, wash the sections with PBS buffer. Next, perform heat-induced antigen retrieval. Place the sections on a plastic rack and immerse them in pre-boiled 1 mmol/L Tris-EDTA (pH 9.0) antigen retrieval solution. Maintain boiling for 15 minutes, then keep warm for an additional 15 minutes. Allow the sections to cool naturally after turning off the heat. Once cooled, wash the sections three times with PBS, 5 minutes per wash. To block nonspecific binding, add one drop or 100 μL of 5% BSA</w:t>
      </w:r>
      <w:r>
        <w:rPr>
          <w:rFonts w:ascii="Times New Roman" w:hAnsi="Times New Roman" w:eastAsia="宋体" w:cs="Times New Roman"/>
          <w:color w:val="000000"/>
          <w:sz w:val="24"/>
          <w:szCs w:val="24"/>
        </w:rPr>
        <w:t xml:space="preserve"> </w:t>
      </w:r>
      <w:r>
        <w:rPr>
          <w:rFonts w:ascii="Times New Roman" w:hAnsi="Times New Roman" w:eastAsia="宋体" w:cs="Times New Roman"/>
          <w:sz w:val="24"/>
          <w:szCs w:val="24"/>
        </w:rPr>
        <w:t>(bovine serum albumin) blocking solution to each section and incubate at room temperature for 20 minutes. After blocking, remove the solution and add one drop or 50 μL of the diluted primary antibody solution. Depending on the experimental purpose, the primary antibody can be diluted 1:100 for LPS (lipopolysaccharides, LPS, HM6011-20UG) or LTA (lipoteichoic acid, LTA, HM2048-200UG), and incubate overnight at 4°C. The next day, remove the humidity chamber and allow the sections to equilibrate at room temperature for 1 hour or incubate at 37°C for 30 minutes. Then, wash the sections three times with PBS, 5 minutes per wash. After removing the PBS, add one drop or 50 μL of the labeled secondary antibody to each section, and incubate at 37°C for 30 minutes. Wash the sections again with PBS three times, 5 minutes each. During the staining process, first, wash the sections with tap water to remove any residual DAB solution. Then, counterstain with hematoxylin for 30 seconds. After counterstaining, wash with tap water for 5 minutes. Proceed with differentiation using hydrochloric acid alcohol for 1 second, and then wash with tap water to restore the blue color for 10 minutes. Finally, dehydrate the sections. Under the microscope, positive expression appears as yellow or brown granules, while nuclei are stained blue. In the negative control, nuclei should appear blue without any yellow or brown granules.</w:t>
      </w:r>
    </w:p>
    <w:p w14:paraId="4FC95020">
      <w:pPr>
        <w:jc w:val="left"/>
        <w:rPr>
          <w:rFonts w:ascii="Times New Roman" w:hAnsi="Times New Roman" w:cs="Times New Roman"/>
          <w:b/>
          <w:bCs/>
          <w:color w:val="211E1E"/>
          <w:szCs w:val="21"/>
        </w:rPr>
      </w:pPr>
    </w:p>
    <w:p w14:paraId="399164C1">
      <w:pPr>
        <w:jc w:val="left"/>
        <w:rPr>
          <w:rFonts w:ascii="Times New Roman" w:hAnsi="Times New Roman" w:cs="Times New Roman"/>
          <w:b/>
          <w:bCs/>
          <w:color w:val="211E1E"/>
          <w:sz w:val="24"/>
          <w:szCs w:val="24"/>
        </w:rPr>
      </w:pPr>
      <w:r>
        <w:rPr>
          <w:rFonts w:ascii="Times New Roman" w:hAnsi="Times New Roman" w:cs="Times New Roman"/>
          <w:b/>
          <w:bCs/>
          <w:color w:val="211E1E"/>
          <w:sz w:val="24"/>
          <w:szCs w:val="24"/>
        </w:rPr>
        <w:t>Evaluation methods of stricture grade and stricture score.</w:t>
      </w:r>
    </w:p>
    <w:p w14:paraId="4482D894">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szCs w:val="24"/>
        </w:rPr>
      </w:pPr>
      <w:r>
        <w:rPr>
          <w:rFonts w:ascii="Times New Roman" w:hAnsi="Times New Roman" w:eastAsia="宋体" w:cs="Times New Roman"/>
          <w:sz w:val="24"/>
          <w:szCs w:val="24"/>
        </w:rPr>
        <w:t xml:space="preserve">MGLSc-US (Male genital lichen sclerosis urethral stricture) patients are classified into three grades based on urethral stricture length: Grade 1 for strictures ≤2 cm, Grade 2 for strictures &gt;2 cm </w:t>
      </w:r>
      <w:r>
        <w:rPr>
          <w:rFonts w:hint="eastAsia" w:ascii="Times New Roman" w:hAnsi="Times New Roman" w:eastAsia="宋体" w:cs="Times New Roman"/>
          <w:sz w:val="24"/>
          <w:szCs w:val="24"/>
        </w:rPr>
        <w:t>and</w:t>
      </w:r>
      <w:r>
        <w:rPr>
          <w:rFonts w:ascii="Times New Roman" w:hAnsi="Times New Roman" w:eastAsia="宋体" w:cs="Times New Roman"/>
          <w:sz w:val="24"/>
          <w:szCs w:val="24"/>
        </w:rPr>
        <w:t xml:space="preserve"> ≤7 cm, and Grade 3 for strictures &gt;7 cm. Additionally, a scoring system is used to evaluate the severity of the stricture, considering three factors: length, segment, and etiology. For length, strictures ≤2 cm receive 1 point, those &gt;2 cm and ≤7 cm receive 2 points, and strictures &gt;7 cm are assigned 3 points. The segment of involvement is scored as follows: bulbar urethral without distal bulbar involvement receives 1 point, penile urethral with or without meatal and/or fossa navicularis involvement receives 2 points, bulbar urethral with distal bulbar involvement is given 3 points, and panurethral involvement (bulbar and penile urethral segments without meatal or fossa navicularis involvement) </w:t>
      </w:r>
      <w:r>
        <w:rPr>
          <w:rFonts w:hint="eastAsia" w:ascii="Times New Roman" w:hAnsi="Times New Roman" w:eastAsia="宋体" w:cs="Times New Roman"/>
          <w:sz w:val="24"/>
          <w:szCs w:val="24"/>
        </w:rPr>
        <w:t>receives</w:t>
      </w:r>
      <w:r>
        <w:rPr>
          <w:rFonts w:ascii="Times New Roman" w:hAnsi="Times New Roman" w:eastAsia="宋体" w:cs="Times New Roman"/>
          <w:sz w:val="24"/>
          <w:szCs w:val="24"/>
        </w:rPr>
        <w:t xml:space="preserve"> 4 points. Lastly, the etiology is evaluated, with external traumatic causes receiving 1 point, idiopathic/unknown causes, internal iatrogenic trauma, recurrent strictures after prior urethroplasty, infections/inflammation, or hypospadias receiv</w:t>
      </w:r>
      <w:r>
        <w:rPr>
          <w:rFonts w:hint="eastAsia" w:ascii="Times New Roman" w:hAnsi="Times New Roman" w:eastAsia="宋体" w:cs="Times New Roman"/>
          <w:sz w:val="24"/>
          <w:szCs w:val="24"/>
        </w:rPr>
        <w:t>e</w:t>
      </w:r>
      <w:r>
        <w:rPr>
          <w:rFonts w:ascii="Times New Roman" w:hAnsi="Times New Roman" w:eastAsia="宋体" w:cs="Times New Roman"/>
          <w:sz w:val="24"/>
          <w:szCs w:val="24"/>
        </w:rPr>
        <w:t xml:space="preserve"> 2 points, and radiation or lichen sclerosis receiving 3 points.</w:t>
      </w:r>
    </w:p>
    <w:p w14:paraId="1E313D0E">
      <w:pPr>
        <w:widowControl/>
        <w:jc w:val="left"/>
        <w:rPr>
          <w:rFonts w:ascii="Times New Roman" w:hAnsi="Times New Roman" w:cs="Times New Roman"/>
          <w:b/>
          <w:bCs/>
        </w:rPr>
      </w:pPr>
      <w:r>
        <w:rPr>
          <w:rFonts w:ascii="Times New Roman" w:hAnsi="Times New Roman" w:cs="Times New Roman"/>
          <w:b/>
          <w:bCs/>
        </w:rPr>
        <w:br w:type="page"/>
      </w:r>
    </w:p>
    <w:p w14:paraId="379BB6C5">
      <w:pPr>
        <w:keepNext w:val="0"/>
        <w:keepLines w:val="0"/>
        <w:pageBreakBefore w:val="0"/>
        <w:kinsoku/>
        <w:wordWrap/>
        <w:overflowPunct/>
        <w:topLinePunct w:val="0"/>
        <w:autoSpaceDE/>
        <w:autoSpaceDN/>
        <w:bidi w:val="0"/>
        <w:adjustRightInd/>
        <w:snapToGrid/>
        <w:spacing w:line="360" w:lineRule="auto"/>
        <w:textAlignment w:val="auto"/>
        <w:rPr>
          <w:rFonts w:ascii="Times New Roman" w:hAnsi="Times New Roman" w:cs="Times New Roman"/>
          <w:b/>
          <w:bCs/>
          <w:sz w:val="24"/>
          <w:szCs w:val="24"/>
        </w:rPr>
      </w:pPr>
      <w:r>
        <w:rPr>
          <w:rFonts w:ascii="Times New Roman" w:hAnsi="Times New Roman" w:cs="Times New Roman"/>
          <w:b/>
          <w:bCs/>
          <w:sz w:val="24"/>
          <w:szCs w:val="24"/>
        </w:rPr>
        <w:t>Supplementary Figures</w:t>
      </w:r>
    </w:p>
    <w:p w14:paraId="11CC78E1">
      <w:pPr>
        <w:keepNext w:val="0"/>
        <w:keepLines w:val="0"/>
        <w:pageBreakBefore w:val="0"/>
        <w:kinsoku/>
        <w:wordWrap/>
        <w:overflowPunct/>
        <w:topLinePunct w:val="0"/>
        <w:autoSpaceDE/>
        <w:autoSpaceDN/>
        <w:bidi w:val="0"/>
        <w:adjustRightInd/>
        <w:snapToGrid/>
        <w:spacing w:line="360" w:lineRule="auto"/>
        <w:textAlignment w:val="auto"/>
        <w:rPr>
          <w:rFonts w:hint="eastAsia" w:ascii="Times New Roman" w:hAnsi="Times New Roman" w:cs="Times New Roman" w:eastAsiaTheme="minorEastAsia"/>
          <w:b/>
          <w:bCs/>
          <w:sz w:val="24"/>
          <w:szCs w:val="24"/>
          <w:lang w:eastAsia="zh-CN"/>
        </w:rPr>
      </w:pPr>
      <w:r>
        <w:rPr>
          <w:rFonts w:hint="eastAsia" w:ascii="Times New Roman" w:hAnsi="Times New Roman" w:cs="Times New Roman" w:eastAsiaTheme="minorEastAsia"/>
          <w:b/>
          <w:bCs/>
          <w:sz w:val="24"/>
          <w:szCs w:val="24"/>
          <w:lang w:eastAsia="zh-CN"/>
        </w:rPr>
        <w:drawing>
          <wp:inline distT="0" distB="0" distL="114300" distR="114300">
            <wp:extent cx="5270500" cy="5953760"/>
            <wp:effectExtent l="0" t="0" r="2540" b="5080"/>
            <wp:docPr id="1" name="图片 1" descr="Figure-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S1"/>
                    <pic:cNvPicPr>
                      <a:picLocks noChangeAspect="1"/>
                    </pic:cNvPicPr>
                  </pic:nvPicPr>
                  <pic:blipFill>
                    <a:blip r:embed="rId4"/>
                    <a:stretch>
                      <a:fillRect/>
                    </a:stretch>
                  </pic:blipFill>
                  <pic:spPr>
                    <a:xfrm>
                      <a:off x="0" y="0"/>
                      <a:ext cx="5270500" cy="5953760"/>
                    </a:xfrm>
                    <a:prstGeom prst="rect">
                      <a:avLst/>
                    </a:prstGeom>
                  </pic:spPr>
                </pic:pic>
              </a:graphicData>
            </a:graphic>
          </wp:inline>
        </w:drawing>
      </w:r>
    </w:p>
    <w:p w14:paraId="28314175">
      <w:pPr>
        <w:keepNext w:val="0"/>
        <w:keepLines w:val="0"/>
        <w:pageBreakBefore w:val="0"/>
        <w:widowControl/>
        <w:kinsoku/>
        <w:wordWrap/>
        <w:overflowPunct/>
        <w:topLinePunct w:val="0"/>
        <w:autoSpaceDE/>
        <w:autoSpaceDN/>
        <w:bidi w:val="0"/>
        <w:adjustRightInd/>
        <w:snapToGrid/>
        <w:spacing w:line="360" w:lineRule="auto"/>
        <w:textAlignment w:val="auto"/>
        <w:rPr>
          <w:rFonts w:ascii="Times New Roman" w:hAnsi="Times New Roman" w:eastAsia="等线"/>
          <w:b/>
          <w:bCs/>
          <w:sz w:val="24"/>
          <w:szCs w:val="24"/>
        </w:rPr>
      </w:pPr>
      <w:r>
        <w:rPr>
          <w:rFonts w:ascii="Times New Roman" w:hAnsi="Times New Roman" w:eastAsia="等线"/>
          <w:b/>
          <w:bCs/>
          <w:sz w:val="24"/>
          <w:szCs w:val="24"/>
        </w:rPr>
        <w:t xml:space="preserve">Fig. S1. </w:t>
      </w:r>
      <w:bookmarkStart w:id="4" w:name="OLE_LINK141"/>
      <w:bookmarkStart w:id="5" w:name="OLE_LINK140"/>
      <w:r>
        <w:rPr>
          <w:rFonts w:ascii="Times New Roman" w:hAnsi="Times New Roman" w:eastAsia="等线"/>
          <w:b/>
          <w:bCs/>
          <w:sz w:val="24"/>
          <w:szCs w:val="24"/>
        </w:rPr>
        <w:t>(A)</w:t>
      </w:r>
      <w:r>
        <w:rPr>
          <w:rFonts w:hint="eastAsia" w:ascii="-webkit-standard" w:hAnsi="-webkit-standard"/>
          <w:color w:val="000000"/>
          <w:sz w:val="24"/>
          <w:szCs w:val="24"/>
        </w:rPr>
        <w:t xml:space="preserve"> </w:t>
      </w:r>
      <w:r>
        <w:rPr>
          <w:rFonts w:ascii="Times New Roman" w:hAnsi="Times New Roman" w:eastAsia="等线"/>
          <w:sz w:val="24"/>
          <w:szCs w:val="24"/>
        </w:rPr>
        <w:t>Microbial species abundance bar chart in the prepuce of the MGLSc Group</w:t>
      </w:r>
      <w:r>
        <w:rPr>
          <w:rFonts w:ascii="Times New Roman" w:hAnsi="Times New Roman" w:eastAsia="等线"/>
          <w:b/>
          <w:bCs/>
          <w:sz w:val="24"/>
          <w:szCs w:val="24"/>
        </w:rPr>
        <w:t xml:space="preserve">. (B) </w:t>
      </w:r>
      <w:r>
        <w:rPr>
          <w:rFonts w:ascii="Times New Roman" w:hAnsi="Times New Roman" w:eastAsia="等线"/>
          <w:sz w:val="24"/>
          <w:szCs w:val="24"/>
        </w:rPr>
        <w:t>Microbial abundance bar chart in the prepuce of the control group</w:t>
      </w:r>
      <w:r>
        <w:rPr>
          <w:rFonts w:ascii="Times New Roman" w:hAnsi="Times New Roman" w:eastAsia="等线"/>
          <w:b/>
          <w:bCs/>
          <w:sz w:val="24"/>
          <w:szCs w:val="24"/>
        </w:rPr>
        <w:t>.</w:t>
      </w:r>
      <w:bookmarkEnd w:id="4"/>
      <w:bookmarkEnd w:id="5"/>
      <w:r>
        <w:rPr>
          <w:rFonts w:ascii="Times New Roman" w:hAnsi="Times New Roman" w:eastAsia="等线"/>
          <w:b/>
          <w:bCs/>
          <w:sz w:val="24"/>
          <w:szCs w:val="24"/>
        </w:rPr>
        <w:t xml:space="preserve"> </w:t>
      </w:r>
    </w:p>
    <w:p w14:paraId="5FC96FD0">
      <w:pPr>
        <w:rPr>
          <w:rFonts w:hint="eastAsia" w:ascii="Times New Roman" w:hAnsi="Times New Roman" w:eastAsia="等线"/>
          <w:b/>
          <w:bCs/>
          <w:sz w:val="24"/>
          <w:szCs w:val="24"/>
        </w:rPr>
      </w:pPr>
      <w:r>
        <w:rPr>
          <w:rFonts w:hint="eastAsia" w:ascii="Times New Roman" w:hAnsi="Times New Roman" w:eastAsia="等线"/>
          <w:b/>
          <w:bCs/>
          <w:sz w:val="24"/>
          <w:szCs w:val="24"/>
        </w:rPr>
        <w:br w:type="page"/>
      </w:r>
    </w:p>
    <w:p w14:paraId="3F6249D0">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Times New Roman" w:hAnsi="Times New Roman" w:eastAsia="等线"/>
          <w:b/>
          <w:bCs/>
          <w:sz w:val="24"/>
          <w:szCs w:val="24"/>
          <w:lang w:eastAsia="zh-CN"/>
        </w:rPr>
      </w:pPr>
      <w:r>
        <w:rPr>
          <w:rFonts w:hint="eastAsia" w:ascii="Times New Roman" w:hAnsi="Times New Roman" w:eastAsia="等线"/>
          <w:b/>
          <w:bCs/>
          <w:sz w:val="24"/>
          <w:szCs w:val="24"/>
          <w:lang w:eastAsia="zh-CN"/>
        </w:rPr>
        <w:drawing>
          <wp:inline distT="0" distB="0" distL="114300" distR="114300">
            <wp:extent cx="5266690" cy="5843270"/>
            <wp:effectExtent l="0" t="0" r="6350" b="8890"/>
            <wp:docPr id="2" name="图片 2" descr="Figure-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S2"/>
                    <pic:cNvPicPr>
                      <a:picLocks noChangeAspect="1"/>
                    </pic:cNvPicPr>
                  </pic:nvPicPr>
                  <pic:blipFill>
                    <a:blip r:embed="rId5"/>
                    <a:stretch>
                      <a:fillRect/>
                    </a:stretch>
                  </pic:blipFill>
                  <pic:spPr>
                    <a:xfrm>
                      <a:off x="0" y="0"/>
                      <a:ext cx="5266690" cy="5843270"/>
                    </a:xfrm>
                    <a:prstGeom prst="rect">
                      <a:avLst/>
                    </a:prstGeom>
                  </pic:spPr>
                </pic:pic>
              </a:graphicData>
            </a:graphic>
          </wp:inline>
        </w:drawing>
      </w:r>
    </w:p>
    <w:p w14:paraId="6645EEF7">
      <w:pPr>
        <w:keepNext w:val="0"/>
        <w:keepLines w:val="0"/>
        <w:pageBreakBefore w:val="0"/>
        <w:widowControl/>
        <w:kinsoku/>
        <w:wordWrap/>
        <w:overflowPunct/>
        <w:topLinePunct w:val="0"/>
        <w:autoSpaceDE/>
        <w:autoSpaceDN/>
        <w:bidi w:val="0"/>
        <w:adjustRightInd/>
        <w:snapToGrid/>
        <w:spacing w:line="360" w:lineRule="auto"/>
        <w:textAlignment w:val="auto"/>
        <w:rPr>
          <w:rFonts w:ascii="Times New Roman" w:hAnsi="Times New Roman" w:eastAsia="等线"/>
          <w:b/>
          <w:bCs/>
          <w:sz w:val="24"/>
          <w:szCs w:val="24"/>
        </w:rPr>
      </w:pPr>
      <w:r>
        <w:rPr>
          <w:rFonts w:ascii="Times New Roman" w:hAnsi="Times New Roman" w:eastAsia="等线"/>
          <w:b/>
          <w:bCs/>
          <w:sz w:val="24"/>
          <w:szCs w:val="24"/>
        </w:rPr>
        <w:t>Fig. S2.</w:t>
      </w:r>
      <w:r>
        <w:rPr>
          <w:rFonts w:ascii="Times New Roman" w:hAnsi="Times New Roman" w:eastAsia="等线"/>
          <w:sz w:val="24"/>
          <w:szCs w:val="24"/>
        </w:rPr>
        <w:t xml:space="preserve"> LDA scores of differential microbes between the MGLSc group and the control group.</w:t>
      </w:r>
      <w:r>
        <w:rPr>
          <w:rFonts w:ascii="Times New Roman" w:hAnsi="Times New Roman" w:eastAsia="等线"/>
          <w:b/>
          <w:bCs/>
          <w:sz w:val="24"/>
          <w:szCs w:val="24"/>
        </w:rPr>
        <w:t xml:space="preserve"> </w:t>
      </w:r>
    </w:p>
    <w:p w14:paraId="4E7F14C3">
      <w:pPr>
        <w:rPr>
          <w:rFonts w:ascii="Times New Roman" w:hAnsi="Times New Roman" w:eastAsia="等线"/>
          <w:b/>
          <w:bCs/>
          <w:sz w:val="24"/>
          <w:szCs w:val="24"/>
        </w:rPr>
      </w:pPr>
      <w:r>
        <w:rPr>
          <w:rFonts w:ascii="Times New Roman" w:hAnsi="Times New Roman" w:eastAsia="等线"/>
          <w:b/>
          <w:bCs/>
          <w:sz w:val="24"/>
          <w:szCs w:val="24"/>
        </w:rPr>
        <w:br w:type="page"/>
      </w:r>
    </w:p>
    <w:p w14:paraId="5FFC4492">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Times New Roman" w:hAnsi="Times New Roman" w:eastAsia="等线"/>
          <w:b/>
          <w:bCs/>
          <w:sz w:val="24"/>
          <w:szCs w:val="24"/>
          <w:lang w:eastAsia="zh-CN"/>
        </w:rPr>
      </w:pPr>
      <w:r>
        <w:rPr>
          <w:rFonts w:hint="eastAsia" w:ascii="Times New Roman" w:hAnsi="Times New Roman" w:eastAsia="等线"/>
          <w:b/>
          <w:bCs/>
          <w:sz w:val="24"/>
          <w:szCs w:val="24"/>
          <w:lang w:eastAsia="zh-CN"/>
        </w:rPr>
        <w:drawing>
          <wp:inline distT="0" distB="0" distL="114300" distR="114300">
            <wp:extent cx="5269230" cy="3811270"/>
            <wp:effectExtent l="0" t="0" r="3810" b="13970"/>
            <wp:docPr id="4" name="图片 4" descr="Fig.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S2"/>
                    <pic:cNvPicPr>
                      <a:picLocks noChangeAspect="1"/>
                    </pic:cNvPicPr>
                  </pic:nvPicPr>
                  <pic:blipFill>
                    <a:blip r:embed="rId6"/>
                    <a:stretch>
                      <a:fillRect/>
                    </a:stretch>
                  </pic:blipFill>
                  <pic:spPr>
                    <a:xfrm>
                      <a:off x="0" y="0"/>
                      <a:ext cx="5269230" cy="3811270"/>
                    </a:xfrm>
                    <a:prstGeom prst="rect">
                      <a:avLst/>
                    </a:prstGeom>
                  </pic:spPr>
                </pic:pic>
              </a:graphicData>
            </a:graphic>
          </wp:inline>
        </w:drawing>
      </w:r>
    </w:p>
    <w:p w14:paraId="2E15A359">
      <w:pPr>
        <w:keepNext w:val="0"/>
        <w:keepLines w:val="0"/>
        <w:pageBreakBefore w:val="0"/>
        <w:widowControl/>
        <w:kinsoku/>
        <w:wordWrap/>
        <w:overflowPunct/>
        <w:topLinePunct w:val="0"/>
        <w:autoSpaceDE/>
        <w:autoSpaceDN/>
        <w:bidi w:val="0"/>
        <w:adjustRightInd/>
        <w:snapToGrid/>
        <w:spacing w:line="360" w:lineRule="auto"/>
        <w:textAlignment w:val="auto"/>
        <w:rPr>
          <w:rFonts w:ascii="Times New Roman" w:hAnsi="Times New Roman" w:eastAsia="等线"/>
          <w:sz w:val="24"/>
          <w:szCs w:val="24"/>
        </w:rPr>
      </w:pPr>
      <w:r>
        <w:rPr>
          <w:rFonts w:ascii="Times New Roman" w:hAnsi="Times New Roman" w:eastAsia="等线"/>
          <w:b/>
          <w:bCs/>
          <w:sz w:val="24"/>
          <w:szCs w:val="24"/>
        </w:rPr>
        <w:t xml:space="preserve">Fig. S3. </w:t>
      </w:r>
      <w:bookmarkStart w:id="6" w:name="OLE_LINK143"/>
      <w:bookmarkStart w:id="7" w:name="OLE_LINK142"/>
      <w:r>
        <w:rPr>
          <w:rFonts w:ascii="Times New Roman" w:hAnsi="Times New Roman" w:eastAsia="等线"/>
          <w:sz w:val="24"/>
          <w:szCs w:val="24"/>
        </w:rPr>
        <w:t>Volcano plot of up-regulated and down-regulated DEGs.</w:t>
      </w:r>
      <w:bookmarkEnd w:id="6"/>
      <w:bookmarkEnd w:id="7"/>
      <w:r>
        <w:rPr>
          <w:rFonts w:ascii="Times New Roman" w:hAnsi="Times New Roman" w:eastAsia="等线"/>
          <w:sz w:val="24"/>
          <w:szCs w:val="24"/>
        </w:rPr>
        <w:t xml:space="preserve"> </w:t>
      </w:r>
    </w:p>
    <w:p w14:paraId="73409132">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Times New Roman" w:hAnsi="Times New Roman" w:eastAsia="等线"/>
          <w:sz w:val="24"/>
          <w:szCs w:val="24"/>
          <w:lang w:eastAsia="zh-CN"/>
        </w:rPr>
      </w:pPr>
      <w:r>
        <w:rPr>
          <w:rFonts w:hint="eastAsia" w:ascii="Times New Roman" w:hAnsi="Times New Roman" w:eastAsia="等线"/>
          <w:sz w:val="24"/>
          <w:szCs w:val="24"/>
          <w:lang w:eastAsia="zh-CN"/>
        </w:rPr>
        <w:drawing>
          <wp:inline distT="0" distB="0" distL="114300" distR="114300">
            <wp:extent cx="5266690" cy="4895850"/>
            <wp:effectExtent l="0" t="0" r="6350" b="11430"/>
            <wp:docPr id="6" name="图片 6" descr="Figure-S4_画板 1(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S4_画板 1(1)_00"/>
                    <pic:cNvPicPr>
                      <a:picLocks noChangeAspect="1"/>
                    </pic:cNvPicPr>
                  </pic:nvPicPr>
                  <pic:blipFill>
                    <a:blip r:embed="rId7"/>
                    <a:stretch>
                      <a:fillRect/>
                    </a:stretch>
                  </pic:blipFill>
                  <pic:spPr>
                    <a:xfrm>
                      <a:off x="0" y="0"/>
                      <a:ext cx="5266690" cy="4895850"/>
                    </a:xfrm>
                    <a:prstGeom prst="rect">
                      <a:avLst/>
                    </a:prstGeom>
                  </pic:spPr>
                </pic:pic>
              </a:graphicData>
            </a:graphic>
          </wp:inline>
        </w:drawing>
      </w:r>
    </w:p>
    <w:p w14:paraId="6DE16236">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Times New Roman" w:hAnsi="Times New Roman" w:eastAsiaTheme="minorEastAsia"/>
          <w:b/>
          <w:bCs/>
          <w:sz w:val="24"/>
          <w:szCs w:val="24"/>
          <w:lang w:val="en-US" w:eastAsia="zh-CN"/>
        </w:rPr>
      </w:pPr>
      <w:r>
        <w:rPr>
          <w:rFonts w:ascii="Times New Roman" w:hAnsi="Times New Roman" w:eastAsia="等线"/>
          <w:b/>
          <w:bCs/>
          <w:sz w:val="24"/>
          <w:szCs w:val="24"/>
        </w:rPr>
        <w:t>Fig. S4.</w:t>
      </w:r>
      <w:r>
        <w:rPr>
          <w:rFonts w:ascii="Times New Roman" w:hAnsi="Times New Roman" w:eastAsia="等线"/>
          <w:sz w:val="24"/>
          <w:szCs w:val="24"/>
        </w:rPr>
        <w:t xml:space="preserve"> </w:t>
      </w:r>
      <w:bookmarkStart w:id="8" w:name="OLE_LINK144"/>
      <w:bookmarkStart w:id="9" w:name="OLE_LINK145"/>
      <w:r>
        <w:rPr>
          <w:rFonts w:ascii="Times New Roman" w:hAnsi="Times New Roman" w:eastAsia="等线"/>
          <w:sz w:val="24"/>
          <w:szCs w:val="24"/>
        </w:rPr>
        <w:t>Differential expression of MMP family genes in the MGLSc and Control Cohorts.</w:t>
      </w:r>
      <w:bookmarkEnd w:id="8"/>
      <w:bookmarkEnd w:id="9"/>
      <w:r>
        <w:rPr>
          <w:rFonts w:hint="eastAsia" w:ascii="Times New Roman" w:hAnsi="Times New Roman" w:eastAsia="等线"/>
          <w:sz w:val="24"/>
          <w:szCs w:val="24"/>
          <w:lang w:val="en-US" w:eastAsia="zh-CN"/>
        </w:rPr>
        <w:t xml:space="preserve"> </w:t>
      </w:r>
      <w:r>
        <w:rPr>
          <w:rFonts w:ascii="Times New Roman" w:hAnsi="Times New Roman" w:cs="Times New Roman"/>
          <w:color w:val="000000"/>
          <w:sz w:val="24"/>
          <w:szCs w:val="24"/>
          <w:u w:val="none"/>
        </w:rPr>
        <w:t>The bars in the bar chart represent the mean of the data, and the error bars above or below the bars are based on the SEM (Standard Error of the Mean, SEM).  * p &lt; 0.05, ** p &lt; 0.01</w:t>
      </w:r>
      <w:r>
        <w:rPr>
          <w:rFonts w:hint="eastAsia" w:ascii="Times New Roman" w:hAnsi="Times New Roman" w:cs="Times New Roman"/>
          <w:color w:val="000000"/>
          <w:sz w:val="24"/>
          <w:szCs w:val="24"/>
          <w:u w:val="none"/>
          <w:lang w:val="en-US" w:eastAsia="zh-CN"/>
        </w:rPr>
        <w:t>.</w:t>
      </w:r>
      <w:bookmarkStart w:id="10" w:name="_GoBack"/>
      <w:bookmarkEnd w:id="1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webkit-standard">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0OTdkNTY1MDlhZWZkZGZiOWRlN2E0YTU3ZjZhYjQifQ=="/>
  </w:docVars>
  <w:rsids>
    <w:rsidRoot w:val="00000000"/>
    <w:rsid w:val="0B163B5B"/>
    <w:rsid w:val="1A1C5F70"/>
    <w:rsid w:val="59051C8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Words>632</Words>
  <Characters>3452</Characters>
  <TotalTime>0</TotalTime>
  <ScaleCrop>false</ScaleCrop>
  <LinksUpToDate>false</LinksUpToDate>
  <CharactersWithSpaces>4077</CharactersWithSpaces>
  <Application>WPS Office_12.1.0.18276_F1E327BC-269C-435d-A152-05C5408002CA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2024-10-10T02:12:00Z</dcterms:created>
  <dc:creator>67069</dc:creator>
  <cp:lastModifiedBy>Xiu</cp:lastModifiedBy>
  <dcterms:modified xsi:type="dcterms:W3CDTF">2024-10-13T10:15:35Z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0EC284B704B64795B46D4945D55B91CD_13</vt:lpwstr>
  </property>
</Properties>
</file>