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079A" w14:textId="38C9CB44" w:rsidR="00E70610" w:rsidRPr="00D14776" w:rsidRDefault="00320619" w:rsidP="00E70610">
      <w:pPr>
        <w:jc w:val="center"/>
        <w:rPr>
          <w:rFonts w:ascii="Times New Roman" w:hAnsi="Times New Roman" w:cs="Times New Roman"/>
          <w:b/>
          <w:bCs/>
          <w:sz w:val="44"/>
          <w:szCs w:val="40"/>
        </w:rPr>
      </w:pPr>
      <w:r w:rsidRPr="00D14776">
        <w:rPr>
          <w:rFonts w:ascii="Times New Roman" w:hAnsi="Times New Roman" w:cs="Times New Roman"/>
          <w:b/>
          <w:bCs/>
          <w:sz w:val="44"/>
          <w:szCs w:val="40"/>
        </w:rPr>
        <w:t>Supplementary material</w:t>
      </w:r>
    </w:p>
    <w:p w14:paraId="32C9CBC4" w14:textId="77777777" w:rsidR="00D14776" w:rsidRDefault="00D14776" w:rsidP="00D14776">
      <w:pPr>
        <w:rPr>
          <w:rFonts w:ascii="Times New Roman" w:hAnsi="Times New Roman" w:cs="Times New Roman"/>
          <w:b/>
          <w:bCs/>
          <w:sz w:val="40"/>
          <w:szCs w:val="36"/>
        </w:rPr>
      </w:pPr>
    </w:p>
    <w:p w14:paraId="12A67724" w14:textId="6EF0F427" w:rsidR="00D14776" w:rsidRPr="00D14776" w:rsidRDefault="00D14776" w:rsidP="00D14776">
      <w:pPr>
        <w:pStyle w:val="ab"/>
        <w:numPr>
          <w:ilvl w:val="0"/>
          <w:numId w:val="12"/>
        </w:numPr>
        <w:ind w:firstLineChars="0"/>
        <w:rPr>
          <w:rFonts w:ascii="Times New Roman" w:hAnsi="Times New Roman" w:cs="Times New Roman"/>
          <w:b/>
          <w:bCs/>
          <w:sz w:val="40"/>
          <w:szCs w:val="36"/>
        </w:rPr>
      </w:pPr>
      <w:r w:rsidRPr="00D14776">
        <w:rPr>
          <w:rFonts w:ascii="Times New Roman" w:hAnsi="Times New Roman" w:cs="Times New Roman"/>
          <w:b/>
          <w:bCs/>
          <w:sz w:val="40"/>
          <w:szCs w:val="36"/>
        </w:rPr>
        <w:t>Supplementary-Method</w:t>
      </w:r>
    </w:p>
    <w:p w14:paraId="0B0052C4" w14:textId="00E4BC1B" w:rsidR="00E70610" w:rsidRPr="00DD4307" w:rsidRDefault="00E70610" w:rsidP="00D14776">
      <w:pPr>
        <w:pStyle w:val="1"/>
      </w:pPr>
      <w:r w:rsidRPr="00DD4307">
        <w:t>Field Investigation</w:t>
      </w:r>
    </w:p>
    <w:p w14:paraId="1FDB77EB" w14:textId="77777777" w:rsidR="00904DAC" w:rsidRPr="00904DAC" w:rsidRDefault="00904DAC" w:rsidP="00904DAC">
      <w:pPr>
        <w:pStyle w:val="aa"/>
        <w:spacing w:line="360" w:lineRule="auto"/>
        <w:ind w:firstLineChars="0" w:firstLine="0"/>
        <w:jc w:val="left"/>
        <w:rPr>
          <w:rFonts w:ascii="Times New Roman" w:eastAsia="仿宋"/>
          <w:noProof w:val="0"/>
          <w:kern w:val="2"/>
          <w:sz w:val="24"/>
          <w:szCs w:val="22"/>
        </w:rPr>
      </w:pPr>
      <w:r w:rsidRPr="00904DAC">
        <w:rPr>
          <w:rFonts w:ascii="Times New Roman" w:eastAsia="仿宋"/>
          <w:noProof w:val="0"/>
          <w:kern w:val="2"/>
          <w:sz w:val="24"/>
          <w:szCs w:val="22"/>
        </w:rPr>
        <w:t>(1) Assessment of Pathogenic Distribution:</w:t>
      </w:r>
    </w:p>
    <w:p w14:paraId="419444DE" w14:textId="77777777" w:rsidR="00904DAC" w:rsidRPr="00904DAC" w:rsidRDefault="00904DAC" w:rsidP="00904DAC">
      <w:pPr>
        <w:pStyle w:val="aa"/>
        <w:spacing w:line="360" w:lineRule="auto"/>
        <w:ind w:firstLine="480"/>
        <w:jc w:val="left"/>
        <w:rPr>
          <w:rFonts w:ascii="Times New Roman" w:eastAsia="仿宋"/>
          <w:noProof w:val="0"/>
          <w:kern w:val="2"/>
          <w:sz w:val="24"/>
          <w:szCs w:val="22"/>
        </w:rPr>
      </w:pPr>
      <w:r w:rsidRPr="00904DAC">
        <w:rPr>
          <w:rFonts w:ascii="Times New Roman" w:eastAsia="仿宋"/>
          <w:noProof w:val="0"/>
          <w:kern w:val="2"/>
          <w:sz w:val="24"/>
          <w:szCs w:val="22"/>
        </w:rPr>
        <w:t>By visually inspecting or utilizing magnifying glasses and microscopes, observe the morphology of the biota on the surface of the cultural relics and determine the type of deterioration. Next, take photos to record the observed biota, and statistically record the area occupied, with the recording format as shown in Table S1.</w:t>
      </w:r>
    </w:p>
    <w:p w14:paraId="02DDB7FE" w14:textId="77777777" w:rsidR="00904DAC" w:rsidRPr="00904DAC" w:rsidRDefault="00904DAC" w:rsidP="00904DAC">
      <w:pPr>
        <w:pStyle w:val="aa"/>
        <w:spacing w:line="360" w:lineRule="auto"/>
        <w:ind w:firstLineChars="0" w:firstLine="0"/>
        <w:jc w:val="left"/>
        <w:rPr>
          <w:rFonts w:ascii="Times New Roman" w:eastAsia="仿宋"/>
          <w:noProof w:val="0"/>
          <w:kern w:val="2"/>
          <w:sz w:val="24"/>
          <w:szCs w:val="22"/>
        </w:rPr>
      </w:pPr>
      <w:r w:rsidRPr="00904DAC">
        <w:rPr>
          <w:rFonts w:ascii="Times New Roman" w:eastAsia="仿宋"/>
          <w:noProof w:val="0"/>
          <w:kern w:val="2"/>
          <w:sz w:val="24"/>
          <w:szCs w:val="22"/>
        </w:rPr>
        <w:t>(2) Evaluation of Cultural Relic Deterioration:</w:t>
      </w:r>
    </w:p>
    <w:p w14:paraId="35730F0F" w14:textId="7C2C40F3" w:rsidR="00904DAC" w:rsidRDefault="00904DAC" w:rsidP="00904DAC">
      <w:pPr>
        <w:pStyle w:val="aa"/>
        <w:spacing w:line="360" w:lineRule="auto"/>
        <w:ind w:firstLine="480"/>
        <w:jc w:val="left"/>
        <w:rPr>
          <w:rFonts w:ascii="Times New Roman" w:eastAsia="仿宋"/>
          <w:noProof w:val="0"/>
          <w:kern w:val="2"/>
          <w:sz w:val="24"/>
          <w:szCs w:val="22"/>
        </w:rPr>
      </w:pPr>
      <w:r w:rsidRPr="00904DAC">
        <w:rPr>
          <w:rFonts w:ascii="Times New Roman" w:eastAsia="仿宋"/>
          <w:noProof w:val="0"/>
          <w:kern w:val="2"/>
          <w:sz w:val="24"/>
          <w:szCs w:val="22"/>
        </w:rPr>
        <w:t>Based on Table S1, determine the impact of biota on the grotto cultural relics, and then complete the assessment of the degree of cultural relic deterioration caused by biotic factors.</w:t>
      </w:r>
    </w:p>
    <w:p w14:paraId="7932E7A4" w14:textId="209CE0C7" w:rsidR="00904DAC" w:rsidRPr="00904DAC" w:rsidRDefault="00904DAC" w:rsidP="0089455C">
      <w:pPr>
        <w:pStyle w:val="aa"/>
        <w:spacing w:line="360" w:lineRule="auto"/>
        <w:ind w:firstLineChars="0" w:firstLine="0"/>
        <w:jc w:val="center"/>
        <w:rPr>
          <w:rFonts w:ascii="Times New Roman" w:eastAsia="仿宋"/>
          <w:noProof w:val="0"/>
          <w:kern w:val="2"/>
          <w:sz w:val="24"/>
          <w:szCs w:val="22"/>
        </w:rPr>
      </w:pPr>
      <w:r w:rsidRPr="00904DAC">
        <w:rPr>
          <w:rFonts w:ascii="Times New Roman" w:eastAsia="仿宋"/>
          <w:noProof w:val="0"/>
          <w:kern w:val="2"/>
          <w:sz w:val="24"/>
          <w:szCs w:val="22"/>
        </w:rPr>
        <w:t>Assessment Criteria for Microbial/Moss Damage Degree on Cultural Relics</w:t>
      </w:r>
    </w:p>
    <w:tbl>
      <w:tblPr>
        <w:tblW w:w="8627" w:type="dxa"/>
        <w:tblInd w:w="15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96"/>
        <w:gridCol w:w="5308"/>
        <w:gridCol w:w="1823"/>
      </w:tblGrid>
      <w:tr w:rsidR="004E334A" w:rsidRPr="005C578F" w14:paraId="11480C52" w14:textId="77777777" w:rsidTr="004E334A">
        <w:trPr>
          <w:trHeight w:val="392"/>
        </w:trPr>
        <w:tc>
          <w:tcPr>
            <w:tcW w:w="1496" w:type="dxa"/>
            <w:tcBorders>
              <w:top w:val="single" w:sz="8" w:space="0" w:color="auto"/>
              <w:bottom w:val="single" w:sz="8" w:space="0" w:color="auto"/>
            </w:tcBorders>
            <w:shd w:val="clear" w:color="auto" w:fill="auto"/>
            <w:vAlign w:val="center"/>
          </w:tcPr>
          <w:p w14:paraId="7042B68E" w14:textId="4441353C" w:rsidR="004E334A" w:rsidRPr="00144425" w:rsidRDefault="00144425" w:rsidP="00144425">
            <w:pPr>
              <w:pStyle w:val="aa"/>
              <w:ind w:firstLineChars="0" w:firstLine="0"/>
              <w:jc w:val="center"/>
              <w:rPr>
                <w:rFonts w:ascii="仿宋" w:eastAsia="仿宋" w:hAnsi="仿宋"/>
                <w:b/>
                <w:bCs/>
                <w:sz w:val="24"/>
                <w:szCs w:val="24"/>
              </w:rPr>
            </w:pPr>
            <w:r w:rsidRPr="00144425">
              <w:rPr>
                <w:rFonts w:ascii="Times New Roman"/>
                <w:b/>
                <w:bCs/>
              </w:rPr>
              <w:t xml:space="preserve">Deteriorative </w:t>
            </w:r>
            <w:r w:rsidR="00904DAC" w:rsidRPr="00144425">
              <w:rPr>
                <w:rFonts w:ascii="Times New Roman"/>
                <w:b/>
                <w:bCs/>
              </w:rPr>
              <w:t>Level</w:t>
            </w:r>
            <w:r w:rsidRPr="00144425">
              <w:rPr>
                <w:rFonts w:ascii="Times New Roman"/>
                <w:b/>
                <w:bCs/>
              </w:rPr>
              <w:t xml:space="preserve"> /</w:t>
            </w:r>
            <w:r w:rsidR="00904DAC" w:rsidRPr="00144425">
              <w:rPr>
                <w:rFonts w:ascii="Times New Roman"/>
                <w:b/>
                <w:bCs/>
              </w:rPr>
              <w:t>Threat Level</w:t>
            </w:r>
          </w:p>
        </w:tc>
        <w:tc>
          <w:tcPr>
            <w:tcW w:w="5308" w:type="dxa"/>
            <w:tcBorders>
              <w:top w:val="single" w:sz="8" w:space="0" w:color="auto"/>
              <w:bottom w:val="single" w:sz="8" w:space="0" w:color="auto"/>
            </w:tcBorders>
          </w:tcPr>
          <w:p w14:paraId="4A625288" w14:textId="14A40EAC" w:rsidR="004E334A" w:rsidRPr="00144425" w:rsidRDefault="00904DAC" w:rsidP="00144425">
            <w:pPr>
              <w:jc w:val="center"/>
              <w:rPr>
                <w:rFonts w:ascii="Times New Roman" w:hAnsi="Times New Roman" w:cs="Times New Roman"/>
                <w:b/>
                <w:bCs/>
              </w:rPr>
            </w:pPr>
            <w:r w:rsidRPr="00144425">
              <w:rPr>
                <w:rFonts w:ascii="Times New Roman" w:hAnsi="Times New Roman" w:cs="Times New Roman"/>
                <w:b/>
                <w:bCs/>
              </w:rPr>
              <w:t>Classification Description of Microbial/Moss Damage on Grotto Cultural Relics</w:t>
            </w:r>
          </w:p>
        </w:tc>
        <w:tc>
          <w:tcPr>
            <w:tcW w:w="1823" w:type="dxa"/>
            <w:tcBorders>
              <w:top w:val="single" w:sz="8" w:space="0" w:color="auto"/>
              <w:bottom w:val="single" w:sz="8" w:space="0" w:color="auto"/>
            </w:tcBorders>
            <w:shd w:val="clear" w:color="auto" w:fill="auto"/>
            <w:vAlign w:val="center"/>
          </w:tcPr>
          <w:p w14:paraId="39050971" w14:textId="20A2046E" w:rsidR="004E334A" w:rsidRPr="00144425" w:rsidRDefault="00904DAC" w:rsidP="00144425">
            <w:pPr>
              <w:pStyle w:val="aa"/>
              <w:ind w:firstLineChars="0" w:firstLine="0"/>
              <w:jc w:val="center"/>
              <w:rPr>
                <w:rFonts w:ascii="仿宋" w:eastAsia="仿宋" w:hAnsi="仿宋"/>
                <w:b/>
                <w:bCs/>
                <w:sz w:val="24"/>
                <w:szCs w:val="24"/>
              </w:rPr>
            </w:pPr>
            <w:r w:rsidRPr="00144425">
              <w:rPr>
                <w:rFonts w:ascii="Times New Roman"/>
                <w:b/>
                <w:bCs/>
              </w:rPr>
              <w:t>Typical Organisms</w:t>
            </w:r>
          </w:p>
        </w:tc>
      </w:tr>
      <w:tr w:rsidR="004E334A" w:rsidRPr="005C578F" w14:paraId="3D0CB717" w14:textId="77777777" w:rsidTr="004E334A">
        <w:trPr>
          <w:trHeight w:val="308"/>
        </w:trPr>
        <w:tc>
          <w:tcPr>
            <w:tcW w:w="1496" w:type="dxa"/>
            <w:tcBorders>
              <w:top w:val="single" w:sz="8" w:space="0" w:color="auto"/>
            </w:tcBorders>
            <w:shd w:val="clear" w:color="auto" w:fill="auto"/>
            <w:vAlign w:val="center"/>
          </w:tcPr>
          <w:p w14:paraId="140D5838" w14:textId="4CDC4C53" w:rsidR="004E334A" w:rsidRPr="0025040F" w:rsidRDefault="00904DAC" w:rsidP="00BE199D">
            <w:pPr>
              <w:pStyle w:val="aa"/>
              <w:ind w:left="480" w:firstLineChars="0" w:firstLine="0"/>
              <w:rPr>
                <w:rFonts w:ascii="仿宋" w:eastAsia="仿宋" w:hAnsi="仿宋"/>
                <w:szCs w:val="24"/>
              </w:rPr>
            </w:pPr>
            <w:r w:rsidRPr="00904DAC">
              <w:rPr>
                <w:rFonts w:ascii="Times New Roman"/>
              </w:rPr>
              <w:t>None</w:t>
            </w:r>
          </w:p>
        </w:tc>
        <w:tc>
          <w:tcPr>
            <w:tcW w:w="5308" w:type="dxa"/>
            <w:tcBorders>
              <w:top w:val="single" w:sz="8" w:space="0" w:color="auto"/>
            </w:tcBorders>
          </w:tcPr>
          <w:p w14:paraId="5EFE192F" w14:textId="23D8D5B1" w:rsidR="004E334A" w:rsidRPr="0025040F" w:rsidRDefault="00904DAC" w:rsidP="00144425">
            <w:pPr>
              <w:pStyle w:val="aa"/>
              <w:ind w:firstLineChars="0" w:firstLine="0"/>
              <w:jc w:val="center"/>
              <w:rPr>
                <w:rFonts w:ascii="仿宋" w:eastAsia="仿宋" w:hAnsi="仿宋"/>
                <w:szCs w:val="24"/>
              </w:rPr>
            </w:pPr>
            <w:r w:rsidRPr="00904DAC">
              <w:rPr>
                <w:rFonts w:ascii="Times New Roman"/>
              </w:rPr>
              <w:t>No microbial/moss colonization on the surface of Grotto cultural relics, and no obvious damage to areas with inscriptions or patterns.</w:t>
            </w:r>
          </w:p>
        </w:tc>
        <w:tc>
          <w:tcPr>
            <w:tcW w:w="1823" w:type="dxa"/>
            <w:tcBorders>
              <w:top w:val="single" w:sz="8" w:space="0" w:color="auto"/>
            </w:tcBorders>
            <w:shd w:val="clear" w:color="auto" w:fill="auto"/>
            <w:vAlign w:val="center"/>
          </w:tcPr>
          <w:p w14:paraId="55190CCB" w14:textId="73244C0E" w:rsidR="004E334A" w:rsidRPr="0025040F" w:rsidRDefault="00904DAC" w:rsidP="00144425">
            <w:pPr>
              <w:pStyle w:val="aa"/>
              <w:ind w:firstLineChars="0" w:firstLine="0"/>
              <w:jc w:val="center"/>
              <w:rPr>
                <w:rFonts w:ascii="仿宋" w:eastAsia="仿宋" w:hAnsi="仿宋"/>
                <w:szCs w:val="24"/>
              </w:rPr>
            </w:pPr>
            <w:r w:rsidRPr="00904DAC">
              <w:rPr>
                <w:rFonts w:ascii="Times New Roman"/>
              </w:rPr>
              <w:t>None</w:t>
            </w:r>
          </w:p>
        </w:tc>
      </w:tr>
      <w:tr w:rsidR="004E334A" w:rsidRPr="005C578F" w14:paraId="08B90710" w14:textId="77777777" w:rsidTr="004E334A">
        <w:trPr>
          <w:trHeight w:val="308"/>
        </w:trPr>
        <w:tc>
          <w:tcPr>
            <w:tcW w:w="1496" w:type="dxa"/>
            <w:tcBorders>
              <w:top w:val="single" w:sz="8" w:space="0" w:color="auto"/>
            </w:tcBorders>
            <w:shd w:val="clear" w:color="auto" w:fill="auto"/>
            <w:vAlign w:val="center"/>
          </w:tcPr>
          <w:p w14:paraId="2BD8C40D" w14:textId="07750454" w:rsidR="004E334A" w:rsidRPr="0025040F" w:rsidRDefault="00904DAC" w:rsidP="00BE199D">
            <w:pPr>
              <w:pStyle w:val="aa"/>
              <w:ind w:left="480" w:firstLineChars="0" w:firstLine="0"/>
              <w:rPr>
                <w:rFonts w:ascii="仿宋" w:eastAsia="仿宋" w:hAnsi="仿宋"/>
                <w:szCs w:val="24"/>
              </w:rPr>
            </w:pPr>
            <w:r w:rsidRPr="00904DAC">
              <w:rPr>
                <w:rFonts w:ascii="Times New Roman"/>
              </w:rPr>
              <w:t>Slight</w:t>
            </w:r>
          </w:p>
        </w:tc>
        <w:tc>
          <w:tcPr>
            <w:tcW w:w="5308" w:type="dxa"/>
            <w:tcBorders>
              <w:top w:val="single" w:sz="8" w:space="0" w:color="auto"/>
            </w:tcBorders>
          </w:tcPr>
          <w:p w14:paraId="35E5E045" w14:textId="062DE35D" w:rsidR="004E334A" w:rsidRPr="0025040F" w:rsidRDefault="00904DAC" w:rsidP="00144425">
            <w:pPr>
              <w:pStyle w:val="aa"/>
              <w:ind w:firstLineChars="0" w:firstLine="0"/>
              <w:jc w:val="center"/>
              <w:rPr>
                <w:rFonts w:ascii="仿宋" w:eastAsia="仿宋" w:hAnsi="仿宋"/>
                <w:szCs w:val="24"/>
              </w:rPr>
            </w:pPr>
            <w:r w:rsidRPr="00904DAC">
              <w:rPr>
                <w:rFonts w:ascii="Times New Roman"/>
              </w:rPr>
              <w:t xml:space="preserve">Microbial/moss colonization area on the surface of Grotto cultural relics is less than </w:t>
            </w:r>
            <w:r w:rsidR="000B7150">
              <w:rPr>
                <w:rFonts w:ascii="Times New Roman"/>
              </w:rPr>
              <w:t>10</w:t>
            </w:r>
            <w:r w:rsidRPr="00904DAC">
              <w:rPr>
                <w:rFonts w:ascii="Times New Roman"/>
              </w:rPr>
              <w:t>%, and there is slight aesthetic damage to areas with inscriptions or patterns.</w:t>
            </w:r>
          </w:p>
        </w:tc>
        <w:tc>
          <w:tcPr>
            <w:tcW w:w="1823" w:type="dxa"/>
            <w:tcBorders>
              <w:top w:val="single" w:sz="8" w:space="0" w:color="auto"/>
            </w:tcBorders>
            <w:shd w:val="clear" w:color="auto" w:fill="auto"/>
            <w:vAlign w:val="center"/>
          </w:tcPr>
          <w:p w14:paraId="4ED97DB9" w14:textId="01E97B2B" w:rsidR="004E334A" w:rsidRPr="00644640" w:rsidRDefault="00904DAC" w:rsidP="00144425">
            <w:pPr>
              <w:pStyle w:val="aa"/>
              <w:ind w:firstLineChars="0" w:firstLine="0"/>
              <w:jc w:val="center"/>
              <w:rPr>
                <w:rFonts w:ascii="Times New Roman"/>
              </w:rPr>
            </w:pPr>
            <w:r w:rsidRPr="00904DAC">
              <w:rPr>
                <w:rFonts w:ascii="Times New Roman"/>
              </w:rPr>
              <w:t xml:space="preserve">Bacteria, </w:t>
            </w:r>
            <w:r w:rsidR="000B7150" w:rsidRPr="00904DAC">
              <w:rPr>
                <w:rFonts w:ascii="Times New Roman"/>
              </w:rPr>
              <w:t>fungi,</w:t>
            </w:r>
            <w:r w:rsidR="000B7150">
              <w:rPr>
                <w:rFonts w:ascii="Times New Roman"/>
              </w:rPr>
              <w:t xml:space="preserve"> </w:t>
            </w:r>
            <w:r w:rsidRPr="00904DAC">
              <w:rPr>
                <w:rFonts w:ascii="Times New Roman"/>
              </w:rPr>
              <w:t>algae</w:t>
            </w:r>
          </w:p>
        </w:tc>
      </w:tr>
      <w:tr w:rsidR="004E334A" w:rsidRPr="005C578F" w14:paraId="229E93BD" w14:textId="77777777" w:rsidTr="004E334A">
        <w:trPr>
          <w:trHeight w:val="267"/>
        </w:trPr>
        <w:tc>
          <w:tcPr>
            <w:tcW w:w="1496" w:type="dxa"/>
            <w:shd w:val="clear" w:color="auto" w:fill="auto"/>
            <w:vAlign w:val="center"/>
          </w:tcPr>
          <w:p w14:paraId="3D50B705" w14:textId="53683367" w:rsidR="004E334A" w:rsidRPr="0025040F" w:rsidRDefault="00904DAC" w:rsidP="00BE199D">
            <w:pPr>
              <w:pStyle w:val="aa"/>
              <w:ind w:left="480" w:firstLineChars="0" w:firstLine="0"/>
              <w:rPr>
                <w:rFonts w:ascii="仿宋" w:eastAsia="仿宋" w:hAnsi="仿宋"/>
                <w:szCs w:val="24"/>
              </w:rPr>
            </w:pPr>
            <w:r w:rsidRPr="00904DAC">
              <w:rPr>
                <w:rFonts w:ascii="Times New Roman"/>
              </w:rPr>
              <w:t>Moderate</w:t>
            </w:r>
          </w:p>
        </w:tc>
        <w:tc>
          <w:tcPr>
            <w:tcW w:w="5308" w:type="dxa"/>
          </w:tcPr>
          <w:p w14:paraId="5C8A1C39" w14:textId="73971166" w:rsidR="004E334A" w:rsidRPr="0025040F" w:rsidRDefault="00904DAC" w:rsidP="00144425">
            <w:pPr>
              <w:pStyle w:val="aa"/>
              <w:ind w:firstLineChars="0" w:firstLine="0"/>
              <w:jc w:val="center"/>
              <w:rPr>
                <w:rFonts w:ascii="仿宋" w:eastAsia="仿宋" w:hAnsi="仿宋"/>
                <w:szCs w:val="24"/>
              </w:rPr>
            </w:pPr>
            <w:r w:rsidRPr="00904DAC">
              <w:rPr>
                <w:rFonts w:ascii="Times New Roman"/>
              </w:rPr>
              <w:t xml:space="preserve">Microbial/moss colonization area on the surface of Grotto cultural relics is greater than or equal to </w:t>
            </w:r>
            <w:r w:rsidR="000B7150">
              <w:rPr>
                <w:rFonts w:ascii="Times New Roman"/>
              </w:rPr>
              <w:t>10</w:t>
            </w:r>
            <w:r w:rsidRPr="00904DAC">
              <w:rPr>
                <w:rFonts w:ascii="Times New Roman"/>
              </w:rPr>
              <w:t xml:space="preserve">%, but less than </w:t>
            </w:r>
            <w:r w:rsidR="000B7150">
              <w:rPr>
                <w:rFonts w:ascii="Times New Roman"/>
              </w:rPr>
              <w:t>50</w:t>
            </w:r>
            <w:r w:rsidRPr="00904DAC">
              <w:rPr>
                <w:rFonts w:ascii="Times New Roman"/>
              </w:rPr>
              <w:t>%, and there is significant aesthetic damage to areas with inscriptions or patterns, without obvious structural damage</w:t>
            </w:r>
          </w:p>
        </w:tc>
        <w:tc>
          <w:tcPr>
            <w:tcW w:w="1823" w:type="dxa"/>
            <w:shd w:val="clear" w:color="auto" w:fill="auto"/>
            <w:vAlign w:val="center"/>
          </w:tcPr>
          <w:p w14:paraId="396995A4" w14:textId="1D6E7341" w:rsidR="004E334A" w:rsidRPr="00144425" w:rsidRDefault="00904DAC" w:rsidP="00144425">
            <w:pPr>
              <w:pStyle w:val="aa"/>
              <w:ind w:firstLineChars="0" w:firstLine="0"/>
              <w:jc w:val="center"/>
              <w:rPr>
                <w:rFonts w:ascii="Times New Roman"/>
              </w:rPr>
            </w:pPr>
            <w:r w:rsidRPr="00904DAC">
              <w:rPr>
                <w:rFonts w:ascii="Times New Roman"/>
              </w:rPr>
              <w:t>Algae, fungi, lichens</w:t>
            </w:r>
          </w:p>
        </w:tc>
      </w:tr>
      <w:tr w:rsidR="004E334A" w:rsidRPr="005C578F" w14:paraId="108F5C42" w14:textId="77777777" w:rsidTr="004E334A">
        <w:trPr>
          <w:trHeight w:val="558"/>
        </w:trPr>
        <w:tc>
          <w:tcPr>
            <w:tcW w:w="1496" w:type="dxa"/>
            <w:shd w:val="clear" w:color="auto" w:fill="auto"/>
            <w:vAlign w:val="center"/>
          </w:tcPr>
          <w:p w14:paraId="3896875D" w14:textId="0D559176" w:rsidR="004E334A" w:rsidRPr="0025040F" w:rsidRDefault="00904DAC" w:rsidP="00BE199D">
            <w:pPr>
              <w:pStyle w:val="aa"/>
              <w:ind w:left="480" w:firstLineChars="0" w:firstLine="0"/>
              <w:rPr>
                <w:rFonts w:ascii="仿宋" w:eastAsia="仿宋" w:hAnsi="仿宋"/>
                <w:szCs w:val="24"/>
              </w:rPr>
            </w:pPr>
            <w:r w:rsidRPr="00904DAC">
              <w:rPr>
                <w:rFonts w:ascii="Times New Roman"/>
              </w:rPr>
              <w:t>Severe</w:t>
            </w:r>
          </w:p>
        </w:tc>
        <w:tc>
          <w:tcPr>
            <w:tcW w:w="5308" w:type="dxa"/>
          </w:tcPr>
          <w:p w14:paraId="01D3BC20" w14:textId="2C3FC1C7" w:rsidR="004E334A" w:rsidRPr="0025040F" w:rsidRDefault="00904DAC" w:rsidP="00144425">
            <w:pPr>
              <w:pStyle w:val="aa"/>
              <w:ind w:firstLineChars="0" w:firstLine="0"/>
              <w:jc w:val="center"/>
              <w:rPr>
                <w:rFonts w:ascii="仿宋" w:eastAsia="仿宋" w:hAnsi="仿宋"/>
                <w:szCs w:val="24"/>
              </w:rPr>
            </w:pPr>
            <w:r w:rsidRPr="00904DAC">
              <w:rPr>
                <w:rFonts w:ascii="Times New Roman"/>
              </w:rPr>
              <w:t xml:space="preserve">Microbial/moss colonization area on the surface of Grotto cultural relics is greater than or equal to </w:t>
            </w:r>
            <w:r w:rsidR="000B7150">
              <w:rPr>
                <w:rFonts w:ascii="Times New Roman"/>
              </w:rPr>
              <w:t>50</w:t>
            </w:r>
            <w:r w:rsidRPr="00904DAC">
              <w:rPr>
                <w:rFonts w:ascii="Times New Roman"/>
              </w:rPr>
              <w:t>%, and there is significant aesthetic and structural damage to areas with inscriptions or patterns.</w:t>
            </w:r>
          </w:p>
        </w:tc>
        <w:tc>
          <w:tcPr>
            <w:tcW w:w="1823" w:type="dxa"/>
            <w:shd w:val="clear" w:color="auto" w:fill="auto"/>
            <w:vAlign w:val="center"/>
          </w:tcPr>
          <w:p w14:paraId="56A57920" w14:textId="77777777" w:rsidR="00904DAC" w:rsidRPr="00904DAC" w:rsidRDefault="00904DAC" w:rsidP="00144425">
            <w:pPr>
              <w:pStyle w:val="aa"/>
              <w:ind w:firstLineChars="0" w:firstLine="0"/>
              <w:jc w:val="center"/>
              <w:rPr>
                <w:rFonts w:ascii="Times New Roman"/>
              </w:rPr>
            </w:pPr>
            <w:r w:rsidRPr="00904DAC">
              <w:rPr>
                <w:rFonts w:ascii="Times New Roman"/>
              </w:rPr>
              <w:t>Lichens, moss, other higher plants</w:t>
            </w:r>
          </w:p>
          <w:p w14:paraId="32E4DA16" w14:textId="34FFDBF1" w:rsidR="004E334A" w:rsidRPr="00144425" w:rsidRDefault="004E334A" w:rsidP="00144425">
            <w:pPr>
              <w:pStyle w:val="aa"/>
              <w:ind w:firstLineChars="0" w:firstLine="0"/>
              <w:jc w:val="center"/>
              <w:rPr>
                <w:rFonts w:ascii="Times New Roman"/>
              </w:rPr>
            </w:pPr>
          </w:p>
        </w:tc>
      </w:tr>
    </w:tbl>
    <w:p w14:paraId="765F2BDB" w14:textId="77777777" w:rsidR="00830941" w:rsidRPr="00904DAC" w:rsidRDefault="00830941" w:rsidP="00830941">
      <w:pPr>
        <w:pStyle w:val="aa"/>
        <w:spacing w:line="360" w:lineRule="auto"/>
        <w:ind w:firstLineChars="0" w:firstLine="0"/>
        <w:jc w:val="left"/>
        <w:rPr>
          <w:rFonts w:ascii="Times New Roman" w:eastAsia="仿宋"/>
          <w:noProof w:val="0"/>
          <w:kern w:val="2"/>
          <w:sz w:val="24"/>
          <w:szCs w:val="22"/>
        </w:rPr>
      </w:pPr>
      <w:bookmarkStart w:id="0" w:name="_Hlk127966254"/>
      <w:r w:rsidRPr="00904DAC">
        <w:rPr>
          <w:rFonts w:ascii="Times New Roman" w:eastAsia="仿宋"/>
          <w:noProof w:val="0"/>
          <w:kern w:val="2"/>
          <w:sz w:val="24"/>
          <w:szCs w:val="22"/>
        </w:rPr>
        <w:t xml:space="preserve">(3) Information on preservation </w:t>
      </w:r>
      <w:r>
        <w:rPr>
          <w:rFonts w:ascii="Times New Roman" w:eastAsia="仿宋"/>
          <w:noProof w:val="0"/>
          <w:kern w:val="2"/>
          <w:sz w:val="24"/>
          <w:szCs w:val="22"/>
        </w:rPr>
        <w:t>micro</w:t>
      </w:r>
      <w:r w:rsidRPr="00904DAC">
        <w:rPr>
          <w:rFonts w:ascii="Times New Roman" w:eastAsia="仿宋"/>
          <w:noProof w:val="0"/>
          <w:kern w:val="2"/>
          <w:sz w:val="24"/>
          <w:szCs w:val="22"/>
        </w:rPr>
        <w:t>environment</w:t>
      </w:r>
    </w:p>
    <w:p w14:paraId="3C225EC7" w14:textId="08700074" w:rsidR="00830941" w:rsidRDefault="00830941" w:rsidP="00830941">
      <w:pPr>
        <w:pStyle w:val="aa"/>
        <w:spacing w:line="360" w:lineRule="auto"/>
        <w:ind w:firstLine="480"/>
        <w:jc w:val="left"/>
        <w:rPr>
          <w:rFonts w:ascii="Times New Roman" w:eastAsia="仿宋"/>
          <w:noProof w:val="0"/>
          <w:kern w:val="2"/>
          <w:sz w:val="24"/>
          <w:szCs w:val="22"/>
        </w:rPr>
      </w:pPr>
      <w:r w:rsidRPr="00500AFF">
        <w:rPr>
          <w:rFonts w:ascii="Times New Roman" w:eastAsia="仿宋"/>
          <w:noProof w:val="0"/>
          <w:kern w:val="2"/>
          <w:sz w:val="24"/>
          <w:szCs w:val="22"/>
        </w:rPr>
        <w:lastRenderedPageBreak/>
        <w:t>Environmental information, such as average annual temperature and precipitation, were gathered from National Meteorological Data Center of China (</w:t>
      </w:r>
      <w:hyperlink r:id="rId7" w:history="1">
        <w:r w:rsidRPr="00500AFF">
          <w:rPr>
            <w:rFonts w:eastAsia="仿宋"/>
            <w:noProof w:val="0"/>
            <w:kern w:val="2"/>
            <w:sz w:val="24"/>
            <w:szCs w:val="22"/>
          </w:rPr>
          <w:t>http://data.cma.cn</w:t>
        </w:r>
      </w:hyperlink>
      <w:r w:rsidRPr="00500AFF">
        <w:rPr>
          <w:rFonts w:ascii="Times New Roman" w:eastAsia="仿宋"/>
          <w:noProof w:val="0"/>
          <w:kern w:val="2"/>
          <w:sz w:val="24"/>
          <w:szCs w:val="22"/>
        </w:rPr>
        <w:t>).</w:t>
      </w:r>
    </w:p>
    <w:p w14:paraId="4BCE249A" w14:textId="6BBF4B45" w:rsidR="00CB3194" w:rsidRDefault="00CB3194" w:rsidP="00830941">
      <w:pPr>
        <w:pStyle w:val="aa"/>
        <w:spacing w:line="360" w:lineRule="auto"/>
        <w:ind w:firstLine="480"/>
        <w:jc w:val="left"/>
        <w:rPr>
          <w:rFonts w:ascii="Times New Roman" w:eastAsia="仿宋"/>
          <w:noProof w:val="0"/>
          <w:kern w:val="2"/>
          <w:sz w:val="24"/>
          <w:szCs w:val="22"/>
        </w:rPr>
      </w:pPr>
      <w:r w:rsidRPr="00CB3194">
        <w:rPr>
          <w:rFonts w:ascii="Times New Roman" w:eastAsia="仿宋"/>
          <w:noProof w:val="0"/>
          <w:kern w:val="2"/>
          <w:sz w:val="24"/>
          <w:szCs w:val="22"/>
        </w:rPr>
        <w:t>The</w:t>
      </w:r>
      <w:r>
        <w:rPr>
          <w:rFonts w:ascii="Times New Roman" w:eastAsia="仿宋"/>
          <w:noProof w:val="0"/>
          <w:kern w:val="2"/>
          <w:sz w:val="24"/>
          <w:szCs w:val="22"/>
        </w:rPr>
        <w:t xml:space="preserve"> inves</w:t>
      </w:r>
      <w:r>
        <w:rPr>
          <w:rFonts w:ascii="Times New Roman" w:eastAsia="仿宋" w:hint="eastAsia"/>
          <w:noProof w:val="0"/>
          <w:kern w:val="2"/>
          <w:sz w:val="24"/>
          <w:szCs w:val="22"/>
        </w:rPr>
        <w:t>tigation</w:t>
      </w:r>
      <w:r w:rsidRPr="00CB3194">
        <w:rPr>
          <w:rFonts w:ascii="Times New Roman" w:eastAsia="仿宋"/>
          <w:noProof w:val="0"/>
          <w:kern w:val="2"/>
          <w:sz w:val="24"/>
          <w:szCs w:val="22"/>
        </w:rPr>
        <w:t xml:space="preserve"> </w:t>
      </w:r>
      <w:proofErr w:type="gramStart"/>
      <w:r w:rsidRPr="00CB3194">
        <w:rPr>
          <w:rFonts w:ascii="Times New Roman" w:eastAsia="仿宋"/>
          <w:noProof w:val="0"/>
          <w:kern w:val="2"/>
          <w:sz w:val="24"/>
          <w:szCs w:val="22"/>
        </w:rPr>
        <w:t>present</w:t>
      </w:r>
      <w:proofErr w:type="gramEnd"/>
      <w:r w:rsidRPr="00CB3194">
        <w:rPr>
          <w:rFonts w:ascii="Times New Roman" w:eastAsia="仿宋"/>
          <w:noProof w:val="0"/>
          <w:kern w:val="2"/>
          <w:sz w:val="24"/>
          <w:szCs w:val="22"/>
        </w:rPr>
        <w:t xml:space="preserve"> the environmental parameters for the </w:t>
      </w:r>
      <w:proofErr w:type="spellStart"/>
      <w:r w:rsidRPr="00CB3194">
        <w:rPr>
          <w:rFonts w:ascii="Times New Roman" w:eastAsia="仿宋"/>
          <w:noProof w:val="0"/>
          <w:kern w:val="2"/>
          <w:sz w:val="24"/>
          <w:szCs w:val="22"/>
        </w:rPr>
        <w:t>Leshan</w:t>
      </w:r>
      <w:proofErr w:type="spellEnd"/>
      <w:r w:rsidRPr="00CB3194">
        <w:rPr>
          <w:rFonts w:ascii="Times New Roman" w:eastAsia="仿宋"/>
          <w:noProof w:val="0"/>
          <w:kern w:val="2"/>
          <w:sz w:val="24"/>
          <w:szCs w:val="22"/>
        </w:rPr>
        <w:t xml:space="preserve"> Giant Buddha area based on data collected between 1950 and 2022</w:t>
      </w:r>
      <w:r>
        <w:rPr>
          <w:rFonts w:ascii="Times New Roman" w:eastAsia="仿宋"/>
          <w:noProof w:val="0"/>
          <w:kern w:val="2"/>
          <w:sz w:val="24"/>
          <w:szCs w:val="22"/>
        </w:rPr>
        <w:t xml:space="preserve"> as follow</w:t>
      </w:r>
      <w:r w:rsidRPr="00CB3194">
        <w:rPr>
          <w:rFonts w:ascii="Times New Roman" w:eastAsia="仿宋"/>
          <w:noProof w:val="0"/>
          <w:kern w:val="2"/>
          <w:sz w:val="24"/>
          <w:szCs w:val="22"/>
        </w:rPr>
        <w:t xml:space="preserve">. The annual average temperature is recorded at </w:t>
      </w:r>
      <w:r w:rsidRPr="00CB3194">
        <w:rPr>
          <w:rFonts w:ascii="Times New Roman" w:eastAsia="仿宋"/>
          <w:b/>
          <w:bCs/>
          <w:noProof w:val="0"/>
          <w:kern w:val="2"/>
          <w:sz w:val="24"/>
          <w:szCs w:val="22"/>
        </w:rPr>
        <w:t>17.7°C</w:t>
      </w:r>
      <w:r w:rsidRPr="00CB3194">
        <w:rPr>
          <w:rFonts w:ascii="Times New Roman" w:eastAsia="仿宋"/>
          <w:noProof w:val="0"/>
          <w:kern w:val="2"/>
          <w:sz w:val="24"/>
          <w:szCs w:val="22"/>
        </w:rPr>
        <w:t xml:space="preserve">, with an annual average precipitation of </w:t>
      </w:r>
      <w:r w:rsidRPr="00CB3194">
        <w:rPr>
          <w:rFonts w:ascii="Times New Roman" w:eastAsia="仿宋"/>
          <w:b/>
          <w:bCs/>
          <w:noProof w:val="0"/>
          <w:kern w:val="2"/>
          <w:sz w:val="24"/>
          <w:szCs w:val="22"/>
        </w:rPr>
        <w:t>1332.15 mm</w:t>
      </w:r>
      <w:r w:rsidRPr="00CB3194">
        <w:rPr>
          <w:rFonts w:ascii="Times New Roman" w:eastAsia="仿宋"/>
          <w:noProof w:val="0"/>
          <w:kern w:val="2"/>
          <w:sz w:val="24"/>
          <w:szCs w:val="22"/>
        </w:rPr>
        <w:t>. During the summer months (June to August), the average precipitation is</w:t>
      </w:r>
      <w:r w:rsidRPr="00CB3194">
        <w:rPr>
          <w:rFonts w:ascii="Times New Roman" w:eastAsia="仿宋"/>
          <w:b/>
          <w:bCs/>
          <w:noProof w:val="0"/>
          <w:kern w:val="2"/>
          <w:sz w:val="24"/>
          <w:szCs w:val="22"/>
        </w:rPr>
        <w:t xml:space="preserve"> 120.79 mm</w:t>
      </w:r>
      <w:r w:rsidRPr="00CB3194">
        <w:rPr>
          <w:rFonts w:ascii="Times New Roman" w:eastAsia="仿宋"/>
          <w:noProof w:val="0"/>
          <w:kern w:val="2"/>
          <w:sz w:val="24"/>
          <w:szCs w:val="22"/>
        </w:rPr>
        <w:t xml:space="preserve">, while the average temperature rises to </w:t>
      </w:r>
      <w:r w:rsidRPr="00CB3194">
        <w:rPr>
          <w:rFonts w:ascii="Times New Roman" w:eastAsia="仿宋"/>
          <w:b/>
          <w:bCs/>
          <w:noProof w:val="0"/>
          <w:kern w:val="2"/>
          <w:sz w:val="24"/>
          <w:szCs w:val="22"/>
        </w:rPr>
        <w:t>29.02°C</w:t>
      </w:r>
      <w:r w:rsidRPr="00CB3194">
        <w:rPr>
          <w:rFonts w:ascii="Times New Roman" w:eastAsia="仿宋"/>
          <w:noProof w:val="0"/>
          <w:kern w:val="2"/>
          <w:sz w:val="24"/>
          <w:szCs w:val="22"/>
        </w:rPr>
        <w:t xml:space="preserve">, and the average relative humidity reaches </w:t>
      </w:r>
      <w:r w:rsidRPr="00CB3194">
        <w:rPr>
          <w:rFonts w:ascii="Times New Roman" w:eastAsia="仿宋"/>
          <w:b/>
          <w:bCs/>
          <w:noProof w:val="0"/>
          <w:kern w:val="2"/>
          <w:sz w:val="24"/>
          <w:szCs w:val="22"/>
        </w:rPr>
        <w:t>79.1%</w:t>
      </w:r>
      <w:r w:rsidRPr="00CB3194">
        <w:rPr>
          <w:rFonts w:ascii="Times New Roman" w:eastAsia="仿宋"/>
          <w:noProof w:val="0"/>
          <w:kern w:val="2"/>
          <w:sz w:val="24"/>
          <w:szCs w:val="22"/>
        </w:rPr>
        <w:t xml:space="preserve">. In contrast, during the winter months (December to February), the average precipitation drops to </w:t>
      </w:r>
      <w:r w:rsidRPr="00CB3194">
        <w:rPr>
          <w:rFonts w:ascii="Times New Roman" w:eastAsia="仿宋"/>
          <w:b/>
          <w:bCs/>
          <w:noProof w:val="0"/>
          <w:kern w:val="2"/>
          <w:sz w:val="24"/>
          <w:szCs w:val="22"/>
        </w:rPr>
        <w:t>69.02 mm</w:t>
      </w:r>
      <w:r w:rsidRPr="00CB3194">
        <w:rPr>
          <w:rFonts w:ascii="Times New Roman" w:eastAsia="仿宋"/>
          <w:noProof w:val="0"/>
          <w:kern w:val="2"/>
          <w:sz w:val="24"/>
          <w:szCs w:val="22"/>
        </w:rPr>
        <w:t xml:space="preserve">, with an average temperature of </w:t>
      </w:r>
      <w:r w:rsidRPr="00CB3194">
        <w:rPr>
          <w:rFonts w:ascii="Times New Roman" w:eastAsia="仿宋"/>
          <w:b/>
          <w:bCs/>
          <w:noProof w:val="0"/>
          <w:kern w:val="2"/>
          <w:sz w:val="24"/>
          <w:szCs w:val="22"/>
        </w:rPr>
        <w:t>8.49°C</w:t>
      </w:r>
      <w:r w:rsidRPr="00CB3194">
        <w:rPr>
          <w:rFonts w:ascii="Times New Roman" w:eastAsia="仿宋"/>
          <w:noProof w:val="0"/>
          <w:kern w:val="2"/>
          <w:sz w:val="24"/>
          <w:szCs w:val="22"/>
        </w:rPr>
        <w:t xml:space="preserve"> and an average relative humidity of </w:t>
      </w:r>
      <w:r w:rsidRPr="00CB3194">
        <w:rPr>
          <w:rFonts w:ascii="Times New Roman" w:eastAsia="仿宋"/>
          <w:b/>
          <w:bCs/>
          <w:noProof w:val="0"/>
          <w:kern w:val="2"/>
          <w:sz w:val="24"/>
          <w:szCs w:val="22"/>
        </w:rPr>
        <w:t>74.4%</w:t>
      </w:r>
      <w:r w:rsidRPr="00CB3194">
        <w:rPr>
          <w:rFonts w:ascii="Times New Roman" w:eastAsia="仿宋"/>
          <w:noProof w:val="0"/>
          <w:kern w:val="2"/>
          <w:sz w:val="24"/>
          <w:szCs w:val="22"/>
        </w:rPr>
        <w:t xml:space="preserve">. This seasonal and annual climatic information is crucial for assessing the environmental conditions impacting the conservation of the </w:t>
      </w:r>
      <w:proofErr w:type="spellStart"/>
      <w:r w:rsidRPr="00CB3194">
        <w:rPr>
          <w:rFonts w:ascii="Times New Roman" w:eastAsia="仿宋"/>
          <w:noProof w:val="0"/>
          <w:kern w:val="2"/>
          <w:sz w:val="24"/>
          <w:szCs w:val="22"/>
        </w:rPr>
        <w:t>Leshan</w:t>
      </w:r>
      <w:proofErr w:type="spellEnd"/>
      <w:r w:rsidRPr="00CB3194">
        <w:rPr>
          <w:rFonts w:ascii="Times New Roman" w:eastAsia="仿宋"/>
          <w:noProof w:val="0"/>
          <w:kern w:val="2"/>
          <w:sz w:val="24"/>
          <w:szCs w:val="22"/>
        </w:rPr>
        <w:t xml:space="preserve"> Giant Buddha, particularly in relation to moisture levels and temperature variations that may influence the weathering of the stone.</w:t>
      </w:r>
    </w:p>
    <w:p w14:paraId="2FC2E85D" w14:textId="77777777" w:rsidR="009010F9" w:rsidRPr="00904DAC" w:rsidRDefault="009010F9" w:rsidP="00D14776">
      <w:pPr>
        <w:pStyle w:val="1"/>
      </w:pPr>
      <w:r w:rsidRPr="00904DAC">
        <w:t>Preparation of Rock Samples:</w:t>
      </w:r>
    </w:p>
    <w:p w14:paraId="6358F1B4" w14:textId="77777777" w:rsidR="009010F9" w:rsidRPr="00904DAC" w:rsidRDefault="009010F9" w:rsidP="009010F9">
      <w:pPr>
        <w:pStyle w:val="aa"/>
        <w:spacing w:line="360" w:lineRule="auto"/>
        <w:ind w:firstLineChars="0" w:firstLine="0"/>
        <w:jc w:val="left"/>
        <w:rPr>
          <w:rFonts w:ascii="Times New Roman" w:eastAsia="仿宋"/>
          <w:noProof w:val="0"/>
          <w:kern w:val="2"/>
          <w:sz w:val="24"/>
          <w:szCs w:val="22"/>
        </w:rPr>
      </w:pPr>
      <w:r w:rsidRPr="00904DAC">
        <w:rPr>
          <w:rFonts w:ascii="Times New Roman" w:eastAsia="仿宋"/>
          <w:noProof w:val="0"/>
          <w:kern w:val="2"/>
          <w:sz w:val="24"/>
          <w:szCs w:val="22"/>
        </w:rPr>
        <w:t>(1) Use a sieve to obtain rock gravel and clay of different particle sizes from the ISO Standard Sand Co. Ltd (Xiamen, China) and clay gathered from</w:t>
      </w:r>
      <w:r>
        <w:rPr>
          <w:rFonts w:ascii="Times New Roman" w:eastAsia="仿宋"/>
          <w:noProof w:val="0"/>
          <w:kern w:val="2"/>
          <w:sz w:val="24"/>
          <w:szCs w:val="22"/>
        </w:rPr>
        <w:t xml:space="preserve"> LGB, S</w:t>
      </w:r>
      <w:r>
        <w:rPr>
          <w:rFonts w:ascii="Times New Roman" w:eastAsia="仿宋" w:hint="eastAsia"/>
          <w:noProof w:val="0"/>
          <w:kern w:val="2"/>
          <w:sz w:val="24"/>
          <w:szCs w:val="22"/>
        </w:rPr>
        <w:t>ichuan</w:t>
      </w:r>
      <w:r>
        <w:rPr>
          <w:rFonts w:ascii="Times New Roman" w:eastAsia="仿宋"/>
          <w:noProof w:val="0"/>
          <w:kern w:val="2"/>
          <w:sz w:val="24"/>
          <w:szCs w:val="22"/>
        </w:rPr>
        <w:t xml:space="preserve"> Province</w:t>
      </w:r>
      <w:r w:rsidRPr="00904DAC">
        <w:rPr>
          <w:rFonts w:ascii="Times New Roman" w:eastAsia="仿宋"/>
          <w:noProof w:val="0"/>
          <w:kern w:val="2"/>
          <w:sz w:val="24"/>
          <w:szCs w:val="22"/>
        </w:rPr>
        <w:t>, China.</w:t>
      </w:r>
    </w:p>
    <w:p w14:paraId="663D6FE3" w14:textId="77777777" w:rsidR="009010F9" w:rsidRPr="00904DAC" w:rsidRDefault="009010F9" w:rsidP="009010F9">
      <w:pPr>
        <w:pStyle w:val="aa"/>
        <w:spacing w:line="360" w:lineRule="auto"/>
        <w:ind w:firstLineChars="0" w:firstLine="0"/>
        <w:jc w:val="left"/>
        <w:rPr>
          <w:rFonts w:ascii="Times New Roman" w:eastAsia="仿宋"/>
          <w:noProof w:val="0"/>
          <w:kern w:val="2"/>
          <w:sz w:val="24"/>
          <w:szCs w:val="22"/>
        </w:rPr>
      </w:pPr>
      <w:r w:rsidRPr="00904DAC">
        <w:rPr>
          <w:rFonts w:ascii="Times New Roman" w:eastAsia="仿宋"/>
          <w:noProof w:val="0"/>
          <w:kern w:val="2"/>
          <w:sz w:val="24"/>
          <w:szCs w:val="22"/>
        </w:rPr>
        <w:t xml:space="preserve">(2) Weigh the gravel and clay according to the particle size distribution of </w:t>
      </w:r>
      <w:r>
        <w:rPr>
          <w:rFonts w:ascii="Times New Roman" w:eastAsia="仿宋"/>
          <w:noProof w:val="0"/>
          <w:kern w:val="2"/>
          <w:sz w:val="24"/>
          <w:szCs w:val="22"/>
        </w:rPr>
        <w:t>LGB</w:t>
      </w:r>
      <w:r w:rsidRPr="00904DAC">
        <w:rPr>
          <w:rFonts w:ascii="Times New Roman" w:eastAsia="仿宋"/>
          <w:noProof w:val="0"/>
          <w:kern w:val="2"/>
          <w:sz w:val="24"/>
          <w:szCs w:val="22"/>
        </w:rPr>
        <w:t xml:space="preserve"> standard sandstone measured by</w:t>
      </w:r>
      <w:r>
        <w:rPr>
          <w:rFonts w:ascii="Times New Roman" w:eastAsia="仿宋"/>
          <w:noProof w:val="0"/>
          <w:kern w:val="2"/>
          <w:sz w:val="24"/>
          <w:szCs w:val="22"/>
        </w:rPr>
        <w:t xml:space="preserve"> </w:t>
      </w:r>
      <w:r>
        <w:rPr>
          <w:rFonts w:ascii="Times New Roman" w:eastAsia="仿宋"/>
          <w:noProof w:val="0"/>
          <w:kern w:val="2"/>
          <w:sz w:val="24"/>
          <w:szCs w:val="22"/>
        </w:rPr>
        <w:fldChar w:fldCharType="begin"/>
      </w:r>
      <w:r>
        <w:rPr>
          <w:rFonts w:ascii="Times New Roman" w:eastAsia="仿宋"/>
          <w:noProof w:val="0"/>
          <w:kern w:val="2"/>
          <w:sz w:val="24"/>
          <w:szCs w:val="22"/>
        </w:rPr>
        <w:instrText xml:space="preserve"> ADDIN EN.CITE &lt;EndNote&gt;&lt;Cite AuthorYear="1"&gt;&lt;Author&gt;Xie&lt;/Author&gt;&lt;Year&gt;2021&lt;/Year&gt;&lt;RecNum&gt;780&lt;/RecNum&gt;&lt;DisplayText&gt;Xie et al. (2021)&lt;/DisplayText&gt;&lt;record&gt;&lt;rec-number&gt;780&lt;/rec-number&gt;&lt;foreign-keys&gt;&lt;key app="EN" db-id="vrv0pxzsqtz0fhewa0e5v0v4p5f52zd2fssf" timestamp="1676636467"&gt;780&lt;/key&gt;&lt;/foreign-keys&gt;&lt;ref-type name="Journal Article"&gt;17&lt;/ref-type&gt;&lt;contributors&gt;&lt;authors&gt;&lt;author&gt;Xie, Lina&lt;/author&gt;&lt;author&gt;Zhang, Bingjian&lt;/author&gt;&lt;author&gt;Hu, Yulan&lt;/author&gt;&lt;/authors&gt;&lt;/contributors&gt;&lt;titles&gt;&lt;title&gt;A Novel Method of Preparing A Standard Weathered Sandstone Specimen: A Case Study of Red Sandstone from the Leshan Giant Buddha (Sichuan, China)&lt;/title&gt;&lt;secondary-title&gt;International Journal of Architectural Heritage&lt;/secondary-title&gt;&lt;/titles&gt;&lt;periodical&gt;&lt;full-title&gt;International Journal of Architectural Heritage&lt;/full-title&gt;&lt;/periodical&gt;&lt;pages&gt;1-15&lt;/pages&gt;&lt;dates&gt;&lt;year&gt;2021&lt;/year&gt;&lt;/dates&gt;&lt;publisher&gt;Taylor &amp;amp; Francis&lt;/publisher&gt;&lt;isbn&gt;1558-3058&lt;/isbn&gt;&lt;urls&gt;&lt;related-urls&gt;&lt;url&gt;https://doi.org/10.1080/15583058.2021.1942591&lt;/url&gt;&lt;/related-urls&gt;&lt;/urls&gt;&lt;electronic-resource-num&gt;10.1080/15583058.2021.1942591&lt;/electronic-resource-num&gt;&lt;/record&gt;&lt;/Cite&gt;&lt;/EndNote&gt;</w:instrText>
      </w:r>
      <w:r>
        <w:rPr>
          <w:rFonts w:ascii="Times New Roman" w:eastAsia="仿宋"/>
          <w:noProof w:val="0"/>
          <w:kern w:val="2"/>
          <w:sz w:val="24"/>
          <w:szCs w:val="22"/>
        </w:rPr>
        <w:fldChar w:fldCharType="separate"/>
      </w:r>
      <w:r>
        <w:rPr>
          <w:rFonts w:ascii="Times New Roman" w:eastAsia="仿宋"/>
          <w:kern w:val="2"/>
          <w:sz w:val="24"/>
          <w:szCs w:val="22"/>
        </w:rPr>
        <w:t>Xie et al. (2021)</w:t>
      </w:r>
      <w:r>
        <w:rPr>
          <w:rFonts w:ascii="Times New Roman" w:eastAsia="仿宋"/>
          <w:noProof w:val="0"/>
          <w:kern w:val="2"/>
          <w:sz w:val="24"/>
          <w:szCs w:val="22"/>
        </w:rPr>
        <w:fldChar w:fldCharType="end"/>
      </w:r>
      <w:r w:rsidRPr="00904DAC">
        <w:rPr>
          <w:rFonts w:ascii="Times New Roman" w:eastAsia="仿宋"/>
          <w:noProof w:val="0"/>
          <w:kern w:val="2"/>
          <w:sz w:val="24"/>
          <w:szCs w:val="22"/>
        </w:rPr>
        <w:t>, and mix them together.</w:t>
      </w:r>
    </w:p>
    <w:p w14:paraId="5DFA4E13" w14:textId="77777777" w:rsidR="009010F9" w:rsidRPr="00904DAC" w:rsidRDefault="009010F9" w:rsidP="009010F9">
      <w:pPr>
        <w:pStyle w:val="aa"/>
        <w:spacing w:line="360" w:lineRule="auto"/>
        <w:ind w:firstLineChars="0" w:firstLine="0"/>
        <w:jc w:val="left"/>
        <w:rPr>
          <w:rFonts w:ascii="Times New Roman" w:eastAsia="仿宋"/>
          <w:noProof w:val="0"/>
          <w:kern w:val="2"/>
          <w:sz w:val="24"/>
          <w:szCs w:val="22"/>
        </w:rPr>
      </w:pPr>
      <w:r w:rsidRPr="00904DAC">
        <w:rPr>
          <w:rFonts w:ascii="Times New Roman" w:eastAsia="仿宋"/>
          <w:noProof w:val="0"/>
          <w:kern w:val="2"/>
          <w:sz w:val="24"/>
          <w:szCs w:val="22"/>
        </w:rPr>
        <w:t xml:space="preserve">(3) Prepare a mixture of </w:t>
      </w:r>
      <w:proofErr w:type="gramStart"/>
      <w:r w:rsidRPr="00904DAC">
        <w:rPr>
          <w:rFonts w:ascii="Times New Roman" w:eastAsia="仿宋"/>
          <w:noProof w:val="0"/>
          <w:kern w:val="2"/>
          <w:sz w:val="24"/>
          <w:szCs w:val="22"/>
        </w:rPr>
        <w:t>Ca(</w:t>
      </w:r>
      <w:proofErr w:type="gramEnd"/>
      <w:r w:rsidRPr="00904DAC">
        <w:rPr>
          <w:rFonts w:ascii="Times New Roman" w:eastAsia="仿宋"/>
          <w:noProof w:val="0"/>
          <w:kern w:val="2"/>
          <w:sz w:val="24"/>
          <w:szCs w:val="22"/>
        </w:rPr>
        <w:t>OH)</w:t>
      </w:r>
      <w:r w:rsidRPr="00904DAC">
        <w:rPr>
          <w:rFonts w:ascii="Times New Roman" w:eastAsia="仿宋"/>
          <w:noProof w:val="0"/>
          <w:kern w:val="2"/>
          <w:sz w:val="24"/>
          <w:szCs w:val="22"/>
          <w:vertAlign w:val="subscript"/>
        </w:rPr>
        <w:t>2</w:t>
      </w:r>
      <w:r w:rsidRPr="00904DAC">
        <w:rPr>
          <w:rFonts w:ascii="Times New Roman" w:eastAsia="仿宋"/>
          <w:noProof w:val="0"/>
          <w:kern w:val="2"/>
          <w:sz w:val="24"/>
          <w:szCs w:val="22"/>
        </w:rPr>
        <w:t xml:space="preserve"> and water with a certain amount of water, in a ratio of H</w:t>
      </w:r>
      <w:r w:rsidRPr="00904DAC">
        <w:rPr>
          <w:rFonts w:ascii="Times New Roman" w:eastAsia="仿宋"/>
          <w:noProof w:val="0"/>
          <w:kern w:val="2"/>
          <w:sz w:val="24"/>
          <w:szCs w:val="22"/>
          <w:vertAlign w:val="subscript"/>
        </w:rPr>
        <w:t>2</w:t>
      </w:r>
      <w:r w:rsidRPr="00904DAC">
        <w:rPr>
          <w:rFonts w:ascii="Times New Roman" w:eastAsia="仿宋"/>
          <w:noProof w:val="0"/>
          <w:kern w:val="2"/>
          <w:sz w:val="24"/>
          <w:szCs w:val="22"/>
        </w:rPr>
        <w:t>O:Ca(OH)</w:t>
      </w:r>
      <w:r w:rsidRPr="00904DAC">
        <w:rPr>
          <w:rFonts w:ascii="Times New Roman" w:eastAsia="仿宋"/>
          <w:noProof w:val="0"/>
          <w:kern w:val="2"/>
          <w:sz w:val="24"/>
          <w:szCs w:val="22"/>
          <w:vertAlign w:val="subscript"/>
        </w:rPr>
        <w:t>2</w:t>
      </w:r>
      <w:r w:rsidRPr="00904DAC">
        <w:rPr>
          <w:rFonts w:ascii="Times New Roman" w:eastAsia="仿宋"/>
          <w:noProof w:val="0"/>
          <w:kern w:val="2"/>
          <w:sz w:val="24"/>
          <w:szCs w:val="22"/>
        </w:rPr>
        <w:t>:sand and clay=1:0.74:10. The higher the concentration of Ca(OH)</w:t>
      </w:r>
      <w:r w:rsidRPr="00904DAC">
        <w:rPr>
          <w:rFonts w:ascii="Times New Roman" w:eastAsia="仿宋"/>
          <w:noProof w:val="0"/>
          <w:kern w:val="2"/>
          <w:sz w:val="24"/>
          <w:szCs w:val="22"/>
          <w:vertAlign w:val="subscript"/>
        </w:rPr>
        <w:t>2</w:t>
      </w:r>
      <w:r w:rsidRPr="00904DAC">
        <w:rPr>
          <w:rFonts w:ascii="Times New Roman" w:eastAsia="仿宋"/>
          <w:noProof w:val="0"/>
          <w:kern w:val="2"/>
          <w:sz w:val="24"/>
          <w:szCs w:val="22"/>
        </w:rPr>
        <w:t>, the stronger the compressive strength of the final standard sandstone sample, which serves as the binding material between the sandstone particles.</w:t>
      </w:r>
    </w:p>
    <w:p w14:paraId="66921D58" w14:textId="77777777" w:rsidR="009010F9" w:rsidRDefault="009010F9" w:rsidP="009010F9">
      <w:pPr>
        <w:pStyle w:val="aa"/>
        <w:spacing w:line="360" w:lineRule="auto"/>
        <w:ind w:firstLineChars="0" w:firstLine="0"/>
        <w:jc w:val="left"/>
        <w:rPr>
          <w:rFonts w:ascii="Times New Roman" w:eastAsia="仿宋"/>
          <w:kern w:val="2"/>
          <w:sz w:val="24"/>
          <w:szCs w:val="22"/>
        </w:rPr>
      </w:pPr>
      <w:r w:rsidRPr="00904DAC">
        <w:rPr>
          <w:rFonts w:ascii="Times New Roman" w:eastAsia="仿宋"/>
          <w:noProof w:val="0"/>
          <w:kern w:val="2"/>
          <w:sz w:val="24"/>
          <w:szCs w:val="22"/>
        </w:rPr>
        <w:t xml:space="preserve">(4) Pour the mixed clay and gravel into the </w:t>
      </w:r>
      <w:proofErr w:type="gramStart"/>
      <w:r w:rsidRPr="00904DAC">
        <w:rPr>
          <w:rFonts w:ascii="Times New Roman" w:eastAsia="仿宋"/>
          <w:noProof w:val="0"/>
          <w:kern w:val="2"/>
          <w:sz w:val="24"/>
          <w:szCs w:val="22"/>
        </w:rPr>
        <w:t>Ca(</w:t>
      </w:r>
      <w:proofErr w:type="gramEnd"/>
      <w:r w:rsidRPr="00904DAC">
        <w:rPr>
          <w:rFonts w:ascii="Times New Roman" w:eastAsia="仿宋"/>
          <w:noProof w:val="0"/>
          <w:kern w:val="2"/>
          <w:sz w:val="24"/>
          <w:szCs w:val="22"/>
        </w:rPr>
        <w:t>OH)</w:t>
      </w:r>
      <w:r w:rsidRPr="00904DAC">
        <w:rPr>
          <w:rFonts w:ascii="Times New Roman" w:eastAsia="仿宋"/>
          <w:noProof w:val="0"/>
          <w:kern w:val="2"/>
          <w:sz w:val="24"/>
          <w:szCs w:val="22"/>
          <w:vertAlign w:val="subscript"/>
        </w:rPr>
        <w:t xml:space="preserve">2 </w:t>
      </w:r>
      <w:r w:rsidRPr="00904DAC">
        <w:rPr>
          <w:rFonts w:ascii="Times New Roman" w:eastAsia="仿宋"/>
          <w:noProof w:val="0"/>
          <w:kern w:val="2"/>
          <w:sz w:val="24"/>
          <w:szCs w:val="22"/>
        </w:rPr>
        <w:t>mixture and stir thoroughly, then fill it into a mold (see Figure 1). Allow the hammer to freely fall from the maximum height and strike the mixture 25 times continuously before removing it and placing it in a carbon dioxide incubator for 10 days.</w:t>
      </w:r>
      <w:r>
        <w:rPr>
          <w:rFonts w:ascii="Times New Roman" w:eastAsia="仿宋"/>
          <w:kern w:val="2"/>
          <w:sz w:val="24"/>
          <w:szCs w:val="22"/>
        </w:rPr>
        <w:t xml:space="preserve"> </w:t>
      </w:r>
    </w:p>
    <w:p w14:paraId="601B6572" w14:textId="77777777" w:rsidR="009010F9" w:rsidRPr="00DD6D52" w:rsidRDefault="009010F9" w:rsidP="00D14776">
      <w:pPr>
        <w:pStyle w:val="1"/>
      </w:pPr>
      <w:r w:rsidRPr="00DD6D52">
        <w:lastRenderedPageBreak/>
        <w:t xml:space="preserve">Carbonic Anhydrase Enzyme Activity </w:t>
      </w:r>
      <w:r>
        <w:t xml:space="preserve">Measurement </w:t>
      </w:r>
    </w:p>
    <w:p w14:paraId="7BA05B69" w14:textId="77777777" w:rsidR="006A6A17" w:rsidRDefault="009010F9" w:rsidP="009010F9">
      <w:pPr>
        <w:spacing w:line="360" w:lineRule="auto"/>
        <w:ind w:firstLineChars="200" w:firstLine="480"/>
        <w:rPr>
          <w:rFonts w:ascii="Times New Roman" w:hAnsi="Times New Roman" w:cs="Times New Roman"/>
        </w:rPr>
      </w:pPr>
      <w:r w:rsidRPr="00256415">
        <w:rPr>
          <w:rFonts w:ascii="Times New Roman" w:hAnsi="Times New Roman" w:cs="Times New Roman"/>
        </w:rPr>
        <w:t xml:space="preserve">Sample </w:t>
      </w:r>
      <w:r>
        <w:rPr>
          <w:rFonts w:ascii="Times New Roman" w:hAnsi="Times New Roman" w:cs="Times New Roman" w:hint="eastAsia"/>
        </w:rPr>
        <w:t>p</w:t>
      </w:r>
      <w:r w:rsidRPr="00256415">
        <w:rPr>
          <w:rFonts w:ascii="Times New Roman" w:hAnsi="Times New Roman" w:cs="Times New Roman"/>
        </w:rPr>
        <w:t>reparation</w:t>
      </w:r>
      <w:r>
        <w:rPr>
          <w:rFonts w:ascii="Times New Roman" w:hAnsi="Times New Roman" w:cs="Times New Roman" w:hint="eastAsia"/>
        </w:rPr>
        <w:t>：</w:t>
      </w:r>
      <w:r>
        <w:rPr>
          <w:rFonts w:ascii="Times New Roman" w:hAnsi="Times New Roman" w:cs="Times New Roman"/>
        </w:rPr>
        <w:t>1) Tissues</w:t>
      </w:r>
      <w:r w:rsidRPr="00256415">
        <w:rPr>
          <w:rFonts w:ascii="Times New Roman" w:hAnsi="Times New Roman" w:cs="Times New Roman"/>
        </w:rPr>
        <w:t xml:space="preserve"> were homogenized in extraction buffer at a ratio based on tissue weight (g) to buffer volume (mL) ranging from 1:5 to 1:10. The homogenization was conducted in an ice bath</w:t>
      </w:r>
      <w:r>
        <w:rPr>
          <w:rFonts w:ascii="Times New Roman" w:hAnsi="Times New Roman" w:cs="Times New Roman"/>
        </w:rPr>
        <w:t>; 2) t</w:t>
      </w:r>
      <w:r w:rsidRPr="00256415">
        <w:rPr>
          <w:rFonts w:ascii="Times New Roman" w:hAnsi="Times New Roman" w:cs="Times New Roman"/>
        </w:rPr>
        <w:t>he homogenate was then subjected to centrifugation at 8000g for 10 minutes at a temperature of 4°C</w:t>
      </w:r>
      <w:r>
        <w:rPr>
          <w:rFonts w:ascii="Times New Roman" w:hAnsi="Times New Roman" w:cs="Times New Roman"/>
        </w:rPr>
        <w:t>; 3) t</w:t>
      </w:r>
      <w:r w:rsidRPr="00256415">
        <w:rPr>
          <w:rFonts w:ascii="Times New Roman" w:hAnsi="Times New Roman" w:cs="Times New Roman"/>
        </w:rPr>
        <w:t>he supernatant was collected and stored on ice for subsequent analysis</w:t>
      </w:r>
      <w:r>
        <w:rPr>
          <w:rFonts w:ascii="Times New Roman" w:hAnsi="Times New Roman" w:cs="Times New Roman"/>
        </w:rPr>
        <w:t xml:space="preserve">. </w:t>
      </w:r>
      <w:r w:rsidRPr="00256415">
        <w:rPr>
          <w:rFonts w:ascii="Times New Roman" w:hAnsi="Times New Roman" w:cs="Times New Roman"/>
        </w:rPr>
        <w:t>Spectrophotometric Assay</w:t>
      </w:r>
      <w:r>
        <w:rPr>
          <w:rFonts w:ascii="Times New Roman" w:hAnsi="Times New Roman" w:cs="Times New Roman"/>
        </w:rPr>
        <w:t>: 1) t</w:t>
      </w:r>
      <w:r w:rsidRPr="001C5924">
        <w:rPr>
          <w:rFonts w:ascii="Times New Roman" w:hAnsi="Times New Roman" w:cs="Times New Roman"/>
        </w:rPr>
        <w:t>he spectrophotometer was pre-warmed for 30 minutes, and the wavelength was set to 405 nm. Baseline calibration was performed using distilled water</w:t>
      </w:r>
      <w:r>
        <w:rPr>
          <w:rFonts w:ascii="Times New Roman" w:hAnsi="Times New Roman" w:cs="Times New Roman"/>
        </w:rPr>
        <w:t xml:space="preserve">; 2) </w:t>
      </w:r>
      <w:r w:rsidRPr="001C5924">
        <w:rPr>
          <w:rFonts w:ascii="Times New Roman" w:hAnsi="Times New Roman" w:cs="Times New Roman"/>
        </w:rPr>
        <w:t xml:space="preserve">Reagents 1 and 2 were pre-warmed at 25°C for 10 minutes </w:t>
      </w:r>
      <w:r>
        <w:rPr>
          <w:rFonts w:ascii="Times New Roman" w:hAnsi="Times New Roman" w:cs="Times New Roman"/>
        </w:rPr>
        <w:t>before</w:t>
      </w:r>
      <w:r w:rsidRPr="001C5924">
        <w:rPr>
          <w:rFonts w:ascii="Times New Roman" w:hAnsi="Times New Roman" w:cs="Times New Roman"/>
        </w:rPr>
        <w:t xml:space="preserve"> the assay</w:t>
      </w:r>
      <w:r>
        <w:rPr>
          <w:rFonts w:ascii="Times New Roman" w:hAnsi="Times New Roman" w:cs="Times New Roman"/>
        </w:rPr>
        <w:t>; 3) i</w:t>
      </w:r>
      <w:r w:rsidRPr="001C5924">
        <w:rPr>
          <w:rFonts w:ascii="Times New Roman" w:hAnsi="Times New Roman" w:cs="Times New Roman"/>
        </w:rPr>
        <w:t xml:space="preserve">n a 1 mL glass cuvette, 100 </w:t>
      </w:r>
      <w:proofErr w:type="spellStart"/>
      <w:r w:rsidRPr="001C5924">
        <w:rPr>
          <w:rFonts w:ascii="Times New Roman" w:hAnsi="Times New Roman" w:cs="Times New Roman"/>
        </w:rPr>
        <w:t>μL</w:t>
      </w:r>
      <w:proofErr w:type="spellEnd"/>
      <w:r w:rsidRPr="001C5924">
        <w:rPr>
          <w:rFonts w:ascii="Times New Roman" w:hAnsi="Times New Roman" w:cs="Times New Roman"/>
        </w:rPr>
        <w:t xml:space="preserve"> of sample supernatant was added, followed by 700 </w:t>
      </w:r>
      <w:proofErr w:type="spellStart"/>
      <w:r w:rsidRPr="001C5924">
        <w:rPr>
          <w:rFonts w:ascii="Times New Roman" w:hAnsi="Times New Roman" w:cs="Times New Roman"/>
        </w:rPr>
        <w:t>μL</w:t>
      </w:r>
      <w:proofErr w:type="spellEnd"/>
      <w:r w:rsidRPr="001C5924">
        <w:rPr>
          <w:rFonts w:ascii="Times New Roman" w:hAnsi="Times New Roman" w:cs="Times New Roman"/>
        </w:rPr>
        <w:t xml:space="preserve"> of Reagent 1, and lastly, 200 </w:t>
      </w:r>
      <w:proofErr w:type="spellStart"/>
      <w:r w:rsidRPr="001C5924">
        <w:rPr>
          <w:rFonts w:ascii="Times New Roman" w:hAnsi="Times New Roman" w:cs="Times New Roman"/>
        </w:rPr>
        <w:t>μL</w:t>
      </w:r>
      <w:proofErr w:type="spellEnd"/>
      <w:r w:rsidRPr="001C5924">
        <w:rPr>
          <w:rFonts w:ascii="Times New Roman" w:hAnsi="Times New Roman" w:cs="Times New Roman"/>
        </w:rPr>
        <w:t xml:space="preserve"> of Reagent 2</w:t>
      </w:r>
      <w:r>
        <w:rPr>
          <w:rFonts w:ascii="Times New Roman" w:hAnsi="Times New Roman" w:cs="Times New Roman"/>
        </w:rPr>
        <w:t>; 4) t</w:t>
      </w:r>
      <w:r w:rsidRPr="001C5924">
        <w:rPr>
          <w:rFonts w:ascii="Times New Roman" w:hAnsi="Times New Roman" w:cs="Times New Roman"/>
        </w:rPr>
        <w:t>he reagents were immediately mixed, and absorbance readings were taken at 405 nm after 3 minutes (A1) and 6 minutes (A2). The change in absorbance (ΔA) was calculated as A2 - A1</w:t>
      </w:r>
      <w:r>
        <w:rPr>
          <w:rFonts w:ascii="Times New Roman" w:hAnsi="Times New Roman" w:cs="Times New Roman"/>
        </w:rPr>
        <w:t xml:space="preserve"> </w:t>
      </w:r>
      <w:r>
        <w:rPr>
          <w:rFonts w:ascii="Times New Roman" w:hAnsi="Times New Roman" w:cs="Times New Roman" w:hint="eastAsia"/>
        </w:rPr>
        <w:t>and</w:t>
      </w:r>
      <w:r>
        <w:rPr>
          <w:rFonts w:ascii="Times New Roman" w:hAnsi="Times New Roman" w:cs="Times New Roman"/>
        </w:rPr>
        <w:t xml:space="preserve"> W represents </w:t>
      </w:r>
      <w:r>
        <w:rPr>
          <w:rFonts w:ascii="Times New Roman" w:hAnsi="Times New Roman" w:cs="Times New Roman" w:hint="eastAsia"/>
        </w:rPr>
        <w:t>samples</w:t>
      </w:r>
      <w:r>
        <w:rPr>
          <w:rFonts w:ascii="Times New Roman" w:hAnsi="Times New Roman" w:cs="Times New Roman"/>
        </w:rPr>
        <w:t xml:space="preserve"> </w:t>
      </w:r>
      <w:r>
        <w:rPr>
          <w:rFonts w:ascii="Times New Roman" w:hAnsi="Times New Roman" w:cs="Times New Roman" w:hint="eastAsia"/>
        </w:rPr>
        <w:t>fresh</w:t>
      </w:r>
      <w:r>
        <w:rPr>
          <w:rFonts w:ascii="Times New Roman" w:hAnsi="Times New Roman" w:cs="Times New Roman"/>
        </w:rPr>
        <w:t xml:space="preserve"> </w:t>
      </w:r>
      <w:r>
        <w:rPr>
          <w:rFonts w:ascii="Times New Roman" w:hAnsi="Times New Roman" w:cs="Times New Roman" w:hint="eastAsia"/>
        </w:rPr>
        <w:t>weight</w:t>
      </w:r>
      <w:r>
        <w:rPr>
          <w:rFonts w:ascii="Times New Roman" w:hAnsi="Times New Roman" w:cs="Times New Roman"/>
        </w:rPr>
        <w:t xml:space="preserve"> </w:t>
      </w:r>
    </w:p>
    <w:p w14:paraId="160FAD25" w14:textId="42313F28" w:rsidR="009010F9" w:rsidRPr="00256415" w:rsidRDefault="006A6A17" w:rsidP="009010F9">
      <w:pPr>
        <w:spacing w:line="360" w:lineRule="auto"/>
        <w:ind w:firstLineChars="200" w:firstLine="480"/>
        <w:rPr>
          <w:rFonts w:ascii="Times New Roman" w:hAnsi="Times New Roman" w:cs="Times New Roman"/>
        </w:rPr>
      </w:pPr>
      <w:r>
        <w:rPr>
          <w:rFonts w:ascii="Times New Roman" w:hAnsi="Times New Roman" w:cs="Times New Roman"/>
        </w:rPr>
        <w:t xml:space="preserve"> </w:t>
      </w:r>
      <w:r w:rsidR="009010F9">
        <w:rPr>
          <w:rFonts w:ascii="Times New Roman" w:hAnsi="Times New Roman" w:cs="Times New Roman"/>
        </w:rPr>
        <w:t>(</w:t>
      </w:r>
      <w:proofErr w:type="gramStart"/>
      <w:r w:rsidR="009010F9">
        <w:rPr>
          <w:rFonts w:ascii="Times New Roman" w:hAnsi="Times New Roman" w:cs="Times New Roman"/>
        </w:rPr>
        <w:t>formula</w:t>
      </w:r>
      <w:proofErr w:type="gramEnd"/>
      <w:r w:rsidR="009010F9">
        <w:rPr>
          <w:rFonts w:ascii="Times New Roman" w:hAnsi="Times New Roman" w:cs="Times New Roman"/>
        </w:rPr>
        <w:t xml:space="preserve"> 2)</w:t>
      </w:r>
      <w:r w:rsidR="009010F9" w:rsidRPr="001C5924">
        <w:rPr>
          <w:rFonts w:ascii="Times New Roman" w:hAnsi="Times New Roman" w:cs="Times New Roman"/>
        </w:rPr>
        <w:t>.</w:t>
      </w:r>
    </w:p>
    <w:p w14:paraId="2680BEF9" w14:textId="1DEDDDDB" w:rsidR="009010F9" w:rsidRPr="009010F9" w:rsidRDefault="009010F9" w:rsidP="009010F9">
      <w:pPr>
        <w:spacing w:line="360" w:lineRule="auto"/>
        <w:rPr>
          <w:rFonts w:ascii="Times New Roman" w:hAnsi="Times New Roman" w:cs="Times New Roman"/>
        </w:rPr>
      </w:pPr>
      <m:oMathPara>
        <m:oMath>
          <m:r>
            <w:rPr>
              <w:rFonts w:ascii="Cambria Math" w:hAnsi="Cambria Math" w:cs="Times New Roman"/>
            </w:rPr>
            <m:t xml:space="preserve">CA activity </m:t>
          </m:r>
          <m:d>
            <m:dPr>
              <m:ctrlPr>
                <w:rPr>
                  <w:rFonts w:ascii="Cambria Math" w:hAnsi="Cambria Math" w:cs="Times New Roman"/>
                  <w:i/>
                </w:rPr>
              </m:ctrlPr>
            </m:dPr>
            <m:e>
              <m:r>
                <w:rPr>
                  <w:rFonts w:ascii="Cambria Math" w:hAnsi="Cambria Math" w:cs="Times New Roman"/>
                </w:rPr>
                <m:t>nmol*</m:t>
              </m:r>
              <m:sSup>
                <m:sSupPr>
                  <m:ctrlPr>
                    <w:rPr>
                      <w:rFonts w:ascii="Cambria Math" w:hAnsi="Cambria Math" w:cs="Times New Roman"/>
                      <w:i/>
                    </w:rPr>
                  </m:ctrlPr>
                </m:sSupPr>
                <m:e>
                  <m:r>
                    <w:rPr>
                      <w:rFonts w:ascii="Cambria Math" w:hAnsi="Cambria Math" w:cs="Times New Roman"/>
                    </w:rPr>
                    <m:t>min</m:t>
                  </m:r>
                </m:e>
                <m:sup>
                  <m:r>
                    <w:rPr>
                      <w:rFonts w:ascii="Cambria Math" w:hAnsi="Cambria Math" w:cs="Times New Roman"/>
                    </w:rPr>
                    <m:t>-1</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g</m:t>
                  </m:r>
                </m:e>
                <m:sup>
                  <m:r>
                    <w:rPr>
                      <w:rFonts w:ascii="Cambria Math" w:hAnsi="Cambria Math" w:cs="Times New Roman"/>
                    </w:rPr>
                    <m:t>-1</m:t>
                  </m:r>
                </m:sup>
              </m:sSup>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159.8*(</m:t>
              </m:r>
              <m:r>
                <w:rPr>
                  <w:rFonts w:ascii="Cambria Math" w:hAnsi="Cambria Math" w:cs="Times New Roman" w:hint="eastAsia"/>
                </w:rPr>
                <m:t>△</m:t>
              </m:r>
              <m:r>
                <w:rPr>
                  <w:rFonts w:ascii="Cambria Math" w:hAnsi="Cambria Math" w:cs="Times New Roman"/>
                </w:rPr>
                <m:t>A</m:t>
              </m:r>
              <m:r>
                <w:rPr>
                  <w:rFonts w:ascii="Cambria Math" w:eastAsia="微软雅黑" w:hAnsi="Cambria Math" w:cs="微软雅黑" w:hint="eastAsia"/>
                </w:rPr>
                <m:t>-</m:t>
              </m:r>
              <m:r>
                <w:rPr>
                  <w:rFonts w:ascii="Cambria Math" w:hAnsi="Cambria Math" w:cs="Times New Roman"/>
                </w:rPr>
                <m:t>0.001)</m:t>
              </m:r>
            </m:num>
            <m:den>
              <m:r>
                <w:rPr>
                  <w:rFonts w:ascii="Cambria Math" w:hAnsi="Cambria Math" w:cs="Times New Roman"/>
                </w:rPr>
                <m:t>W</m:t>
              </m:r>
            </m:den>
          </m:f>
        </m:oMath>
      </m:oMathPara>
    </w:p>
    <w:bookmarkEnd w:id="0"/>
    <w:p w14:paraId="169C2AD6" w14:textId="5C343B3E" w:rsidR="009010F9" w:rsidRPr="00CE2210" w:rsidRDefault="009010F9" w:rsidP="00CE2210">
      <w:pPr>
        <w:rPr>
          <w:rFonts w:ascii="Times New Roman" w:hAnsi="Times New Roman" w:cs="Times New Roman" w:hint="eastAsia"/>
          <w:b/>
          <w:bCs/>
          <w:sz w:val="40"/>
          <w:szCs w:val="36"/>
        </w:rPr>
      </w:pPr>
    </w:p>
    <w:tbl>
      <w:tblPr>
        <w:tblpPr w:leftFromText="180" w:rightFromText="180" w:vertAnchor="page" w:horzAnchor="margin" w:tblpY="5208"/>
        <w:tblW w:w="8500" w:type="dxa"/>
        <w:tblLayout w:type="fixed"/>
        <w:tblLook w:val="04A0" w:firstRow="1" w:lastRow="0" w:firstColumn="1" w:lastColumn="0" w:noHBand="0" w:noVBand="1"/>
      </w:tblPr>
      <w:tblGrid>
        <w:gridCol w:w="1413"/>
        <w:gridCol w:w="2126"/>
        <w:gridCol w:w="2410"/>
        <w:gridCol w:w="2551"/>
      </w:tblGrid>
      <w:tr w:rsidR="006A6A17" w:rsidRPr="006A6A17" w14:paraId="69B13861" w14:textId="77777777" w:rsidTr="006A6A17">
        <w:trPr>
          <w:trHeight w:val="217"/>
        </w:trPr>
        <w:tc>
          <w:tcPr>
            <w:tcW w:w="8500" w:type="dxa"/>
            <w:gridSpan w:val="4"/>
            <w:tcBorders>
              <w:bottom w:val="single" w:sz="4" w:space="0" w:color="auto"/>
            </w:tcBorders>
            <w:shd w:val="clear" w:color="auto" w:fill="auto"/>
            <w:noWrap/>
            <w:vAlign w:val="bottom"/>
            <w:hideMark/>
          </w:tcPr>
          <w:p w14:paraId="675602AB" w14:textId="77777777" w:rsidR="006A6A17" w:rsidRPr="006A6A17" w:rsidRDefault="006A6A17" w:rsidP="006A6A17">
            <w:pPr>
              <w:widowControl/>
              <w:jc w:val="center"/>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 xml:space="preserve">Statistical Table of Different Types of Defects at All Survey Points of the </w:t>
            </w:r>
            <w:proofErr w:type="spellStart"/>
            <w:r w:rsidRPr="006A6A17">
              <w:rPr>
                <w:rFonts w:ascii="等线" w:eastAsia="等线" w:hAnsi="等线" w:cs="宋体" w:hint="eastAsia"/>
                <w:b/>
                <w:bCs/>
                <w:color w:val="000000"/>
                <w:kern w:val="0"/>
                <w:sz w:val="22"/>
              </w:rPr>
              <w:t>Leshan</w:t>
            </w:r>
            <w:proofErr w:type="spellEnd"/>
            <w:r w:rsidRPr="006A6A17">
              <w:rPr>
                <w:rFonts w:ascii="等线" w:eastAsia="等线" w:hAnsi="等线" w:cs="宋体" w:hint="eastAsia"/>
                <w:b/>
                <w:bCs/>
                <w:color w:val="000000"/>
                <w:kern w:val="0"/>
                <w:sz w:val="22"/>
              </w:rPr>
              <w:t xml:space="preserve"> Giant Buddha</w:t>
            </w:r>
          </w:p>
        </w:tc>
      </w:tr>
      <w:tr w:rsidR="006A6A17" w:rsidRPr="006A6A17" w14:paraId="4F572360" w14:textId="77777777" w:rsidTr="006A6A17">
        <w:trPr>
          <w:trHeight w:val="670"/>
        </w:trPr>
        <w:tc>
          <w:tcPr>
            <w:tcW w:w="1413" w:type="dxa"/>
            <w:tcBorders>
              <w:top w:val="nil"/>
              <w:left w:val="single" w:sz="4" w:space="0" w:color="auto"/>
              <w:bottom w:val="single" w:sz="4" w:space="0" w:color="auto"/>
              <w:right w:val="single" w:sz="4" w:space="0" w:color="auto"/>
            </w:tcBorders>
            <w:shd w:val="clear" w:color="auto" w:fill="auto"/>
            <w:vAlign w:val="center"/>
            <w:hideMark/>
          </w:tcPr>
          <w:p w14:paraId="4ECCCE69"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Various types of deterioration</w:t>
            </w:r>
          </w:p>
        </w:tc>
        <w:tc>
          <w:tcPr>
            <w:tcW w:w="2126" w:type="dxa"/>
            <w:tcBorders>
              <w:top w:val="nil"/>
              <w:left w:val="nil"/>
              <w:bottom w:val="single" w:sz="4" w:space="0" w:color="auto"/>
              <w:right w:val="single" w:sz="4" w:space="0" w:color="auto"/>
            </w:tcBorders>
            <w:shd w:val="clear" w:color="auto" w:fill="auto"/>
            <w:vAlign w:val="center"/>
            <w:hideMark/>
          </w:tcPr>
          <w:p w14:paraId="22175E93"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Total area of this type of deterioration in all sampling points （cm</w:t>
            </w:r>
            <w:r w:rsidRPr="006A6A17">
              <w:rPr>
                <w:rFonts w:ascii="等线" w:eastAsia="等线" w:hAnsi="等线" w:cs="宋体" w:hint="eastAsia"/>
                <w:b/>
                <w:bCs/>
                <w:color w:val="000000"/>
                <w:kern w:val="0"/>
                <w:sz w:val="22"/>
                <w:vertAlign w:val="superscript"/>
              </w:rPr>
              <w:t>2</w:t>
            </w:r>
            <w:r w:rsidRPr="006A6A17">
              <w:rPr>
                <w:rFonts w:ascii="等线" w:eastAsia="等线" w:hAnsi="等线" w:cs="宋体" w:hint="eastAsia"/>
                <w:b/>
                <w:bCs/>
                <w:color w:val="000000"/>
                <w:kern w:val="0"/>
                <w:sz w:val="22"/>
              </w:rPr>
              <w:t>）</w:t>
            </w:r>
          </w:p>
        </w:tc>
        <w:tc>
          <w:tcPr>
            <w:tcW w:w="2410" w:type="dxa"/>
            <w:tcBorders>
              <w:top w:val="nil"/>
              <w:left w:val="nil"/>
              <w:bottom w:val="single" w:sz="4" w:space="0" w:color="auto"/>
              <w:right w:val="single" w:sz="4" w:space="0" w:color="auto"/>
            </w:tcBorders>
            <w:shd w:val="clear" w:color="auto" w:fill="auto"/>
            <w:vAlign w:val="center"/>
            <w:hideMark/>
          </w:tcPr>
          <w:p w14:paraId="7593EB5D"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 xml:space="preserve">Percentage of this type of deterioration relative to all </w:t>
            </w:r>
            <w:proofErr w:type="gramStart"/>
            <w:r w:rsidRPr="006A6A17">
              <w:rPr>
                <w:rFonts w:ascii="等线" w:eastAsia="等线" w:hAnsi="等线" w:cs="宋体" w:hint="eastAsia"/>
                <w:b/>
                <w:bCs/>
                <w:color w:val="000000"/>
                <w:kern w:val="0"/>
                <w:sz w:val="22"/>
              </w:rPr>
              <w:t>deterioration(</w:t>
            </w:r>
            <w:proofErr w:type="gramEnd"/>
            <w:r w:rsidRPr="006A6A17">
              <w:rPr>
                <w:rFonts w:ascii="等线" w:eastAsia="等线" w:hAnsi="等线" w:cs="宋体" w:hint="eastAsia"/>
                <w:b/>
                <w:bCs/>
                <w:color w:val="000000"/>
                <w:kern w:val="0"/>
                <w:sz w:val="22"/>
              </w:rPr>
              <w:t>%)</w:t>
            </w:r>
          </w:p>
        </w:tc>
        <w:tc>
          <w:tcPr>
            <w:tcW w:w="2551" w:type="dxa"/>
            <w:tcBorders>
              <w:top w:val="nil"/>
              <w:left w:val="nil"/>
              <w:bottom w:val="single" w:sz="4" w:space="0" w:color="auto"/>
              <w:right w:val="single" w:sz="4" w:space="0" w:color="auto"/>
            </w:tcBorders>
            <w:shd w:val="clear" w:color="auto" w:fill="auto"/>
            <w:vAlign w:val="center"/>
            <w:hideMark/>
          </w:tcPr>
          <w:p w14:paraId="46B9574E"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Percentage of this type of deterioration relative to biological deterioration（</w:t>
            </w:r>
            <w:r w:rsidRPr="006A6A17">
              <w:rPr>
                <w:rFonts w:ascii="等线" w:eastAsia="等线" w:hAnsi="等线" w:cs="宋体" w:hint="eastAsia"/>
                <w:b/>
                <w:bCs/>
                <w:color w:val="000000"/>
                <w:kern w:val="0"/>
                <w:szCs w:val="24"/>
              </w:rPr>
              <w:t>%</w:t>
            </w:r>
            <w:r w:rsidRPr="006A6A17">
              <w:rPr>
                <w:rFonts w:ascii="仿宋" w:hAnsi="仿宋" w:cs="宋体" w:hint="eastAsia"/>
                <w:b/>
                <w:bCs/>
                <w:color w:val="000000"/>
                <w:kern w:val="0"/>
                <w:szCs w:val="24"/>
              </w:rPr>
              <w:t>）</w:t>
            </w:r>
          </w:p>
        </w:tc>
      </w:tr>
      <w:tr w:rsidR="006A6A17" w:rsidRPr="006A6A17" w14:paraId="385625E9" w14:textId="77777777" w:rsidTr="006A6A17">
        <w:trPr>
          <w:trHeight w:val="220"/>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5CF5041F"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Bryophyta</w:t>
            </w:r>
          </w:p>
        </w:tc>
        <w:tc>
          <w:tcPr>
            <w:tcW w:w="2126" w:type="dxa"/>
            <w:tcBorders>
              <w:top w:val="nil"/>
              <w:left w:val="nil"/>
              <w:bottom w:val="single" w:sz="4" w:space="0" w:color="auto"/>
              <w:right w:val="single" w:sz="4" w:space="0" w:color="auto"/>
            </w:tcBorders>
            <w:shd w:val="clear" w:color="auto" w:fill="auto"/>
            <w:noWrap/>
            <w:vAlign w:val="center"/>
            <w:hideMark/>
          </w:tcPr>
          <w:p w14:paraId="3EAC08D5"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230231</w:t>
            </w:r>
          </w:p>
        </w:tc>
        <w:tc>
          <w:tcPr>
            <w:tcW w:w="2410" w:type="dxa"/>
            <w:tcBorders>
              <w:top w:val="nil"/>
              <w:left w:val="nil"/>
              <w:bottom w:val="single" w:sz="4" w:space="0" w:color="auto"/>
              <w:right w:val="single" w:sz="4" w:space="0" w:color="auto"/>
            </w:tcBorders>
            <w:shd w:val="clear" w:color="auto" w:fill="auto"/>
            <w:vAlign w:val="center"/>
            <w:hideMark/>
          </w:tcPr>
          <w:p w14:paraId="68DB989C"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50</w:t>
            </w:r>
          </w:p>
        </w:tc>
        <w:tc>
          <w:tcPr>
            <w:tcW w:w="2551" w:type="dxa"/>
            <w:tcBorders>
              <w:top w:val="nil"/>
              <w:left w:val="nil"/>
              <w:bottom w:val="single" w:sz="4" w:space="0" w:color="auto"/>
              <w:right w:val="single" w:sz="4" w:space="0" w:color="auto"/>
            </w:tcBorders>
            <w:shd w:val="clear" w:color="auto" w:fill="auto"/>
            <w:noWrap/>
            <w:vAlign w:val="center"/>
            <w:hideMark/>
          </w:tcPr>
          <w:p w14:paraId="4B7A9294" w14:textId="77777777" w:rsidR="006A6A17" w:rsidRPr="006A6A17" w:rsidRDefault="006A6A17" w:rsidP="006A6A17">
            <w:pPr>
              <w:widowControl/>
              <w:jc w:val="center"/>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61.8</w:t>
            </w:r>
          </w:p>
        </w:tc>
      </w:tr>
      <w:tr w:rsidR="006A6A17" w:rsidRPr="006A6A17" w14:paraId="3093003A" w14:textId="77777777" w:rsidTr="006A6A17">
        <w:trPr>
          <w:trHeight w:val="217"/>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5BF935EF"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Lichen</w:t>
            </w:r>
          </w:p>
        </w:tc>
        <w:tc>
          <w:tcPr>
            <w:tcW w:w="2126" w:type="dxa"/>
            <w:tcBorders>
              <w:top w:val="nil"/>
              <w:left w:val="nil"/>
              <w:bottom w:val="single" w:sz="4" w:space="0" w:color="auto"/>
              <w:right w:val="single" w:sz="4" w:space="0" w:color="auto"/>
            </w:tcBorders>
            <w:shd w:val="clear" w:color="auto" w:fill="auto"/>
            <w:noWrap/>
            <w:vAlign w:val="center"/>
            <w:hideMark/>
          </w:tcPr>
          <w:p w14:paraId="0296E6F2"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94601</w:t>
            </w:r>
          </w:p>
        </w:tc>
        <w:tc>
          <w:tcPr>
            <w:tcW w:w="2410" w:type="dxa"/>
            <w:tcBorders>
              <w:top w:val="nil"/>
              <w:left w:val="nil"/>
              <w:bottom w:val="single" w:sz="4" w:space="0" w:color="auto"/>
              <w:right w:val="single" w:sz="4" w:space="0" w:color="auto"/>
            </w:tcBorders>
            <w:shd w:val="clear" w:color="auto" w:fill="auto"/>
            <w:vAlign w:val="center"/>
            <w:hideMark/>
          </w:tcPr>
          <w:p w14:paraId="72269293"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20</w:t>
            </w:r>
          </w:p>
        </w:tc>
        <w:tc>
          <w:tcPr>
            <w:tcW w:w="2551" w:type="dxa"/>
            <w:tcBorders>
              <w:top w:val="nil"/>
              <w:left w:val="nil"/>
              <w:bottom w:val="single" w:sz="4" w:space="0" w:color="auto"/>
              <w:right w:val="single" w:sz="4" w:space="0" w:color="auto"/>
            </w:tcBorders>
            <w:shd w:val="clear" w:color="auto" w:fill="auto"/>
            <w:noWrap/>
            <w:vAlign w:val="center"/>
            <w:hideMark/>
          </w:tcPr>
          <w:p w14:paraId="4CD2083E" w14:textId="77777777" w:rsidR="006A6A17" w:rsidRPr="006A6A17" w:rsidRDefault="006A6A17" w:rsidP="006A6A17">
            <w:pPr>
              <w:widowControl/>
              <w:jc w:val="center"/>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25.4</w:t>
            </w:r>
          </w:p>
        </w:tc>
      </w:tr>
      <w:tr w:rsidR="006A6A17" w:rsidRPr="006A6A17" w14:paraId="06125C43" w14:textId="77777777" w:rsidTr="006A6A17">
        <w:trPr>
          <w:trHeight w:val="217"/>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27C7269"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Biofilms</w:t>
            </w:r>
          </w:p>
        </w:tc>
        <w:tc>
          <w:tcPr>
            <w:tcW w:w="2126" w:type="dxa"/>
            <w:tcBorders>
              <w:top w:val="nil"/>
              <w:left w:val="nil"/>
              <w:bottom w:val="single" w:sz="4" w:space="0" w:color="auto"/>
              <w:right w:val="single" w:sz="4" w:space="0" w:color="auto"/>
            </w:tcBorders>
            <w:shd w:val="clear" w:color="auto" w:fill="auto"/>
            <w:noWrap/>
            <w:vAlign w:val="center"/>
            <w:hideMark/>
          </w:tcPr>
          <w:p w14:paraId="4B3DE89B"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20300</w:t>
            </w:r>
          </w:p>
        </w:tc>
        <w:tc>
          <w:tcPr>
            <w:tcW w:w="2410" w:type="dxa"/>
            <w:tcBorders>
              <w:top w:val="nil"/>
              <w:left w:val="nil"/>
              <w:bottom w:val="single" w:sz="4" w:space="0" w:color="auto"/>
              <w:right w:val="single" w:sz="4" w:space="0" w:color="auto"/>
            </w:tcBorders>
            <w:shd w:val="clear" w:color="auto" w:fill="auto"/>
            <w:vAlign w:val="center"/>
            <w:hideMark/>
          </w:tcPr>
          <w:p w14:paraId="21116092"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4</w:t>
            </w:r>
          </w:p>
        </w:tc>
        <w:tc>
          <w:tcPr>
            <w:tcW w:w="2551" w:type="dxa"/>
            <w:tcBorders>
              <w:top w:val="nil"/>
              <w:left w:val="nil"/>
              <w:bottom w:val="single" w:sz="4" w:space="0" w:color="auto"/>
              <w:right w:val="single" w:sz="4" w:space="0" w:color="auto"/>
            </w:tcBorders>
            <w:shd w:val="clear" w:color="auto" w:fill="auto"/>
            <w:noWrap/>
            <w:vAlign w:val="center"/>
            <w:hideMark/>
          </w:tcPr>
          <w:p w14:paraId="32B287D9"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5.4</w:t>
            </w:r>
          </w:p>
        </w:tc>
      </w:tr>
      <w:tr w:rsidR="006A6A17" w:rsidRPr="006A6A17" w14:paraId="616950FC" w14:textId="77777777" w:rsidTr="006A6A17">
        <w:trPr>
          <w:trHeight w:val="217"/>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096A344F"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Plants</w:t>
            </w:r>
          </w:p>
        </w:tc>
        <w:tc>
          <w:tcPr>
            <w:tcW w:w="2126" w:type="dxa"/>
            <w:tcBorders>
              <w:top w:val="nil"/>
              <w:left w:val="nil"/>
              <w:bottom w:val="single" w:sz="4" w:space="0" w:color="auto"/>
              <w:right w:val="single" w:sz="4" w:space="0" w:color="auto"/>
            </w:tcBorders>
            <w:shd w:val="clear" w:color="auto" w:fill="auto"/>
            <w:noWrap/>
            <w:vAlign w:val="center"/>
            <w:hideMark/>
          </w:tcPr>
          <w:p w14:paraId="4A65767E"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27666</w:t>
            </w:r>
          </w:p>
        </w:tc>
        <w:tc>
          <w:tcPr>
            <w:tcW w:w="2410" w:type="dxa"/>
            <w:tcBorders>
              <w:top w:val="nil"/>
              <w:left w:val="nil"/>
              <w:bottom w:val="single" w:sz="4" w:space="0" w:color="auto"/>
              <w:right w:val="single" w:sz="4" w:space="0" w:color="auto"/>
            </w:tcBorders>
            <w:shd w:val="clear" w:color="auto" w:fill="auto"/>
            <w:vAlign w:val="center"/>
            <w:hideMark/>
          </w:tcPr>
          <w:p w14:paraId="317F97AA"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6</w:t>
            </w:r>
          </w:p>
        </w:tc>
        <w:tc>
          <w:tcPr>
            <w:tcW w:w="2551" w:type="dxa"/>
            <w:tcBorders>
              <w:top w:val="nil"/>
              <w:left w:val="nil"/>
              <w:bottom w:val="single" w:sz="4" w:space="0" w:color="auto"/>
              <w:right w:val="single" w:sz="4" w:space="0" w:color="auto"/>
            </w:tcBorders>
            <w:shd w:val="clear" w:color="auto" w:fill="auto"/>
            <w:noWrap/>
            <w:vAlign w:val="center"/>
            <w:hideMark/>
          </w:tcPr>
          <w:p w14:paraId="06EA3113"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7.4</w:t>
            </w:r>
          </w:p>
        </w:tc>
      </w:tr>
      <w:tr w:rsidR="006A6A17" w:rsidRPr="006A6A17" w14:paraId="1DB7AA49" w14:textId="77777777" w:rsidTr="006A6A17">
        <w:trPr>
          <w:trHeight w:val="217"/>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2054BE66"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Powdering</w:t>
            </w:r>
          </w:p>
        </w:tc>
        <w:tc>
          <w:tcPr>
            <w:tcW w:w="2126" w:type="dxa"/>
            <w:tcBorders>
              <w:top w:val="nil"/>
              <w:left w:val="nil"/>
              <w:bottom w:val="single" w:sz="4" w:space="0" w:color="auto"/>
              <w:right w:val="single" w:sz="4" w:space="0" w:color="auto"/>
            </w:tcBorders>
            <w:shd w:val="clear" w:color="auto" w:fill="auto"/>
            <w:noWrap/>
            <w:vAlign w:val="center"/>
            <w:hideMark/>
          </w:tcPr>
          <w:p w14:paraId="6E190347"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30479</w:t>
            </w:r>
          </w:p>
        </w:tc>
        <w:tc>
          <w:tcPr>
            <w:tcW w:w="2410" w:type="dxa"/>
            <w:tcBorders>
              <w:top w:val="nil"/>
              <w:left w:val="nil"/>
              <w:bottom w:val="single" w:sz="4" w:space="0" w:color="auto"/>
              <w:right w:val="single" w:sz="4" w:space="0" w:color="auto"/>
            </w:tcBorders>
            <w:shd w:val="clear" w:color="auto" w:fill="auto"/>
            <w:vAlign w:val="center"/>
            <w:hideMark/>
          </w:tcPr>
          <w:p w14:paraId="509FABC9"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7</w:t>
            </w:r>
          </w:p>
        </w:tc>
        <w:tc>
          <w:tcPr>
            <w:tcW w:w="2551" w:type="dxa"/>
            <w:tcBorders>
              <w:top w:val="nil"/>
              <w:left w:val="nil"/>
              <w:bottom w:val="single" w:sz="4" w:space="0" w:color="auto"/>
              <w:right w:val="single" w:sz="4" w:space="0" w:color="auto"/>
            </w:tcBorders>
            <w:shd w:val="clear" w:color="auto" w:fill="auto"/>
            <w:noWrap/>
            <w:vAlign w:val="center"/>
            <w:hideMark/>
          </w:tcPr>
          <w:p w14:paraId="188E1490" w14:textId="77777777" w:rsidR="006A6A17" w:rsidRPr="006A6A17" w:rsidRDefault="006A6A17" w:rsidP="006A6A17">
            <w:pPr>
              <w:widowControl/>
              <w:jc w:val="center"/>
              <w:rPr>
                <w:rFonts w:ascii="等线" w:eastAsia="等线" w:hAnsi="等线" w:cs="宋体"/>
                <w:color w:val="000000"/>
                <w:kern w:val="0"/>
                <w:sz w:val="22"/>
              </w:rPr>
            </w:pPr>
            <w:proofErr w:type="spellStart"/>
            <w:r w:rsidRPr="006A6A17">
              <w:rPr>
                <w:rFonts w:ascii="等线" w:eastAsia="等线" w:hAnsi="等线" w:cs="宋体" w:hint="eastAsia"/>
                <w:color w:val="000000"/>
                <w:kern w:val="0"/>
                <w:sz w:val="22"/>
              </w:rPr>
              <w:t>non_biocolonization</w:t>
            </w:r>
            <w:proofErr w:type="spellEnd"/>
          </w:p>
        </w:tc>
      </w:tr>
      <w:tr w:rsidR="006A6A17" w:rsidRPr="006A6A17" w14:paraId="12D115F0" w14:textId="77777777" w:rsidTr="006A6A17">
        <w:trPr>
          <w:trHeight w:val="217"/>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2A0C816C" w14:textId="77777777" w:rsidR="006A6A17" w:rsidRPr="006A6A17" w:rsidRDefault="006A6A17" w:rsidP="006A6A17">
            <w:pPr>
              <w:widowControl/>
              <w:jc w:val="left"/>
              <w:rPr>
                <w:rFonts w:ascii="等线" w:eastAsia="等线" w:hAnsi="等线" w:cs="宋体"/>
                <w:b/>
                <w:bCs/>
                <w:color w:val="000000"/>
                <w:kern w:val="0"/>
                <w:sz w:val="22"/>
              </w:rPr>
            </w:pPr>
            <w:r w:rsidRPr="006A6A17">
              <w:rPr>
                <w:rFonts w:ascii="等线" w:eastAsia="等线" w:hAnsi="等线" w:cs="宋体" w:hint="eastAsia"/>
                <w:b/>
                <w:bCs/>
                <w:color w:val="000000"/>
                <w:kern w:val="0"/>
                <w:sz w:val="22"/>
              </w:rPr>
              <w:t>Discoloration</w:t>
            </w:r>
          </w:p>
        </w:tc>
        <w:tc>
          <w:tcPr>
            <w:tcW w:w="2126" w:type="dxa"/>
            <w:tcBorders>
              <w:top w:val="nil"/>
              <w:left w:val="nil"/>
              <w:bottom w:val="single" w:sz="4" w:space="0" w:color="auto"/>
              <w:right w:val="single" w:sz="4" w:space="0" w:color="auto"/>
            </w:tcBorders>
            <w:shd w:val="clear" w:color="auto" w:fill="auto"/>
            <w:noWrap/>
            <w:vAlign w:val="center"/>
            <w:hideMark/>
          </w:tcPr>
          <w:p w14:paraId="3CCDC9FA"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62000</w:t>
            </w:r>
          </w:p>
        </w:tc>
        <w:tc>
          <w:tcPr>
            <w:tcW w:w="2410" w:type="dxa"/>
            <w:tcBorders>
              <w:top w:val="nil"/>
              <w:left w:val="nil"/>
              <w:bottom w:val="single" w:sz="4" w:space="0" w:color="auto"/>
              <w:right w:val="single" w:sz="4" w:space="0" w:color="auto"/>
            </w:tcBorders>
            <w:shd w:val="clear" w:color="auto" w:fill="auto"/>
            <w:vAlign w:val="center"/>
            <w:hideMark/>
          </w:tcPr>
          <w:p w14:paraId="3DCA4912" w14:textId="77777777" w:rsidR="006A6A17" w:rsidRPr="006A6A17" w:rsidRDefault="006A6A17" w:rsidP="006A6A17">
            <w:pPr>
              <w:widowControl/>
              <w:jc w:val="center"/>
              <w:rPr>
                <w:rFonts w:ascii="等线" w:eastAsia="等线" w:hAnsi="等线" w:cs="宋体"/>
                <w:color w:val="000000"/>
                <w:kern w:val="0"/>
                <w:sz w:val="22"/>
              </w:rPr>
            </w:pPr>
            <w:r w:rsidRPr="006A6A17">
              <w:rPr>
                <w:rFonts w:ascii="等线" w:eastAsia="等线" w:hAnsi="等线" w:cs="宋体" w:hint="eastAsia"/>
                <w:color w:val="000000"/>
                <w:kern w:val="0"/>
                <w:sz w:val="22"/>
              </w:rPr>
              <w:t>13</w:t>
            </w:r>
          </w:p>
        </w:tc>
        <w:tc>
          <w:tcPr>
            <w:tcW w:w="2551" w:type="dxa"/>
            <w:tcBorders>
              <w:top w:val="nil"/>
              <w:left w:val="nil"/>
              <w:bottom w:val="single" w:sz="4" w:space="0" w:color="auto"/>
              <w:right w:val="single" w:sz="4" w:space="0" w:color="auto"/>
            </w:tcBorders>
            <w:shd w:val="clear" w:color="auto" w:fill="auto"/>
            <w:noWrap/>
            <w:vAlign w:val="center"/>
            <w:hideMark/>
          </w:tcPr>
          <w:p w14:paraId="14621BCC" w14:textId="77777777" w:rsidR="006A6A17" w:rsidRPr="006A6A17" w:rsidRDefault="006A6A17" w:rsidP="006A6A17">
            <w:pPr>
              <w:widowControl/>
              <w:jc w:val="center"/>
              <w:rPr>
                <w:rFonts w:ascii="等线" w:eastAsia="等线" w:hAnsi="等线" w:cs="宋体"/>
                <w:color w:val="000000"/>
                <w:kern w:val="0"/>
                <w:sz w:val="22"/>
              </w:rPr>
            </w:pPr>
            <w:proofErr w:type="spellStart"/>
            <w:r w:rsidRPr="006A6A17">
              <w:rPr>
                <w:rFonts w:ascii="等线" w:eastAsia="等线" w:hAnsi="等线" w:cs="宋体" w:hint="eastAsia"/>
                <w:color w:val="000000"/>
                <w:kern w:val="0"/>
                <w:sz w:val="22"/>
              </w:rPr>
              <w:t>non_biocolonization</w:t>
            </w:r>
            <w:proofErr w:type="spellEnd"/>
          </w:p>
        </w:tc>
      </w:tr>
    </w:tbl>
    <w:p w14:paraId="16981460" w14:textId="77777777" w:rsidR="006B6E47" w:rsidRPr="006B6E47" w:rsidRDefault="006B6E47" w:rsidP="00D14776"/>
    <w:sectPr w:rsidR="006B6E47" w:rsidRPr="006B6E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06C0A" w14:textId="77777777" w:rsidR="00962887" w:rsidRDefault="00962887" w:rsidP="00EE3A2C">
      <w:r>
        <w:separator/>
      </w:r>
    </w:p>
  </w:endnote>
  <w:endnote w:type="continuationSeparator" w:id="0">
    <w:p w14:paraId="25B59CBF" w14:textId="77777777" w:rsidR="00962887" w:rsidRDefault="00962887" w:rsidP="00EE3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44CD2" w14:textId="77777777" w:rsidR="00962887" w:rsidRDefault="00962887" w:rsidP="00EE3A2C">
      <w:r>
        <w:separator/>
      </w:r>
    </w:p>
  </w:footnote>
  <w:footnote w:type="continuationSeparator" w:id="0">
    <w:p w14:paraId="6878ED2C" w14:textId="77777777" w:rsidR="00962887" w:rsidRDefault="00962887" w:rsidP="00EE3A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34274"/>
    <w:multiLevelType w:val="multilevel"/>
    <w:tmpl w:val="B50E6FEC"/>
    <w:lvl w:ilvl="0">
      <w:start w:val="1"/>
      <w:numFmt w:val="decimal"/>
      <w:isLgl/>
      <w:lvlText w:val="%1."/>
      <w:lvlJc w:val="left"/>
      <w:pPr>
        <w:ind w:left="425" w:hanging="425"/>
      </w:pPr>
      <w:rPr>
        <w:rFonts w:hint="eastAsia"/>
      </w:rPr>
    </w:lvl>
    <w:lvl w:ilvl="1">
      <w:start w:val="1"/>
      <w:numFmt w:val="decimal"/>
      <w:isLgl/>
      <w:lvlText w:val="%1.%2."/>
      <w:lvlJc w:val="left"/>
      <w:pPr>
        <w:ind w:left="567" w:hanging="567"/>
      </w:pPr>
      <w:rPr>
        <w:rFonts w:hint="eastAsia"/>
      </w:rPr>
    </w:lvl>
    <w:lvl w:ilvl="2">
      <w:start w:val="1"/>
      <w:numFmt w:val="decimal"/>
      <w:isLg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2CD344B3"/>
    <w:multiLevelType w:val="hybridMultilevel"/>
    <w:tmpl w:val="6A0A58D0"/>
    <w:lvl w:ilvl="0" w:tplc="264472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2F04FB2"/>
    <w:multiLevelType w:val="multilevel"/>
    <w:tmpl w:val="A4780676"/>
    <w:lvl w:ilvl="0">
      <w:start w:val="1"/>
      <w:numFmt w:val="lowerLetter"/>
      <w:pStyle w:val="a"/>
      <w:lvlText w:val="%1"/>
      <w:lvlJc w:val="left"/>
      <w:pPr>
        <w:tabs>
          <w:tab w:val="num" w:pos="403"/>
        </w:tabs>
        <w:ind w:left="403"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 w15:restartNumberingAfterBreak="0">
    <w:nsid w:val="557C2AF5"/>
    <w:multiLevelType w:val="multilevel"/>
    <w:tmpl w:val="751668FE"/>
    <w:lvl w:ilvl="0">
      <w:start w:val="1"/>
      <w:numFmt w:val="decimal"/>
      <w:lvlRestart w:val="0"/>
      <w:pStyle w:val="a0"/>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4" w15:restartNumberingAfterBreak="0">
    <w:nsid w:val="621042E7"/>
    <w:multiLevelType w:val="multilevel"/>
    <w:tmpl w:val="A00EBBEA"/>
    <w:lvl w:ilvl="0">
      <w:start w:val="1"/>
      <w:numFmt w:val="decimal"/>
      <w:lvlText w:val="%1"/>
      <w:lvlJc w:val="left"/>
      <w:pPr>
        <w:ind w:left="405" w:hanging="405"/>
      </w:pPr>
      <w:rPr>
        <w:rFonts w:hint="default"/>
      </w:rPr>
    </w:lvl>
    <w:lvl w:ilvl="1">
      <w:start w:val="1"/>
      <w:numFmt w:val="decimal"/>
      <w:pStyle w:val="1"/>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62E23DEF"/>
    <w:multiLevelType w:val="multilevel"/>
    <w:tmpl w:val="3B28D3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6AAD31FC"/>
    <w:multiLevelType w:val="multilevel"/>
    <w:tmpl w:val="4DC884EE"/>
    <w:lvl w:ilvl="0">
      <w:start w:val="1"/>
      <w:numFmt w:val="decimal"/>
      <w:isLgl/>
      <w:lvlText w:val="%1."/>
      <w:lvlJc w:val="left"/>
      <w:pPr>
        <w:ind w:left="425" w:hanging="425"/>
      </w:pPr>
      <w:rPr>
        <w:rFonts w:hint="eastAsia"/>
      </w:rPr>
    </w:lvl>
    <w:lvl w:ilvl="1">
      <w:start w:val="1"/>
      <w:numFmt w:val="decimal"/>
      <w:pStyle w:val="2"/>
      <w:isLgl/>
      <w:lvlText w:val="%1.%2."/>
      <w:lvlJc w:val="left"/>
      <w:pPr>
        <w:ind w:left="567" w:hanging="567"/>
      </w:pPr>
      <w:rPr>
        <w:rFonts w:hint="eastAsia"/>
      </w:rPr>
    </w:lvl>
    <w:lvl w:ilvl="2">
      <w:start w:val="1"/>
      <w:numFmt w:val="decimal"/>
      <w:isLgl/>
      <w:lvlText w:val="%1.%2.%3."/>
      <w:lvlJc w:val="left"/>
      <w:pPr>
        <w:ind w:left="709" w:hanging="709"/>
      </w:pPr>
      <w:rPr>
        <w:rFonts w:hint="eastAsia"/>
      </w:rPr>
    </w:lvl>
    <w:lvl w:ilvl="3">
      <w:start w:val="1"/>
      <w:numFmt w:val="decimal"/>
      <w:pStyle w:val="4"/>
      <w:isLg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0"/>
  </w:num>
  <w:num w:numId="2">
    <w:abstractNumId w:val="6"/>
  </w:num>
  <w:num w:numId="3">
    <w:abstractNumId w:val="5"/>
  </w:num>
  <w:num w:numId="4">
    <w:abstractNumId w:val="6"/>
  </w:num>
  <w:num w:numId="5">
    <w:abstractNumId w:val="6"/>
  </w:num>
  <w:num w:numId="6">
    <w:abstractNumId w:val="6"/>
  </w:num>
  <w:num w:numId="7">
    <w:abstractNumId w:val="6"/>
  </w:num>
  <w:num w:numId="8">
    <w:abstractNumId w:val="3"/>
  </w:num>
  <w:num w:numId="9">
    <w:abstractNumId w:val="2"/>
  </w:num>
  <w:num w:numId="10">
    <w:abstractNumId w:val="6"/>
  </w:num>
  <w:num w:numId="11">
    <w:abstractNumId w:val="4"/>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ntl Biodeterioration Biodegradation&lt;/Style&gt;&lt;LeftDelim&gt;{&lt;/LeftDelim&gt;&lt;RightDelim&gt;}&lt;/RightDelim&gt;&lt;FontName&gt;宋体&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rv0pxzsqtz0fhewa0e5v0v4p5f52zd2fssf&quot;&gt;My EndNote Library&lt;record-ids&gt;&lt;item&gt;780&lt;/item&gt;&lt;/record-ids&gt;&lt;/item&gt;&lt;/Libraries&gt;"/>
  </w:docVars>
  <w:rsids>
    <w:rsidRoot w:val="001C61BC"/>
    <w:rsid w:val="00064ADB"/>
    <w:rsid w:val="000714D8"/>
    <w:rsid w:val="000B7150"/>
    <w:rsid w:val="000E0E97"/>
    <w:rsid w:val="000E72AB"/>
    <w:rsid w:val="000F012D"/>
    <w:rsid w:val="000F7C47"/>
    <w:rsid w:val="00121A0B"/>
    <w:rsid w:val="00132DAC"/>
    <w:rsid w:val="00144425"/>
    <w:rsid w:val="001C1CA8"/>
    <w:rsid w:val="001C61BC"/>
    <w:rsid w:val="001E4FBA"/>
    <w:rsid w:val="001F0059"/>
    <w:rsid w:val="002268EC"/>
    <w:rsid w:val="0024480C"/>
    <w:rsid w:val="002D381D"/>
    <w:rsid w:val="002F3378"/>
    <w:rsid w:val="002F5BB2"/>
    <w:rsid w:val="00305563"/>
    <w:rsid w:val="00320619"/>
    <w:rsid w:val="0039584D"/>
    <w:rsid w:val="003A6300"/>
    <w:rsid w:val="003B32A7"/>
    <w:rsid w:val="003F1A82"/>
    <w:rsid w:val="004A5158"/>
    <w:rsid w:val="004E334A"/>
    <w:rsid w:val="0050497A"/>
    <w:rsid w:val="00595C0E"/>
    <w:rsid w:val="005E3A6C"/>
    <w:rsid w:val="005E3B94"/>
    <w:rsid w:val="005F7B45"/>
    <w:rsid w:val="006431FB"/>
    <w:rsid w:val="00644640"/>
    <w:rsid w:val="006A6A17"/>
    <w:rsid w:val="006B6E47"/>
    <w:rsid w:val="006C4AB5"/>
    <w:rsid w:val="006E641E"/>
    <w:rsid w:val="00701014"/>
    <w:rsid w:val="00731090"/>
    <w:rsid w:val="007B6296"/>
    <w:rsid w:val="007B6C72"/>
    <w:rsid w:val="00801A9A"/>
    <w:rsid w:val="00830941"/>
    <w:rsid w:val="0089455C"/>
    <w:rsid w:val="008B69B2"/>
    <w:rsid w:val="009010F9"/>
    <w:rsid w:val="00904DAC"/>
    <w:rsid w:val="00922337"/>
    <w:rsid w:val="00931F06"/>
    <w:rsid w:val="009350B3"/>
    <w:rsid w:val="009365F6"/>
    <w:rsid w:val="00962887"/>
    <w:rsid w:val="00A374AA"/>
    <w:rsid w:val="00AD43E0"/>
    <w:rsid w:val="00B2001D"/>
    <w:rsid w:val="00B5286F"/>
    <w:rsid w:val="00C13FFC"/>
    <w:rsid w:val="00C36C36"/>
    <w:rsid w:val="00C50D60"/>
    <w:rsid w:val="00C55CBA"/>
    <w:rsid w:val="00C6276F"/>
    <w:rsid w:val="00C66EF2"/>
    <w:rsid w:val="00CB3194"/>
    <w:rsid w:val="00CD5EC3"/>
    <w:rsid w:val="00CD7844"/>
    <w:rsid w:val="00CE2210"/>
    <w:rsid w:val="00D04417"/>
    <w:rsid w:val="00D14776"/>
    <w:rsid w:val="00D22C38"/>
    <w:rsid w:val="00D56DFA"/>
    <w:rsid w:val="00DD4307"/>
    <w:rsid w:val="00DD6D52"/>
    <w:rsid w:val="00E42742"/>
    <w:rsid w:val="00E512F0"/>
    <w:rsid w:val="00E70610"/>
    <w:rsid w:val="00EE3A2C"/>
    <w:rsid w:val="00F16306"/>
    <w:rsid w:val="00F244B6"/>
    <w:rsid w:val="00F51B3A"/>
    <w:rsid w:val="00F61D77"/>
    <w:rsid w:val="00FD5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4197FB"/>
  <w15:chartTrackingRefBased/>
  <w15:docId w15:val="{FD323CB8-C5E3-4C3D-8291-203D5690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EE3A2C"/>
    <w:pPr>
      <w:widowControl w:val="0"/>
      <w:jc w:val="both"/>
    </w:pPr>
    <w:rPr>
      <w:rFonts w:eastAsia="仿宋"/>
      <w:sz w:val="24"/>
    </w:rPr>
  </w:style>
  <w:style w:type="paragraph" w:styleId="1">
    <w:name w:val="heading 1"/>
    <w:basedOn w:val="a1"/>
    <w:next w:val="a1"/>
    <w:link w:val="10"/>
    <w:autoRedefine/>
    <w:uiPriority w:val="9"/>
    <w:qFormat/>
    <w:rsid w:val="00D14776"/>
    <w:pPr>
      <w:keepNext/>
      <w:keepLines/>
      <w:numPr>
        <w:ilvl w:val="1"/>
        <w:numId w:val="11"/>
      </w:numPr>
      <w:spacing w:before="220" w:after="210" w:line="360" w:lineRule="auto"/>
      <w:outlineLvl w:val="0"/>
    </w:pPr>
    <w:rPr>
      <w:rFonts w:ascii="Times New Roman" w:hAnsi="Times New Roman" w:cs="Times New Roman"/>
      <w:b/>
      <w:kern w:val="44"/>
      <w:sz w:val="32"/>
      <w:szCs w:val="28"/>
    </w:rPr>
  </w:style>
  <w:style w:type="paragraph" w:styleId="2">
    <w:name w:val="heading 2"/>
    <w:basedOn w:val="a1"/>
    <w:next w:val="a1"/>
    <w:link w:val="20"/>
    <w:autoRedefine/>
    <w:uiPriority w:val="9"/>
    <w:unhideWhenUsed/>
    <w:qFormat/>
    <w:rsid w:val="00CD7844"/>
    <w:pPr>
      <w:keepNext/>
      <w:keepLines/>
      <w:numPr>
        <w:ilvl w:val="1"/>
        <w:numId w:val="6"/>
      </w:numPr>
      <w:spacing w:before="260" w:after="260" w:line="360" w:lineRule="auto"/>
      <w:outlineLvl w:val="1"/>
    </w:pPr>
    <w:rPr>
      <w:rFonts w:asciiTheme="majorHAnsi" w:hAnsiTheme="majorHAnsi" w:cstheme="majorBidi"/>
      <w:b/>
      <w:bCs/>
      <w:sz w:val="28"/>
      <w:szCs w:val="32"/>
    </w:rPr>
  </w:style>
  <w:style w:type="paragraph" w:styleId="3">
    <w:name w:val="heading 3"/>
    <w:basedOn w:val="a1"/>
    <w:next w:val="a1"/>
    <w:link w:val="30"/>
    <w:autoRedefine/>
    <w:uiPriority w:val="9"/>
    <w:unhideWhenUsed/>
    <w:qFormat/>
    <w:rsid w:val="00CD7844"/>
    <w:pPr>
      <w:keepNext/>
      <w:keepLines/>
      <w:numPr>
        <w:ilvl w:val="2"/>
        <w:numId w:val="3"/>
      </w:numPr>
      <w:tabs>
        <w:tab w:val="clear" w:pos="2160"/>
      </w:tabs>
      <w:spacing w:before="260" w:after="260" w:line="360" w:lineRule="auto"/>
      <w:ind w:left="709" w:hanging="709"/>
      <w:outlineLvl w:val="2"/>
    </w:pPr>
    <w:rPr>
      <w:b/>
      <w:bCs/>
      <w:szCs w:val="32"/>
    </w:rPr>
  </w:style>
  <w:style w:type="paragraph" w:styleId="4">
    <w:name w:val="heading 4"/>
    <w:basedOn w:val="a1"/>
    <w:next w:val="a1"/>
    <w:link w:val="40"/>
    <w:autoRedefine/>
    <w:uiPriority w:val="9"/>
    <w:unhideWhenUsed/>
    <w:qFormat/>
    <w:rsid w:val="00CD7844"/>
    <w:pPr>
      <w:keepNext/>
      <w:keepLines/>
      <w:numPr>
        <w:ilvl w:val="3"/>
        <w:numId w:val="6"/>
      </w:numPr>
      <w:spacing w:before="280" w:after="290"/>
      <w:outlineLvl w:val="3"/>
    </w:pPr>
    <w:rPr>
      <w:rFonts w:asciiTheme="majorHAnsi" w:hAnsiTheme="majorHAnsi" w:cstheme="majorBidi"/>
      <w:b/>
      <w:bCs/>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basedOn w:val="a2"/>
    <w:link w:val="1"/>
    <w:uiPriority w:val="9"/>
    <w:rsid w:val="00D14776"/>
    <w:rPr>
      <w:rFonts w:ascii="Times New Roman" w:eastAsia="仿宋" w:hAnsi="Times New Roman" w:cs="Times New Roman"/>
      <w:b/>
      <w:kern w:val="44"/>
      <w:sz w:val="32"/>
      <w:szCs w:val="28"/>
    </w:rPr>
  </w:style>
  <w:style w:type="character" w:customStyle="1" w:styleId="20">
    <w:name w:val="标题 2 字符"/>
    <w:basedOn w:val="a2"/>
    <w:link w:val="2"/>
    <w:uiPriority w:val="9"/>
    <w:rsid w:val="00CD7844"/>
    <w:rPr>
      <w:rFonts w:asciiTheme="majorHAnsi" w:eastAsia="仿宋" w:hAnsiTheme="majorHAnsi" w:cstheme="majorBidi"/>
      <w:b/>
      <w:bCs/>
      <w:sz w:val="28"/>
      <w:szCs w:val="32"/>
    </w:rPr>
  </w:style>
  <w:style w:type="character" w:customStyle="1" w:styleId="30">
    <w:name w:val="标题 3 字符"/>
    <w:basedOn w:val="a2"/>
    <w:link w:val="3"/>
    <w:uiPriority w:val="9"/>
    <w:rsid w:val="00CD7844"/>
    <w:rPr>
      <w:rFonts w:eastAsia="仿宋"/>
      <w:b/>
      <w:bCs/>
      <w:sz w:val="24"/>
      <w:szCs w:val="32"/>
    </w:rPr>
  </w:style>
  <w:style w:type="character" w:customStyle="1" w:styleId="40">
    <w:name w:val="标题 4 字符"/>
    <w:basedOn w:val="a2"/>
    <w:link w:val="4"/>
    <w:uiPriority w:val="9"/>
    <w:rsid w:val="0039584D"/>
    <w:rPr>
      <w:rFonts w:asciiTheme="majorHAnsi" w:eastAsia="仿宋" w:hAnsiTheme="majorHAnsi" w:cstheme="majorBidi"/>
      <w:b/>
      <w:bCs/>
      <w:sz w:val="24"/>
      <w:szCs w:val="28"/>
    </w:rPr>
  </w:style>
  <w:style w:type="paragraph" w:styleId="a5">
    <w:name w:val="header"/>
    <w:basedOn w:val="a1"/>
    <w:link w:val="a6"/>
    <w:uiPriority w:val="99"/>
    <w:unhideWhenUsed/>
    <w:rsid w:val="00EE3A2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rsid w:val="00EE3A2C"/>
    <w:rPr>
      <w:rFonts w:eastAsia="仿宋"/>
      <w:sz w:val="18"/>
      <w:szCs w:val="18"/>
    </w:rPr>
  </w:style>
  <w:style w:type="paragraph" w:styleId="a7">
    <w:name w:val="footer"/>
    <w:basedOn w:val="a1"/>
    <w:link w:val="a8"/>
    <w:uiPriority w:val="99"/>
    <w:unhideWhenUsed/>
    <w:rsid w:val="00EE3A2C"/>
    <w:pPr>
      <w:tabs>
        <w:tab w:val="center" w:pos="4153"/>
        <w:tab w:val="right" w:pos="8306"/>
      </w:tabs>
      <w:snapToGrid w:val="0"/>
      <w:jc w:val="left"/>
    </w:pPr>
    <w:rPr>
      <w:sz w:val="18"/>
      <w:szCs w:val="18"/>
    </w:rPr>
  </w:style>
  <w:style w:type="character" w:customStyle="1" w:styleId="a8">
    <w:name w:val="页脚 字符"/>
    <w:basedOn w:val="a2"/>
    <w:link w:val="a7"/>
    <w:uiPriority w:val="99"/>
    <w:rsid w:val="00EE3A2C"/>
    <w:rPr>
      <w:rFonts w:eastAsia="仿宋"/>
      <w:sz w:val="18"/>
      <w:szCs w:val="18"/>
    </w:rPr>
  </w:style>
  <w:style w:type="table" w:styleId="11">
    <w:name w:val="Grid Table 1 Light"/>
    <w:basedOn w:val="a3"/>
    <w:uiPriority w:val="46"/>
    <w:rsid w:val="00EE3A2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a0">
    <w:name w:val="标准文件_正文图标题"/>
    <w:next w:val="a1"/>
    <w:rsid w:val="00E70610"/>
    <w:pPr>
      <w:numPr>
        <w:numId w:val="8"/>
      </w:numPr>
      <w:spacing w:beforeLines="50" w:afterLines="50"/>
      <w:jc w:val="center"/>
    </w:pPr>
    <w:rPr>
      <w:rFonts w:ascii="黑体" w:eastAsia="黑体" w:hAnsi="Times New Roman" w:cs="Times New Roman"/>
      <w:kern w:val="0"/>
      <w:szCs w:val="20"/>
    </w:rPr>
  </w:style>
  <w:style w:type="paragraph" w:customStyle="1" w:styleId="a">
    <w:name w:val="标准文件_图表脚注"/>
    <w:basedOn w:val="a1"/>
    <w:next w:val="a1"/>
    <w:rsid w:val="004E334A"/>
    <w:pPr>
      <w:numPr>
        <w:numId w:val="9"/>
      </w:numPr>
      <w:adjustRightInd w:val="0"/>
      <w:jc w:val="left"/>
    </w:pPr>
    <w:rPr>
      <w:rFonts w:ascii="宋体" w:eastAsia="宋体" w:hAnsi="宋体" w:cs="Times New Roman"/>
      <w:sz w:val="18"/>
      <w:szCs w:val="21"/>
    </w:rPr>
  </w:style>
  <w:style w:type="paragraph" w:customStyle="1" w:styleId="a9">
    <w:name w:val="标准文件_示例内容"/>
    <w:basedOn w:val="a1"/>
    <w:qFormat/>
    <w:rsid w:val="004E334A"/>
    <w:pPr>
      <w:widowControl/>
      <w:autoSpaceDE w:val="0"/>
      <w:autoSpaceDN w:val="0"/>
      <w:ind w:firstLineChars="200" w:firstLine="420"/>
    </w:pPr>
    <w:rPr>
      <w:rFonts w:ascii="宋体" w:eastAsia="宋体" w:hAnsi="Times New Roman" w:cs="Times New Roman"/>
      <w:noProof/>
      <w:kern w:val="0"/>
      <w:sz w:val="18"/>
      <w:szCs w:val="20"/>
    </w:rPr>
  </w:style>
  <w:style w:type="paragraph" w:customStyle="1" w:styleId="aa">
    <w:name w:val="标准文件_段"/>
    <w:link w:val="Char"/>
    <w:rsid w:val="004E334A"/>
    <w:pPr>
      <w:autoSpaceDE w:val="0"/>
      <w:autoSpaceDN w:val="0"/>
      <w:ind w:firstLineChars="200" w:firstLine="200"/>
      <w:jc w:val="both"/>
    </w:pPr>
    <w:rPr>
      <w:rFonts w:ascii="宋体" w:eastAsia="宋体" w:hAnsi="Times New Roman" w:cs="Times New Roman"/>
      <w:noProof/>
      <w:kern w:val="0"/>
      <w:szCs w:val="20"/>
    </w:rPr>
  </w:style>
  <w:style w:type="character" w:customStyle="1" w:styleId="Char">
    <w:name w:val="标准文件_段 Char"/>
    <w:link w:val="aa"/>
    <w:rsid w:val="004E334A"/>
    <w:rPr>
      <w:rFonts w:ascii="宋体" w:eastAsia="宋体" w:hAnsi="Times New Roman" w:cs="Times New Roman"/>
      <w:noProof/>
      <w:kern w:val="0"/>
      <w:szCs w:val="20"/>
    </w:rPr>
  </w:style>
  <w:style w:type="paragraph" w:customStyle="1" w:styleId="EndNoteBibliographyTitle">
    <w:name w:val="EndNote Bibliography Title"/>
    <w:basedOn w:val="a1"/>
    <w:link w:val="EndNoteBibliographyTitle0"/>
    <w:rsid w:val="00904DAC"/>
    <w:pPr>
      <w:jc w:val="center"/>
    </w:pPr>
    <w:rPr>
      <w:rFonts w:ascii="宋体" w:eastAsia="宋体" w:hAnsi="宋体"/>
      <w:noProof/>
      <w:sz w:val="20"/>
    </w:rPr>
  </w:style>
  <w:style w:type="character" w:customStyle="1" w:styleId="EndNoteBibliographyTitle0">
    <w:name w:val="EndNote Bibliography Title 字符"/>
    <w:basedOn w:val="Char"/>
    <w:link w:val="EndNoteBibliographyTitle"/>
    <w:rsid w:val="00904DAC"/>
    <w:rPr>
      <w:rFonts w:ascii="宋体" w:eastAsia="宋体" w:hAnsi="宋体" w:cs="Times New Roman"/>
      <w:noProof/>
      <w:kern w:val="0"/>
      <w:sz w:val="20"/>
      <w:szCs w:val="20"/>
    </w:rPr>
  </w:style>
  <w:style w:type="paragraph" w:customStyle="1" w:styleId="EndNoteBibliography">
    <w:name w:val="EndNote Bibliography"/>
    <w:basedOn w:val="a1"/>
    <w:link w:val="EndNoteBibliography0"/>
    <w:rsid w:val="00904DAC"/>
    <w:pPr>
      <w:jc w:val="left"/>
    </w:pPr>
    <w:rPr>
      <w:rFonts w:ascii="宋体" w:eastAsia="宋体" w:hAnsi="宋体"/>
      <w:noProof/>
      <w:sz w:val="20"/>
    </w:rPr>
  </w:style>
  <w:style w:type="character" w:customStyle="1" w:styleId="EndNoteBibliography0">
    <w:name w:val="EndNote Bibliography 字符"/>
    <w:basedOn w:val="Char"/>
    <w:link w:val="EndNoteBibliography"/>
    <w:rsid w:val="00904DAC"/>
    <w:rPr>
      <w:rFonts w:ascii="宋体" w:eastAsia="宋体" w:hAnsi="宋体" w:cs="Times New Roman"/>
      <w:noProof/>
      <w:kern w:val="0"/>
      <w:sz w:val="20"/>
      <w:szCs w:val="20"/>
    </w:rPr>
  </w:style>
  <w:style w:type="paragraph" w:styleId="ab">
    <w:name w:val="List Paragraph"/>
    <w:basedOn w:val="a1"/>
    <w:uiPriority w:val="34"/>
    <w:qFormat/>
    <w:rsid w:val="00D1477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270294">
      <w:bodyDiv w:val="1"/>
      <w:marLeft w:val="0"/>
      <w:marRight w:val="0"/>
      <w:marTop w:val="0"/>
      <w:marBottom w:val="0"/>
      <w:divBdr>
        <w:top w:val="none" w:sz="0" w:space="0" w:color="auto"/>
        <w:left w:val="none" w:sz="0" w:space="0" w:color="auto"/>
        <w:bottom w:val="none" w:sz="0" w:space="0" w:color="auto"/>
        <w:right w:val="none" w:sz="0" w:space="0" w:color="auto"/>
      </w:divBdr>
    </w:div>
    <w:div w:id="626080706">
      <w:bodyDiv w:val="1"/>
      <w:marLeft w:val="0"/>
      <w:marRight w:val="0"/>
      <w:marTop w:val="0"/>
      <w:marBottom w:val="0"/>
      <w:divBdr>
        <w:top w:val="none" w:sz="0" w:space="0" w:color="auto"/>
        <w:left w:val="none" w:sz="0" w:space="0" w:color="auto"/>
        <w:bottom w:val="none" w:sz="0" w:space="0" w:color="auto"/>
        <w:right w:val="none" w:sz="0" w:space="0" w:color="auto"/>
      </w:divBdr>
    </w:div>
    <w:div w:id="704791197">
      <w:bodyDiv w:val="1"/>
      <w:marLeft w:val="0"/>
      <w:marRight w:val="0"/>
      <w:marTop w:val="0"/>
      <w:marBottom w:val="0"/>
      <w:divBdr>
        <w:top w:val="none" w:sz="0" w:space="0" w:color="auto"/>
        <w:left w:val="none" w:sz="0" w:space="0" w:color="auto"/>
        <w:bottom w:val="none" w:sz="0" w:space="0" w:color="auto"/>
        <w:right w:val="none" w:sz="0" w:space="0" w:color="auto"/>
      </w:divBdr>
    </w:div>
    <w:div w:id="1106924260">
      <w:bodyDiv w:val="1"/>
      <w:marLeft w:val="0"/>
      <w:marRight w:val="0"/>
      <w:marTop w:val="0"/>
      <w:marBottom w:val="0"/>
      <w:divBdr>
        <w:top w:val="none" w:sz="0" w:space="0" w:color="auto"/>
        <w:left w:val="none" w:sz="0" w:space="0" w:color="auto"/>
        <w:bottom w:val="none" w:sz="0" w:space="0" w:color="auto"/>
        <w:right w:val="none" w:sz="0" w:space="0" w:color="auto"/>
      </w:divBdr>
    </w:div>
    <w:div w:id="1232426220">
      <w:bodyDiv w:val="1"/>
      <w:marLeft w:val="0"/>
      <w:marRight w:val="0"/>
      <w:marTop w:val="0"/>
      <w:marBottom w:val="0"/>
      <w:divBdr>
        <w:top w:val="none" w:sz="0" w:space="0" w:color="auto"/>
        <w:left w:val="none" w:sz="0" w:space="0" w:color="auto"/>
        <w:bottom w:val="none" w:sz="0" w:space="0" w:color="auto"/>
        <w:right w:val="none" w:sz="0" w:space="0" w:color="auto"/>
      </w:divBdr>
    </w:div>
    <w:div w:id="1273708119">
      <w:bodyDiv w:val="1"/>
      <w:marLeft w:val="0"/>
      <w:marRight w:val="0"/>
      <w:marTop w:val="0"/>
      <w:marBottom w:val="0"/>
      <w:divBdr>
        <w:top w:val="none" w:sz="0" w:space="0" w:color="auto"/>
        <w:left w:val="none" w:sz="0" w:space="0" w:color="auto"/>
        <w:bottom w:val="none" w:sz="0" w:space="0" w:color="auto"/>
        <w:right w:val="none" w:sz="0" w:space="0" w:color="auto"/>
      </w:divBdr>
    </w:div>
    <w:div w:id="1457094238">
      <w:bodyDiv w:val="1"/>
      <w:marLeft w:val="0"/>
      <w:marRight w:val="0"/>
      <w:marTop w:val="0"/>
      <w:marBottom w:val="0"/>
      <w:divBdr>
        <w:top w:val="none" w:sz="0" w:space="0" w:color="auto"/>
        <w:left w:val="none" w:sz="0" w:space="0" w:color="auto"/>
        <w:bottom w:val="none" w:sz="0" w:space="0" w:color="auto"/>
        <w:right w:val="none" w:sz="0" w:space="0" w:color="auto"/>
      </w:divBdr>
    </w:div>
    <w:div w:id="1581476764">
      <w:bodyDiv w:val="1"/>
      <w:marLeft w:val="0"/>
      <w:marRight w:val="0"/>
      <w:marTop w:val="0"/>
      <w:marBottom w:val="0"/>
      <w:divBdr>
        <w:top w:val="none" w:sz="0" w:space="0" w:color="auto"/>
        <w:left w:val="none" w:sz="0" w:space="0" w:color="auto"/>
        <w:bottom w:val="none" w:sz="0" w:space="0" w:color="auto"/>
        <w:right w:val="none" w:sz="0" w:space="0" w:color="auto"/>
      </w:divBdr>
    </w:div>
    <w:div w:id="1588226417">
      <w:bodyDiv w:val="1"/>
      <w:marLeft w:val="0"/>
      <w:marRight w:val="0"/>
      <w:marTop w:val="0"/>
      <w:marBottom w:val="0"/>
      <w:divBdr>
        <w:top w:val="none" w:sz="0" w:space="0" w:color="auto"/>
        <w:left w:val="none" w:sz="0" w:space="0" w:color="auto"/>
        <w:bottom w:val="none" w:sz="0" w:space="0" w:color="auto"/>
        <w:right w:val="none" w:sz="0" w:space="0" w:color="auto"/>
      </w:divBdr>
    </w:div>
    <w:div w:id="164195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ata.cma.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595</TotalTime>
  <Pages>1</Pages>
  <Words>996</Words>
  <Characters>5683</Characters>
  <Application>Microsoft Office Word</Application>
  <DocSecurity>0</DocSecurity>
  <Lines>47</Lines>
  <Paragraphs>13</Paragraphs>
  <ScaleCrop>false</ScaleCrop>
  <Company/>
  <LinksUpToDate>false</LinksUpToDate>
  <CharactersWithSpaces>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成帅 朱</cp:lastModifiedBy>
  <cp:revision>33</cp:revision>
  <dcterms:created xsi:type="dcterms:W3CDTF">2023-03-14T02:45:00Z</dcterms:created>
  <dcterms:modified xsi:type="dcterms:W3CDTF">2024-10-23T00:57:00Z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ecaa5ccc3cf4a09803d5f567119f7cd1aebd8f94f35a77c809069a2a69281746</vt:lpwstr>
  </property>
</Properties>
</file>