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60" w:line="240" w:lineRule="auto"/>
        <w:jc w:val="center"/>
        <w:rPr>
          <w:rFonts w:ascii="Times New Roman" w:cs="Times New Roman" w:eastAsia="Times New Roman" w:hAnsi="Times New Roman"/>
          <w:color w:val="000000"/>
          <w:sz w:val="32"/>
          <w:szCs w:val="32"/>
        </w:rPr>
      </w:pPr>
      <w:r w:rsidDel="00000000" w:rsidR="00000000" w:rsidRPr="00000000">
        <w:rPr>
          <w:rFonts w:ascii="Times New Roman" w:cs="Times New Roman" w:eastAsia="Times New Roman" w:hAnsi="Times New Roman"/>
          <w:color w:val="000000"/>
          <w:sz w:val="32"/>
          <w:szCs w:val="32"/>
          <w:rtl w:val="0"/>
        </w:rPr>
        <w:t xml:space="preserve">Human Genetics – CAGI6 Special Issue </w:t>
      </w:r>
    </w:p>
    <w:p w:rsidR="00000000" w:rsidDel="00000000" w:rsidP="00000000" w:rsidRDefault="00000000" w:rsidRPr="00000000" w14:paraId="00000002">
      <w:pPr>
        <w:spacing w:after="60" w:line="240" w:lineRule="auto"/>
        <w:jc w:val="center"/>
        <w:rPr>
          <w:rFonts w:ascii="Times New Roman" w:cs="Times New Roman" w:eastAsia="Times New Roman" w:hAnsi="Times New Roman"/>
          <w:color w:val="000000"/>
          <w:sz w:val="32"/>
          <w:szCs w:val="32"/>
        </w:rPr>
      </w:pPr>
      <w:r w:rsidDel="00000000" w:rsidR="00000000" w:rsidRPr="00000000">
        <w:rPr>
          <w:rtl w:val="0"/>
        </w:rPr>
      </w:r>
    </w:p>
    <w:p w:rsidR="00000000" w:rsidDel="00000000" w:rsidP="00000000" w:rsidRDefault="00000000" w:rsidRPr="00000000" w14:paraId="00000003">
      <w:pPr>
        <w:pStyle w:val="Title"/>
        <w:spacing w:after="0" w:before="0" w:line="240" w:lineRule="auto"/>
        <w:jc w:val="center"/>
        <w:rPr>
          <w:rFonts w:ascii="Times New Roman" w:cs="Times New Roman" w:eastAsia="Times New Roman" w:hAnsi="Times New Roman"/>
          <w:b w:val="0"/>
          <w:sz w:val="40"/>
          <w:szCs w:val="40"/>
        </w:rPr>
      </w:pPr>
      <w:bookmarkStart w:colFirst="0" w:colLast="0" w:name="_heading=h.mfwjk7bls1q5" w:id="0"/>
      <w:bookmarkEnd w:id="0"/>
      <w:r w:rsidDel="00000000" w:rsidR="00000000" w:rsidRPr="00000000">
        <w:rPr>
          <w:rFonts w:ascii="Times New Roman" w:cs="Times New Roman" w:eastAsia="Times New Roman" w:hAnsi="Times New Roman"/>
          <w:b w:val="0"/>
          <w:sz w:val="40"/>
          <w:szCs w:val="40"/>
          <w:rtl w:val="0"/>
        </w:rPr>
        <w:t xml:space="preserve">Genetic Variants and Phenotypic Data Curated for the CAGI6 Intellectual Disability Panel Challenge</w:t>
      </w:r>
    </w:p>
    <w:p w:rsidR="00000000" w:rsidDel="00000000" w:rsidP="00000000" w:rsidRDefault="00000000" w:rsidRPr="00000000" w14:paraId="00000004">
      <w:pPr>
        <w:spacing w:after="0" w:before="240" w:line="276" w:lineRule="auto"/>
        <w:jc w:val="both"/>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Maria Cristina Aspromonte </w:t>
      </w:r>
      <w:r w:rsidDel="00000000" w:rsidR="00000000" w:rsidRPr="00000000">
        <w:rPr>
          <w:rFonts w:ascii="Times New Roman" w:cs="Times New Roman" w:eastAsia="Times New Roman" w:hAnsi="Times New Roman"/>
          <w:i w:val="1"/>
          <w:sz w:val="20"/>
          <w:szCs w:val="20"/>
          <w:vertAlign w:val="superscript"/>
          <w:rtl w:val="0"/>
        </w:rPr>
        <w:t xml:space="preserve">1,2</w:t>
      </w:r>
      <w:r w:rsidDel="00000000" w:rsidR="00000000" w:rsidRPr="00000000">
        <w:rPr>
          <w:rFonts w:ascii="Times New Roman" w:cs="Times New Roman" w:eastAsia="Times New Roman" w:hAnsi="Times New Roman"/>
          <w:i w:val="1"/>
          <w:sz w:val="20"/>
          <w:szCs w:val="20"/>
          <w:rtl w:val="0"/>
        </w:rPr>
        <w:t xml:space="preserve">, Alessio Del Conte </w:t>
      </w:r>
      <w:r w:rsidDel="00000000" w:rsidR="00000000" w:rsidRPr="00000000">
        <w:rPr>
          <w:rFonts w:ascii="Times New Roman" w:cs="Times New Roman" w:eastAsia="Times New Roman" w:hAnsi="Times New Roman"/>
          <w:i w:val="1"/>
          <w:sz w:val="20"/>
          <w:szCs w:val="20"/>
          <w:vertAlign w:val="superscript"/>
          <w:rtl w:val="0"/>
        </w:rPr>
        <w:t xml:space="preserve">1</w:t>
      </w:r>
      <w:r w:rsidDel="00000000" w:rsidR="00000000" w:rsidRPr="00000000">
        <w:rPr>
          <w:rFonts w:ascii="Times New Roman" w:cs="Times New Roman" w:eastAsia="Times New Roman" w:hAnsi="Times New Roman"/>
          <w:i w:val="1"/>
          <w:sz w:val="20"/>
          <w:szCs w:val="20"/>
          <w:rtl w:val="0"/>
        </w:rPr>
        <w:t xml:space="preserve">, Roberta Polli </w:t>
      </w:r>
      <w:r w:rsidDel="00000000" w:rsidR="00000000" w:rsidRPr="00000000">
        <w:rPr>
          <w:rFonts w:ascii="Times New Roman" w:cs="Times New Roman" w:eastAsia="Times New Roman" w:hAnsi="Times New Roman"/>
          <w:i w:val="1"/>
          <w:sz w:val="20"/>
          <w:szCs w:val="20"/>
          <w:vertAlign w:val="superscript"/>
          <w:rtl w:val="0"/>
        </w:rPr>
        <w:t xml:space="preserve">2,3</w:t>
      </w:r>
      <w:r w:rsidDel="00000000" w:rsidR="00000000" w:rsidRPr="00000000">
        <w:rPr>
          <w:rFonts w:ascii="Times New Roman" w:cs="Times New Roman" w:eastAsia="Times New Roman" w:hAnsi="Times New Roman"/>
          <w:i w:val="1"/>
          <w:sz w:val="20"/>
          <w:szCs w:val="20"/>
          <w:rtl w:val="0"/>
        </w:rPr>
        <w:t xml:space="preserve">, Demetrio Baldo </w:t>
      </w:r>
      <w:r w:rsidDel="00000000" w:rsidR="00000000" w:rsidRPr="00000000">
        <w:rPr>
          <w:rFonts w:ascii="Times New Roman" w:cs="Times New Roman" w:eastAsia="Times New Roman" w:hAnsi="Times New Roman"/>
          <w:i w:val="1"/>
          <w:sz w:val="20"/>
          <w:szCs w:val="20"/>
          <w:vertAlign w:val="superscript"/>
          <w:rtl w:val="0"/>
        </w:rPr>
        <w:t xml:space="preserve">4</w:t>
      </w:r>
      <w:r w:rsidDel="00000000" w:rsidR="00000000" w:rsidRPr="00000000">
        <w:rPr>
          <w:rFonts w:ascii="Times New Roman" w:cs="Times New Roman" w:eastAsia="Times New Roman" w:hAnsi="Times New Roman"/>
          <w:i w:val="1"/>
          <w:sz w:val="20"/>
          <w:szCs w:val="20"/>
          <w:rtl w:val="0"/>
        </w:rPr>
        <w:t xml:space="preserve">, Francesco Benedicenti </w:t>
      </w:r>
      <w:r w:rsidDel="00000000" w:rsidR="00000000" w:rsidRPr="00000000">
        <w:rPr>
          <w:rFonts w:ascii="Times New Roman" w:cs="Times New Roman" w:eastAsia="Times New Roman" w:hAnsi="Times New Roman"/>
          <w:i w:val="1"/>
          <w:sz w:val="20"/>
          <w:szCs w:val="20"/>
          <w:vertAlign w:val="superscript"/>
          <w:rtl w:val="0"/>
        </w:rPr>
        <w:t xml:space="preserve">5</w:t>
      </w:r>
      <w:r w:rsidDel="00000000" w:rsidR="00000000" w:rsidRPr="00000000">
        <w:rPr>
          <w:rFonts w:ascii="Times New Roman" w:cs="Times New Roman" w:eastAsia="Times New Roman" w:hAnsi="Times New Roman"/>
          <w:i w:val="1"/>
          <w:sz w:val="20"/>
          <w:szCs w:val="20"/>
          <w:rtl w:val="0"/>
        </w:rPr>
        <w:t xml:space="preserve">, Elisa Bettella </w:t>
      </w:r>
      <w:r w:rsidDel="00000000" w:rsidR="00000000" w:rsidRPr="00000000">
        <w:rPr>
          <w:rFonts w:ascii="Times New Roman" w:cs="Times New Roman" w:eastAsia="Times New Roman" w:hAnsi="Times New Roman"/>
          <w:i w:val="1"/>
          <w:sz w:val="20"/>
          <w:szCs w:val="20"/>
          <w:vertAlign w:val="superscript"/>
          <w:rtl w:val="0"/>
        </w:rPr>
        <w:t xml:space="preserve">2,3</w:t>
      </w:r>
      <w:r w:rsidDel="00000000" w:rsidR="00000000" w:rsidRPr="00000000">
        <w:rPr>
          <w:rFonts w:ascii="Times New Roman" w:cs="Times New Roman" w:eastAsia="Times New Roman" w:hAnsi="Times New Roman"/>
          <w:i w:val="1"/>
          <w:sz w:val="20"/>
          <w:szCs w:val="20"/>
          <w:rtl w:val="0"/>
        </w:rPr>
        <w:t xml:space="preserve">, Stefania Bigoni </w:t>
      </w:r>
      <w:r w:rsidDel="00000000" w:rsidR="00000000" w:rsidRPr="00000000">
        <w:rPr>
          <w:rFonts w:ascii="Times New Roman" w:cs="Times New Roman" w:eastAsia="Times New Roman" w:hAnsi="Times New Roman"/>
          <w:i w:val="1"/>
          <w:sz w:val="20"/>
          <w:szCs w:val="20"/>
          <w:vertAlign w:val="superscript"/>
          <w:rtl w:val="0"/>
        </w:rPr>
        <w:t xml:space="preserve">6</w:t>
      </w:r>
      <w:r w:rsidDel="00000000" w:rsidR="00000000" w:rsidRPr="00000000">
        <w:rPr>
          <w:rFonts w:ascii="Times New Roman" w:cs="Times New Roman" w:eastAsia="Times New Roman" w:hAnsi="Times New Roman"/>
          <w:i w:val="1"/>
          <w:sz w:val="20"/>
          <w:szCs w:val="20"/>
          <w:rtl w:val="0"/>
        </w:rPr>
        <w:t xml:space="preserve">, Stefania Boni </w:t>
      </w:r>
      <w:r w:rsidDel="00000000" w:rsidR="00000000" w:rsidRPr="00000000">
        <w:rPr>
          <w:rFonts w:ascii="Times New Roman" w:cs="Times New Roman" w:eastAsia="Times New Roman" w:hAnsi="Times New Roman"/>
          <w:i w:val="1"/>
          <w:sz w:val="20"/>
          <w:szCs w:val="20"/>
          <w:vertAlign w:val="superscript"/>
          <w:rtl w:val="0"/>
        </w:rPr>
        <w:t xml:space="preserve">7</w:t>
      </w:r>
      <w:r w:rsidDel="00000000" w:rsidR="00000000" w:rsidRPr="00000000">
        <w:rPr>
          <w:rFonts w:ascii="Times New Roman" w:cs="Times New Roman" w:eastAsia="Times New Roman" w:hAnsi="Times New Roman"/>
          <w:i w:val="1"/>
          <w:sz w:val="20"/>
          <w:szCs w:val="20"/>
          <w:rtl w:val="0"/>
        </w:rPr>
        <w:t xml:space="preserve">, Claudia Ciaccio </w:t>
      </w:r>
      <w:r w:rsidDel="00000000" w:rsidR="00000000" w:rsidRPr="00000000">
        <w:rPr>
          <w:rFonts w:ascii="Times New Roman" w:cs="Times New Roman" w:eastAsia="Times New Roman" w:hAnsi="Times New Roman"/>
          <w:i w:val="1"/>
          <w:sz w:val="20"/>
          <w:szCs w:val="20"/>
          <w:vertAlign w:val="superscript"/>
          <w:rtl w:val="0"/>
        </w:rPr>
        <w:t xml:space="preserve">8</w:t>
      </w:r>
      <w:r w:rsidDel="00000000" w:rsidR="00000000" w:rsidRPr="00000000">
        <w:rPr>
          <w:rFonts w:ascii="Times New Roman" w:cs="Times New Roman" w:eastAsia="Times New Roman" w:hAnsi="Times New Roman"/>
          <w:i w:val="1"/>
          <w:sz w:val="20"/>
          <w:szCs w:val="20"/>
          <w:rtl w:val="0"/>
        </w:rPr>
        <w:t xml:space="preserve">, Stefano D’Arrigo </w:t>
      </w:r>
      <w:r w:rsidDel="00000000" w:rsidR="00000000" w:rsidRPr="00000000">
        <w:rPr>
          <w:rFonts w:ascii="Times New Roman" w:cs="Times New Roman" w:eastAsia="Times New Roman" w:hAnsi="Times New Roman"/>
          <w:i w:val="1"/>
          <w:sz w:val="20"/>
          <w:szCs w:val="20"/>
          <w:vertAlign w:val="superscript"/>
          <w:rtl w:val="0"/>
        </w:rPr>
        <w:t xml:space="preserve">8</w:t>
      </w:r>
      <w:r w:rsidDel="00000000" w:rsidR="00000000" w:rsidRPr="00000000">
        <w:rPr>
          <w:rFonts w:ascii="Times New Roman" w:cs="Times New Roman" w:eastAsia="Times New Roman" w:hAnsi="Times New Roman"/>
          <w:i w:val="1"/>
          <w:sz w:val="20"/>
          <w:szCs w:val="20"/>
          <w:rtl w:val="0"/>
        </w:rPr>
        <w:t xml:space="preserve">, Ilaria Donati </w:t>
      </w:r>
      <w:r w:rsidDel="00000000" w:rsidR="00000000" w:rsidRPr="00000000">
        <w:rPr>
          <w:rFonts w:ascii="Times New Roman" w:cs="Times New Roman" w:eastAsia="Times New Roman" w:hAnsi="Times New Roman"/>
          <w:i w:val="1"/>
          <w:sz w:val="20"/>
          <w:szCs w:val="20"/>
          <w:vertAlign w:val="superscript"/>
          <w:rtl w:val="0"/>
        </w:rPr>
        <w:t xml:space="preserve">9</w:t>
      </w:r>
      <w:r w:rsidDel="00000000" w:rsidR="00000000" w:rsidRPr="00000000">
        <w:rPr>
          <w:rFonts w:ascii="Times New Roman" w:cs="Times New Roman" w:eastAsia="Times New Roman" w:hAnsi="Times New Roman"/>
          <w:i w:val="1"/>
          <w:sz w:val="20"/>
          <w:szCs w:val="20"/>
          <w:rtl w:val="0"/>
        </w:rPr>
        <w:t xml:space="preserve">, Elisa Granocchio </w:t>
      </w:r>
      <w:r w:rsidDel="00000000" w:rsidR="00000000" w:rsidRPr="00000000">
        <w:rPr>
          <w:rFonts w:ascii="Times New Roman" w:cs="Times New Roman" w:eastAsia="Times New Roman" w:hAnsi="Times New Roman"/>
          <w:i w:val="1"/>
          <w:sz w:val="20"/>
          <w:szCs w:val="20"/>
          <w:vertAlign w:val="superscript"/>
          <w:rtl w:val="0"/>
        </w:rPr>
        <w:t xml:space="preserve">8</w:t>
      </w:r>
      <w:r w:rsidDel="00000000" w:rsidR="00000000" w:rsidRPr="00000000">
        <w:rPr>
          <w:rFonts w:ascii="Times New Roman" w:cs="Times New Roman" w:eastAsia="Times New Roman" w:hAnsi="Times New Roman"/>
          <w:i w:val="1"/>
          <w:sz w:val="20"/>
          <w:szCs w:val="20"/>
          <w:rtl w:val="0"/>
        </w:rPr>
        <w:t xml:space="preserve">, Isabella Mammi </w:t>
      </w:r>
      <w:r w:rsidDel="00000000" w:rsidR="00000000" w:rsidRPr="00000000">
        <w:rPr>
          <w:rFonts w:ascii="Times New Roman" w:cs="Times New Roman" w:eastAsia="Times New Roman" w:hAnsi="Times New Roman"/>
          <w:i w:val="1"/>
          <w:sz w:val="20"/>
          <w:szCs w:val="20"/>
          <w:vertAlign w:val="superscript"/>
          <w:rtl w:val="0"/>
        </w:rPr>
        <w:t xml:space="preserve">10</w:t>
      </w:r>
      <w:r w:rsidDel="00000000" w:rsidR="00000000" w:rsidRPr="00000000">
        <w:rPr>
          <w:rFonts w:ascii="Times New Roman" w:cs="Times New Roman" w:eastAsia="Times New Roman" w:hAnsi="Times New Roman"/>
          <w:i w:val="1"/>
          <w:sz w:val="20"/>
          <w:szCs w:val="20"/>
          <w:rtl w:val="0"/>
        </w:rPr>
        <w:t xml:space="preserve">, Donatella Milani </w:t>
      </w:r>
      <w:r w:rsidDel="00000000" w:rsidR="00000000" w:rsidRPr="00000000">
        <w:rPr>
          <w:rFonts w:ascii="Times New Roman" w:cs="Times New Roman" w:eastAsia="Times New Roman" w:hAnsi="Times New Roman"/>
          <w:i w:val="1"/>
          <w:sz w:val="20"/>
          <w:szCs w:val="20"/>
          <w:vertAlign w:val="superscript"/>
          <w:rtl w:val="0"/>
        </w:rPr>
        <w:t xml:space="preserve">11</w:t>
      </w:r>
      <w:r w:rsidDel="00000000" w:rsidR="00000000" w:rsidRPr="00000000">
        <w:rPr>
          <w:rFonts w:ascii="Times New Roman" w:cs="Times New Roman" w:eastAsia="Times New Roman" w:hAnsi="Times New Roman"/>
          <w:i w:val="1"/>
          <w:sz w:val="20"/>
          <w:szCs w:val="20"/>
          <w:rtl w:val="0"/>
        </w:rPr>
        <w:t xml:space="preserve">, Susanna Negrin </w:t>
      </w:r>
      <w:r w:rsidDel="00000000" w:rsidR="00000000" w:rsidRPr="00000000">
        <w:rPr>
          <w:rFonts w:ascii="Times New Roman" w:cs="Times New Roman" w:eastAsia="Times New Roman" w:hAnsi="Times New Roman"/>
          <w:i w:val="1"/>
          <w:sz w:val="20"/>
          <w:szCs w:val="20"/>
          <w:vertAlign w:val="superscript"/>
          <w:rtl w:val="0"/>
        </w:rPr>
        <w:t xml:space="preserve">12</w:t>
      </w:r>
      <w:r w:rsidDel="00000000" w:rsidR="00000000" w:rsidRPr="00000000">
        <w:rPr>
          <w:rFonts w:ascii="Times New Roman" w:cs="Times New Roman" w:eastAsia="Times New Roman" w:hAnsi="Times New Roman"/>
          <w:i w:val="1"/>
          <w:sz w:val="20"/>
          <w:szCs w:val="20"/>
          <w:rtl w:val="0"/>
        </w:rPr>
        <w:t xml:space="preserve">, Margherita Nosadini </w:t>
      </w:r>
      <w:r w:rsidDel="00000000" w:rsidR="00000000" w:rsidRPr="00000000">
        <w:rPr>
          <w:rFonts w:ascii="Times New Roman" w:cs="Times New Roman" w:eastAsia="Times New Roman" w:hAnsi="Times New Roman"/>
          <w:i w:val="1"/>
          <w:sz w:val="20"/>
          <w:szCs w:val="20"/>
          <w:vertAlign w:val="superscript"/>
          <w:rtl w:val="0"/>
        </w:rPr>
        <w:t xml:space="preserve">13</w:t>
      </w:r>
      <w:r w:rsidDel="00000000" w:rsidR="00000000" w:rsidRPr="00000000">
        <w:rPr>
          <w:rFonts w:ascii="Times New Roman" w:cs="Times New Roman" w:eastAsia="Times New Roman" w:hAnsi="Times New Roman"/>
          <w:i w:val="1"/>
          <w:sz w:val="20"/>
          <w:szCs w:val="20"/>
          <w:rtl w:val="0"/>
        </w:rPr>
        <w:t xml:space="preserve">, Fiorenza Soli </w:t>
      </w:r>
      <w:r w:rsidDel="00000000" w:rsidR="00000000" w:rsidRPr="00000000">
        <w:rPr>
          <w:rFonts w:ascii="Times New Roman" w:cs="Times New Roman" w:eastAsia="Times New Roman" w:hAnsi="Times New Roman"/>
          <w:i w:val="1"/>
          <w:sz w:val="20"/>
          <w:szCs w:val="20"/>
          <w:vertAlign w:val="superscript"/>
          <w:rtl w:val="0"/>
        </w:rPr>
        <w:t xml:space="preserve">14</w:t>
      </w:r>
      <w:r w:rsidDel="00000000" w:rsidR="00000000" w:rsidRPr="00000000">
        <w:rPr>
          <w:rFonts w:ascii="Times New Roman" w:cs="Times New Roman" w:eastAsia="Times New Roman" w:hAnsi="Times New Roman"/>
          <w:i w:val="1"/>
          <w:sz w:val="20"/>
          <w:szCs w:val="20"/>
          <w:rtl w:val="0"/>
        </w:rPr>
        <w:t xml:space="preserve">, Franco Stanzial </w:t>
      </w:r>
      <w:r w:rsidDel="00000000" w:rsidR="00000000" w:rsidRPr="00000000">
        <w:rPr>
          <w:rFonts w:ascii="Times New Roman" w:cs="Times New Roman" w:eastAsia="Times New Roman" w:hAnsi="Times New Roman"/>
          <w:i w:val="1"/>
          <w:sz w:val="20"/>
          <w:szCs w:val="20"/>
          <w:vertAlign w:val="superscript"/>
          <w:rtl w:val="0"/>
        </w:rPr>
        <w:t xml:space="preserve">5</w:t>
      </w:r>
      <w:r w:rsidDel="00000000" w:rsidR="00000000" w:rsidRPr="00000000">
        <w:rPr>
          <w:rFonts w:ascii="Times New Roman" w:cs="Times New Roman" w:eastAsia="Times New Roman" w:hAnsi="Times New Roman"/>
          <w:i w:val="1"/>
          <w:sz w:val="20"/>
          <w:szCs w:val="20"/>
          <w:rtl w:val="0"/>
        </w:rPr>
        <w:t xml:space="preserve">,  Licia Turolla </w:t>
      </w:r>
      <w:r w:rsidDel="00000000" w:rsidR="00000000" w:rsidRPr="00000000">
        <w:rPr>
          <w:rFonts w:ascii="Times New Roman" w:cs="Times New Roman" w:eastAsia="Times New Roman" w:hAnsi="Times New Roman"/>
          <w:i w:val="1"/>
          <w:sz w:val="20"/>
          <w:szCs w:val="20"/>
          <w:vertAlign w:val="superscript"/>
          <w:rtl w:val="0"/>
        </w:rPr>
        <w:t xml:space="preserve">4</w:t>
      </w:r>
      <w:r w:rsidDel="00000000" w:rsidR="00000000" w:rsidRPr="00000000">
        <w:rPr>
          <w:rFonts w:ascii="Times New Roman" w:cs="Times New Roman" w:eastAsia="Times New Roman" w:hAnsi="Times New Roman"/>
          <w:i w:val="1"/>
          <w:sz w:val="20"/>
          <w:szCs w:val="20"/>
          <w:rtl w:val="0"/>
        </w:rPr>
        <w:t xml:space="preserve">, Damiano Piovesan </w:t>
      </w:r>
      <w:r w:rsidDel="00000000" w:rsidR="00000000" w:rsidRPr="00000000">
        <w:rPr>
          <w:rFonts w:ascii="Times New Roman" w:cs="Times New Roman" w:eastAsia="Times New Roman" w:hAnsi="Times New Roman"/>
          <w:i w:val="1"/>
          <w:sz w:val="20"/>
          <w:szCs w:val="20"/>
          <w:vertAlign w:val="superscript"/>
          <w:rtl w:val="0"/>
        </w:rPr>
        <w:t xml:space="preserve">1</w:t>
      </w:r>
      <w:r w:rsidDel="00000000" w:rsidR="00000000" w:rsidRPr="00000000">
        <w:rPr>
          <w:rFonts w:ascii="Times New Roman" w:cs="Times New Roman" w:eastAsia="Times New Roman" w:hAnsi="Times New Roman"/>
          <w:i w:val="1"/>
          <w:sz w:val="20"/>
          <w:szCs w:val="20"/>
          <w:rtl w:val="0"/>
        </w:rPr>
        <w:t xml:space="preserve">, Silvio C.E. Tosatto </w:t>
      </w:r>
      <w:r w:rsidDel="00000000" w:rsidR="00000000" w:rsidRPr="00000000">
        <w:rPr>
          <w:rFonts w:ascii="Times New Roman" w:cs="Times New Roman" w:eastAsia="Times New Roman" w:hAnsi="Times New Roman"/>
          <w:i w:val="1"/>
          <w:sz w:val="20"/>
          <w:szCs w:val="20"/>
          <w:vertAlign w:val="superscript"/>
          <w:rtl w:val="0"/>
        </w:rPr>
        <w:t xml:space="preserve">1,15</w:t>
      </w:r>
      <w:r w:rsidDel="00000000" w:rsidR="00000000" w:rsidRPr="00000000">
        <w:rPr>
          <w:rFonts w:ascii="Times New Roman" w:cs="Times New Roman" w:eastAsia="Times New Roman" w:hAnsi="Times New Roman"/>
          <w:i w:val="1"/>
          <w:sz w:val="20"/>
          <w:szCs w:val="20"/>
          <w:rtl w:val="0"/>
        </w:rPr>
        <w:t xml:space="preserve">, Alessandra Murgia </w:t>
      </w:r>
      <w:r w:rsidDel="00000000" w:rsidR="00000000" w:rsidRPr="00000000">
        <w:rPr>
          <w:rFonts w:ascii="Times New Roman" w:cs="Times New Roman" w:eastAsia="Times New Roman" w:hAnsi="Times New Roman"/>
          <w:i w:val="1"/>
          <w:sz w:val="20"/>
          <w:szCs w:val="20"/>
          <w:vertAlign w:val="superscript"/>
          <w:rtl w:val="0"/>
        </w:rPr>
        <w:t xml:space="preserve">2,3,</w:t>
      </w:r>
      <w:r w:rsidDel="00000000" w:rsidR="00000000" w:rsidRPr="00000000">
        <w:rPr>
          <w:rFonts w:ascii="Times New Roman" w:cs="Times New Roman" w:eastAsia="Times New Roman" w:hAnsi="Times New Roman"/>
          <w:i w:val="1"/>
          <w:sz w:val="20"/>
          <w:szCs w:val="20"/>
          <w:rtl w:val="0"/>
        </w:rPr>
        <w:t xml:space="preserve">* , Emanuela Leonardi </w:t>
      </w:r>
      <w:r w:rsidDel="00000000" w:rsidR="00000000" w:rsidRPr="00000000">
        <w:rPr>
          <w:rFonts w:ascii="Times New Roman" w:cs="Times New Roman" w:eastAsia="Times New Roman" w:hAnsi="Times New Roman"/>
          <w:i w:val="1"/>
          <w:sz w:val="20"/>
          <w:szCs w:val="20"/>
          <w:vertAlign w:val="superscript"/>
          <w:rtl w:val="0"/>
        </w:rPr>
        <w:t xml:space="preserve">1,2,</w:t>
      </w:r>
      <w:r w:rsidDel="00000000" w:rsidR="00000000" w:rsidRPr="00000000">
        <w:rPr>
          <w:rFonts w:ascii="Times New Roman" w:cs="Times New Roman" w:eastAsia="Times New Roman" w:hAnsi="Times New Roman"/>
          <w:i w:val="1"/>
          <w:sz w:val="20"/>
          <w:szCs w:val="20"/>
          <w:rtl w:val="0"/>
        </w:rPr>
        <w:t xml:space="preserve">*</w:t>
      </w:r>
    </w:p>
    <w:p w:rsidR="00000000" w:rsidDel="00000000" w:rsidP="00000000" w:rsidRDefault="00000000" w:rsidRPr="00000000" w14:paraId="00000005">
      <w:pPr>
        <w:jc w:val="center"/>
        <w:rPr>
          <w:rFonts w:ascii="Times New Roman" w:cs="Times New Roman" w:eastAsia="Times New Roman" w:hAnsi="Times New Roman"/>
          <w:b w:val="1"/>
          <w:sz w:val="32"/>
          <w:szCs w:val="32"/>
        </w:rPr>
      </w:pPr>
      <w:r w:rsidDel="00000000" w:rsidR="00000000" w:rsidRPr="00000000">
        <w:rPr>
          <w:rtl w:val="0"/>
        </w:rPr>
      </w:r>
    </w:p>
    <w:p w:rsidR="00000000" w:rsidDel="00000000" w:rsidP="00000000" w:rsidRDefault="00000000" w:rsidRPr="00000000" w14:paraId="00000006">
      <w:pPr>
        <w:spacing w:line="24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*Correspondence: alessandra.murgia@unipd.it (A.M.); emanuela.leonardi@unipd.it (E.L.)</w:t>
      </w:r>
    </w:p>
    <w:p w:rsidR="00000000" w:rsidDel="00000000" w:rsidP="00000000" w:rsidRDefault="00000000" w:rsidRPr="00000000" w14:paraId="00000007">
      <w:pPr>
        <w:jc w:val="center"/>
        <w:rPr>
          <w:rFonts w:ascii="Times New Roman" w:cs="Times New Roman" w:eastAsia="Times New Roman" w:hAnsi="Times New Roman"/>
          <w:b w:val="1"/>
          <w:color w:val="000000"/>
          <w:sz w:val="28"/>
          <w:szCs w:val="28"/>
        </w:rPr>
      </w:pPr>
      <w:r w:rsidDel="00000000" w:rsidR="00000000" w:rsidRPr="00000000">
        <w:rPr>
          <w:rtl w:val="0"/>
        </w:rPr>
      </w:r>
    </w:p>
    <w:p w:rsidR="00000000" w:rsidDel="00000000" w:rsidP="00000000" w:rsidRDefault="00000000" w:rsidRPr="00000000" w14:paraId="00000008">
      <w:pPr>
        <w:rPr>
          <w:rFonts w:ascii="Times New Roman" w:cs="Times New Roman" w:eastAsia="Times New Roman" w:hAnsi="Times New Roman"/>
          <w:b w:val="1"/>
          <w:color w:val="000000"/>
          <w:sz w:val="28"/>
          <w:szCs w:val="28"/>
        </w:rPr>
      </w:pPr>
      <w:r w:rsidDel="00000000" w:rsidR="00000000" w:rsidRPr="00000000">
        <w:rPr>
          <w:rFonts w:ascii="Times New Roman" w:cs="Times New Roman" w:eastAsia="Times New Roman" w:hAnsi="Times New Roman"/>
          <w:b w:val="1"/>
          <w:color w:val="000000"/>
          <w:sz w:val="28"/>
          <w:szCs w:val="28"/>
          <w:rtl w:val="0"/>
        </w:rPr>
        <w:t xml:space="preserve">SUPPLEMENTARY FIGURES</w:t>
      </w:r>
    </w:p>
    <w:p w:rsidR="00000000" w:rsidDel="00000000" w:rsidP="00000000" w:rsidRDefault="00000000" w:rsidRPr="00000000" w14:paraId="00000009">
      <w:pPr>
        <w:jc w:val="both"/>
        <w:rPr>
          <w:rFonts w:ascii="Times New Roman" w:cs="Times New Roman" w:eastAsia="Times New Roman" w:hAnsi="Times New Roman"/>
          <w:b w:val="1"/>
          <w:sz w:val="20"/>
          <w:szCs w:val="20"/>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1232535</wp:posOffset>
            </wp:positionH>
            <wp:positionV relativeFrom="paragraph">
              <wp:posOffset>257175</wp:posOffset>
            </wp:positionV>
            <wp:extent cx="3362325" cy="2800350"/>
            <wp:effectExtent b="0" l="0" r="0" t="0"/>
            <wp:wrapTopAndBottom distB="0" distT="0"/>
            <wp:docPr id="67" name="image4.png"/>
            <a:graphic>
              <a:graphicData uri="http://schemas.openxmlformats.org/drawingml/2006/picture">
                <pic:pic>
                  <pic:nvPicPr>
                    <pic:cNvPr id="0" name="image4.png"/>
                    <pic:cNvPicPr preferRelativeResize="0"/>
                  </pic:nvPicPr>
                  <pic:blipFill>
                    <a:blip r:embed="rId7"/>
                    <a:srcRect b="18619" l="10894" r="34168" t="0"/>
                    <a:stretch>
                      <a:fillRect/>
                    </a:stretch>
                  </pic:blipFill>
                  <pic:spPr>
                    <a:xfrm>
                      <a:off x="0" y="0"/>
                      <a:ext cx="3362325" cy="2800350"/>
                    </a:xfrm>
                    <a:prstGeom prst="rect"/>
                    <a:ln/>
                  </pic:spPr>
                </pic:pic>
              </a:graphicData>
            </a:graphic>
          </wp:anchor>
        </w:drawing>
      </w:r>
    </w:p>
    <w:p w:rsidR="00000000" w:rsidDel="00000000" w:rsidP="00000000" w:rsidRDefault="00000000" w:rsidRPr="00000000" w14:paraId="0000000A">
      <w:pPr>
        <w:jc w:val="both"/>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00B">
      <w:pPr>
        <w:spacing w:line="240" w:lineRule="auto"/>
        <w:jc w:val="both"/>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b w:val="1"/>
          <w:rtl w:val="0"/>
        </w:rPr>
        <w:t xml:space="preserve">Supplementary Figure S1. SLC6A1 variants mapping in the Transmembrane domain.</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i w:val="1"/>
          <w:rtl w:val="0"/>
        </w:rPr>
        <w:t xml:space="preserve">SLC6A1 variants identified in our cohort (orange) and recurrent pathogenic variants reported in literature (yellow). The position of the mutated residues is shown as spheres in the in cryo-electron microscopy structure of the SLC6A1 Transmembrane domain (TM) (PDB code: 7SK2).</w:t>
      </w:r>
      <w:r w:rsidDel="00000000" w:rsidR="00000000" w:rsidRPr="00000000">
        <w:rPr>
          <w:rtl w:val="0"/>
        </w:rPr>
      </w:r>
    </w:p>
    <w:p w:rsidR="00000000" w:rsidDel="00000000" w:rsidP="00000000" w:rsidRDefault="00000000" w:rsidRPr="00000000" w14:paraId="0000000C">
      <w:pPr>
        <w:jc w:val="center"/>
        <w:rPr>
          <w:rFonts w:ascii="Times New Roman" w:cs="Times New Roman" w:eastAsia="Times New Roman" w:hAnsi="Times New Roman"/>
          <w:sz w:val="28"/>
          <w:szCs w:val="28"/>
        </w:rPr>
      </w:pPr>
      <w:r w:rsidDel="00000000" w:rsidR="00000000" w:rsidRPr="00000000">
        <w:rPr/>
        <w:drawing>
          <wp:inline distB="0" distT="0" distL="0" distR="0">
            <wp:extent cx="6048375" cy="1981200"/>
            <wp:effectExtent b="0" l="0" r="0" t="0"/>
            <wp:docPr id="68" name="image1.png"/>
            <a:graphic>
              <a:graphicData uri="http://schemas.openxmlformats.org/drawingml/2006/picture">
                <pic:pic>
                  <pic:nvPicPr>
                    <pic:cNvPr id="0" name="image1.png"/>
                    <pic:cNvPicPr preferRelativeResize="0"/>
                  </pic:nvPicPr>
                  <pic:blipFill>
                    <a:blip r:embed="rId8"/>
                    <a:srcRect b="27201" l="0" r="1171" t="15223"/>
                    <a:stretch>
                      <a:fillRect/>
                    </a:stretch>
                  </pic:blipFill>
                  <pic:spPr>
                    <a:xfrm>
                      <a:off x="0" y="0"/>
                      <a:ext cx="6048375" cy="1981200"/>
                    </a:xfrm>
                    <a:prstGeom prst="rect"/>
                    <a:ln/>
                  </pic:spPr>
                </pic:pic>
              </a:graphicData>
            </a:graphic>
          </wp:inline>
        </w:drawing>
      </w:r>
      <w:r w:rsidDel="00000000" w:rsidR="00000000" w:rsidRPr="00000000">
        <w:rPr>
          <w:rtl w:val="0"/>
        </w:rPr>
      </w:r>
    </w:p>
    <w:p w:rsidR="00000000" w:rsidDel="00000000" w:rsidP="00000000" w:rsidRDefault="00000000" w:rsidRPr="00000000" w14:paraId="0000000D">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Supplementary </w:t>
      </w:r>
      <w:hyperlink r:id="rId9">
        <w:r w:rsidDel="00000000" w:rsidR="00000000" w:rsidRPr="00000000">
          <w:rPr>
            <w:rFonts w:ascii="Times New Roman" w:cs="Times New Roman" w:eastAsia="Times New Roman" w:hAnsi="Times New Roman"/>
            <w:b w:val="1"/>
            <w:color w:val="000000"/>
            <w:u w:val="none"/>
            <w:rtl w:val="0"/>
          </w:rPr>
          <w:t xml:space="preserve">Fig</w:t>
        </w:r>
      </w:hyperlink>
      <w:hyperlink r:id="rId10">
        <w:r w:rsidDel="00000000" w:rsidR="00000000" w:rsidRPr="00000000">
          <w:rPr>
            <w:rFonts w:ascii="Times New Roman" w:cs="Times New Roman" w:eastAsia="Times New Roman" w:hAnsi="Times New Roman"/>
            <w:b w:val="1"/>
            <w:rtl w:val="0"/>
          </w:rPr>
          <w:t xml:space="preserve">ure</w:t>
        </w:r>
      </w:hyperlink>
      <w:hyperlink r:id="rId11">
        <w:r w:rsidDel="00000000" w:rsidR="00000000" w:rsidRPr="00000000">
          <w:rPr>
            <w:rFonts w:ascii="Times New Roman" w:cs="Times New Roman" w:eastAsia="Times New Roman" w:hAnsi="Times New Roman"/>
            <w:b w:val="1"/>
            <w:color w:val="000000"/>
            <w:u w:val="none"/>
            <w:rtl w:val="0"/>
          </w:rPr>
          <w:t xml:space="preserve"> S</w:t>
        </w:r>
      </w:hyperlink>
      <w:r w:rsidDel="00000000" w:rsidR="00000000" w:rsidRPr="00000000">
        <w:rPr>
          <w:rFonts w:ascii="Times New Roman" w:cs="Times New Roman" w:eastAsia="Times New Roman" w:hAnsi="Times New Roman"/>
          <w:b w:val="1"/>
          <w:rtl w:val="0"/>
        </w:rPr>
        <w:t xml:space="preserve">2. The missense p.(Arg2536Trp) variant in </w:t>
      </w:r>
      <w:r w:rsidDel="00000000" w:rsidR="00000000" w:rsidRPr="00000000">
        <w:rPr>
          <w:rFonts w:ascii="Times New Roman" w:cs="Times New Roman" w:eastAsia="Times New Roman" w:hAnsi="Times New Roman"/>
          <w:b w:val="1"/>
          <w:i w:val="1"/>
          <w:rtl w:val="0"/>
        </w:rPr>
        <w:t xml:space="preserve">ANKRD11</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i w:val="1"/>
          <w:rtl w:val="0"/>
        </w:rPr>
        <w:t xml:space="preserve">Helix predicted by Alphafold spanning 2499-2549 residues. ANKRD11 amino acid sequence with the variants identified in affected individuals underlined. Positively and negatively charged residues are coloured in red and cyan, respectively. Proviz-predicted destruction motifs (D-boxes) are indicated in the sequence with orange boxes.</w:t>
      </w:r>
      <w:r w:rsidDel="00000000" w:rsidR="00000000" w:rsidRPr="00000000">
        <w:rPr>
          <w:rtl w:val="0"/>
        </w:rPr>
      </w:r>
    </w:p>
    <w:p w:rsidR="00000000" w:rsidDel="00000000" w:rsidP="00000000" w:rsidRDefault="00000000" w:rsidRPr="00000000" w14:paraId="0000000E">
      <w:pPr>
        <w:jc w:val="both"/>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00F">
      <w:pPr>
        <w:jc w:val="both"/>
        <w:rPr>
          <w:rFonts w:ascii="Times New Roman" w:cs="Times New Roman" w:eastAsia="Times New Roman" w:hAnsi="Times New Roman"/>
          <w:b w:val="1"/>
          <w:sz w:val="20"/>
          <w:szCs w:val="20"/>
        </w:rPr>
      </w:pPr>
      <w:r w:rsidDel="00000000" w:rsidR="00000000" w:rsidRPr="00000000">
        <w:rPr/>
        <w:drawing>
          <wp:inline distB="0" distT="0" distL="0" distR="0">
            <wp:extent cx="6048375" cy="3441065"/>
            <wp:effectExtent b="0" l="0" r="0" t="0"/>
            <wp:docPr id="69" name="image2.png"/>
            <a:graphic>
              <a:graphicData uri="http://schemas.openxmlformats.org/drawingml/2006/picture">
                <pic:pic>
                  <pic:nvPicPr>
                    <pic:cNvPr id="0" name="image2.png"/>
                    <pic:cNvPicPr preferRelativeResize="0"/>
                  </pic:nvPicPr>
                  <pic:blipFill>
                    <a:blip r:embed="rId12"/>
                    <a:srcRect b="0" l="0" r="1171" t="0"/>
                    <a:stretch>
                      <a:fillRect/>
                    </a:stretch>
                  </pic:blipFill>
                  <pic:spPr>
                    <a:xfrm>
                      <a:off x="0" y="0"/>
                      <a:ext cx="6048375" cy="3441065"/>
                    </a:xfrm>
                    <a:prstGeom prst="rect"/>
                    <a:ln/>
                  </pic:spPr>
                </pic:pic>
              </a:graphicData>
            </a:graphic>
          </wp:inline>
        </w:drawing>
      </w:r>
      <w:r w:rsidDel="00000000" w:rsidR="00000000" w:rsidRPr="00000000">
        <w:rPr>
          <w:rtl w:val="0"/>
        </w:rPr>
      </w:r>
    </w:p>
    <w:p w:rsidR="00000000" w:rsidDel="00000000" w:rsidP="00000000" w:rsidRDefault="00000000" w:rsidRPr="00000000" w14:paraId="00000010">
      <w:pPr>
        <w:spacing w:line="240" w:lineRule="auto"/>
        <w:jc w:val="both"/>
        <w:rPr>
          <w:rFonts w:ascii="Times New Roman" w:cs="Times New Roman" w:eastAsia="Times New Roman" w:hAnsi="Times New Roman"/>
          <w:i w:val="1"/>
        </w:rPr>
      </w:pPr>
      <w:r w:rsidDel="00000000" w:rsidR="00000000" w:rsidRPr="00000000">
        <w:rPr>
          <w:rFonts w:ascii="Times New Roman" w:cs="Times New Roman" w:eastAsia="Times New Roman" w:hAnsi="Times New Roman"/>
          <w:b w:val="1"/>
          <w:rtl w:val="0"/>
        </w:rPr>
        <w:t xml:space="preserve">Supplementary </w:t>
      </w:r>
      <w:hyperlink r:id="rId13">
        <w:r w:rsidDel="00000000" w:rsidR="00000000" w:rsidRPr="00000000">
          <w:rPr>
            <w:rFonts w:ascii="Times New Roman" w:cs="Times New Roman" w:eastAsia="Times New Roman" w:hAnsi="Times New Roman"/>
            <w:b w:val="1"/>
            <w:color w:val="000000"/>
            <w:u w:val="none"/>
            <w:rtl w:val="0"/>
          </w:rPr>
          <w:t xml:space="preserve">Fig</w:t>
        </w:r>
      </w:hyperlink>
      <w:hyperlink r:id="rId14">
        <w:r w:rsidDel="00000000" w:rsidR="00000000" w:rsidRPr="00000000">
          <w:rPr>
            <w:rFonts w:ascii="Times New Roman" w:cs="Times New Roman" w:eastAsia="Times New Roman" w:hAnsi="Times New Roman"/>
            <w:b w:val="1"/>
            <w:rtl w:val="0"/>
          </w:rPr>
          <w:t xml:space="preserve">ure</w:t>
        </w:r>
      </w:hyperlink>
      <w:hyperlink r:id="rId15">
        <w:r w:rsidDel="00000000" w:rsidR="00000000" w:rsidRPr="00000000">
          <w:rPr>
            <w:rFonts w:ascii="Times New Roman" w:cs="Times New Roman" w:eastAsia="Times New Roman" w:hAnsi="Times New Roman"/>
            <w:b w:val="1"/>
            <w:color w:val="000000"/>
            <w:u w:val="none"/>
            <w:rtl w:val="0"/>
          </w:rPr>
          <w:t xml:space="preserve"> S3. ASH1L missense variants identified in this study</w:t>
        </w:r>
      </w:hyperlink>
      <w:r w:rsidDel="00000000" w:rsidR="00000000" w:rsidRPr="00000000">
        <w:rPr>
          <w:rFonts w:ascii="Times New Roman" w:cs="Times New Roman" w:eastAsia="Times New Roman" w:hAnsi="Times New Roman"/>
          <w:i w:val="1"/>
          <w:rtl w:val="0"/>
        </w:rPr>
        <w:t xml:space="preserve">. (A) Domain architecture of ASH1L indicating locations of the identified missense variants. Three variants map in the N-terminal region between two predicted AT-hook motifs. A flash indicates de novo variants. Domains are indicated according to InterPro: AT-Hook, DNA binding motifs; AWS (Associated With SET) (aa 2091-2143); SET domain (aa 2145-2285); Bromo (aa 2442-2552); Zinc-finger, PHD type (aa 2587-2629); BAH (Bromo adjacent homology) (aa 2661-2798). (B) Visualization of secondary structure, intrinsic disorder and charged clusters predicted with FELSS [http://old.protein.bio.unipd.it/fells/</w:t>
      </w:r>
      <w:r w:rsidDel="00000000" w:rsidR="00000000" w:rsidRPr="00000000">
        <w:rPr>
          <w:rFonts w:ascii="Times New Roman" w:cs="Times New Roman" w:eastAsia="Times New Roman" w:hAnsi="Times New Roman"/>
          <w:i w:val="1"/>
          <w:rtl w:val="0"/>
        </w:rPr>
        <w:t xml:space="preserve">]. Asn1060 maps in a hydrophobic region preceded by a cluster of positively charged residues; Leu1298 is predicted to form an amphipathic hydrophobic helix. (C) Asn1060 and Leu1298 residues are conserved among orthologous sequences.  Multiple sequence alignment of ASH1L orthologs around the mutated positions. The sequences are coloured by clustal colour scheme with Jalview.</w:t>
      </w:r>
    </w:p>
    <w:p w:rsidR="00000000" w:rsidDel="00000000" w:rsidP="00000000" w:rsidRDefault="00000000" w:rsidRPr="00000000" w14:paraId="00000011">
      <w:pPr>
        <w:jc w:val="both"/>
        <w:rPr>
          <w:b w:val="1"/>
          <w:sz w:val="28"/>
          <w:szCs w:val="28"/>
        </w:rPr>
      </w:pPr>
      <w:r w:rsidDel="00000000" w:rsidR="00000000" w:rsidRPr="00000000">
        <w:rPr/>
        <w:drawing>
          <wp:inline distB="0" distT="0" distL="0" distR="0">
            <wp:extent cx="6010275" cy="2905125"/>
            <wp:effectExtent b="0" l="0" r="0" t="0"/>
            <wp:docPr id="71" name="image5.png"/>
            <a:graphic>
              <a:graphicData uri="http://schemas.openxmlformats.org/drawingml/2006/picture">
                <pic:pic>
                  <pic:nvPicPr>
                    <pic:cNvPr id="0" name="image5.png"/>
                    <pic:cNvPicPr preferRelativeResize="0"/>
                  </pic:nvPicPr>
                  <pic:blipFill>
                    <a:blip r:embed="rId16"/>
                    <a:srcRect b="15575" l="0" r="1795" t="0"/>
                    <a:stretch>
                      <a:fillRect/>
                    </a:stretch>
                  </pic:blipFill>
                  <pic:spPr>
                    <a:xfrm>
                      <a:off x="0" y="0"/>
                      <a:ext cx="6010275" cy="2905125"/>
                    </a:xfrm>
                    <a:prstGeom prst="rect"/>
                    <a:ln/>
                  </pic:spPr>
                </pic:pic>
              </a:graphicData>
            </a:graphic>
          </wp:inline>
        </w:drawing>
      </w:r>
      <w:r w:rsidDel="00000000" w:rsidR="00000000" w:rsidRPr="00000000">
        <w:rPr>
          <w:rtl w:val="0"/>
        </w:rPr>
      </w:r>
    </w:p>
    <w:p w:rsidR="00000000" w:rsidDel="00000000" w:rsidP="00000000" w:rsidRDefault="00000000" w:rsidRPr="00000000" w14:paraId="00000012">
      <w:pPr>
        <w:spacing w:line="240" w:lineRule="auto"/>
        <w:jc w:val="both"/>
        <w:rPr>
          <w:rFonts w:ascii="Times New Roman" w:cs="Times New Roman" w:eastAsia="Times New Roman" w:hAnsi="Times New Roman"/>
          <w:i w:val="1"/>
        </w:rPr>
      </w:pPr>
      <w:r w:rsidDel="00000000" w:rsidR="00000000" w:rsidRPr="00000000">
        <w:rPr>
          <w:rFonts w:ascii="Times New Roman" w:cs="Times New Roman" w:eastAsia="Times New Roman" w:hAnsi="Times New Roman"/>
          <w:b w:val="1"/>
          <w:rtl w:val="0"/>
        </w:rPr>
        <w:t xml:space="preserve">Supplementary Figure S4. The missense variant p.(Arg303Leu) detected in DEAF1.</w:t>
      </w:r>
      <w:r w:rsidDel="00000000" w:rsidR="00000000" w:rsidRPr="00000000">
        <w:rPr>
          <w:rFonts w:ascii="Times New Roman" w:cs="Times New Roman" w:eastAsia="Times New Roman" w:hAnsi="Times New Roman"/>
          <w:b w:val="1"/>
          <w:rtl w:val="0"/>
        </w:rPr>
        <w:t xml:space="preserve"> </w:t>
      </w:r>
      <w:r w:rsidDel="00000000" w:rsidR="00000000" w:rsidRPr="00000000">
        <w:rPr>
          <w:rFonts w:ascii="Times New Roman" w:cs="Times New Roman" w:eastAsia="Times New Roman" w:hAnsi="Times New Roman"/>
          <w:i w:val="1"/>
          <w:rtl w:val="0"/>
        </w:rPr>
        <w:t xml:space="preserve">(A) DEAF1 p.Arg303 residue and the entire Nuclear Localization Signal (300-YKRRKKE-306) are conserved among orthologous sequences. Sequences are coloured according to clustal color scheme with Jalview. (B) Sequence pattern of the Nuclear Localization Signal according to ELM.</w:t>
      </w:r>
    </w:p>
    <w:p w:rsidR="00000000" w:rsidDel="00000000" w:rsidP="00000000" w:rsidRDefault="00000000" w:rsidRPr="00000000" w14:paraId="00000013">
      <w:pPr>
        <w:jc w:val="both"/>
        <w:rPr>
          <w:rFonts w:ascii="Times New Roman" w:cs="Times New Roman" w:eastAsia="Times New Roman" w:hAnsi="Times New Roman"/>
          <w:i w:val="1"/>
          <w:sz w:val="24"/>
          <w:szCs w:val="24"/>
        </w:rPr>
      </w:pPr>
      <w:r w:rsidDel="00000000" w:rsidR="00000000" w:rsidRPr="00000000">
        <w:rPr/>
        <w:drawing>
          <wp:inline distB="0" distT="0" distL="0" distR="0">
            <wp:extent cx="5867400" cy="3441065"/>
            <wp:effectExtent b="0" l="0" r="0" t="0"/>
            <wp:docPr id="70" name="image3.png"/>
            <a:graphic>
              <a:graphicData uri="http://schemas.openxmlformats.org/drawingml/2006/picture">
                <pic:pic>
                  <pic:nvPicPr>
                    <pic:cNvPr id="0" name="image3.png"/>
                    <pic:cNvPicPr preferRelativeResize="0"/>
                  </pic:nvPicPr>
                  <pic:blipFill>
                    <a:blip r:embed="rId17"/>
                    <a:srcRect b="0" l="0" r="4130" t="0"/>
                    <a:stretch>
                      <a:fillRect/>
                    </a:stretch>
                  </pic:blipFill>
                  <pic:spPr>
                    <a:xfrm>
                      <a:off x="0" y="0"/>
                      <a:ext cx="5867400" cy="3441065"/>
                    </a:xfrm>
                    <a:prstGeom prst="rect"/>
                    <a:ln/>
                  </pic:spPr>
                </pic:pic>
              </a:graphicData>
            </a:graphic>
          </wp:inline>
        </w:drawing>
      </w:r>
      <w:r w:rsidDel="00000000" w:rsidR="00000000" w:rsidRPr="00000000">
        <w:rPr>
          <w:rtl w:val="0"/>
        </w:rPr>
      </w:r>
    </w:p>
    <w:p w:rsidR="00000000" w:rsidDel="00000000" w:rsidP="00000000" w:rsidRDefault="00000000" w:rsidRPr="00000000" w14:paraId="00000014">
      <w:pPr>
        <w:spacing w:line="240" w:lineRule="auto"/>
        <w:jc w:val="both"/>
        <w:rPr>
          <w:rFonts w:ascii="Times New Roman" w:cs="Times New Roman" w:eastAsia="Times New Roman" w:hAnsi="Times New Roman"/>
          <w:i w:val="1"/>
        </w:rPr>
      </w:pPr>
      <w:bookmarkStart w:colFirst="0" w:colLast="0" w:name="_heading=h.gjdgxs" w:id="1"/>
      <w:bookmarkEnd w:id="1"/>
      <w:r w:rsidDel="00000000" w:rsidR="00000000" w:rsidRPr="00000000">
        <w:rPr>
          <w:rFonts w:ascii="Times New Roman" w:cs="Times New Roman" w:eastAsia="Times New Roman" w:hAnsi="Times New Roman"/>
          <w:b w:val="1"/>
          <w:rtl w:val="0"/>
        </w:rPr>
        <w:t xml:space="preserve">Supplementary </w:t>
      </w:r>
      <w:hyperlink r:id="rId18">
        <w:r w:rsidDel="00000000" w:rsidR="00000000" w:rsidRPr="00000000">
          <w:rPr>
            <w:rFonts w:ascii="Times New Roman" w:cs="Times New Roman" w:eastAsia="Times New Roman" w:hAnsi="Times New Roman"/>
            <w:b w:val="1"/>
            <w:color w:val="000000"/>
            <w:u w:val="none"/>
            <w:rtl w:val="0"/>
          </w:rPr>
          <w:t xml:space="preserve">Fig</w:t>
        </w:r>
      </w:hyperlink>
      <w:hyperlink r:id="rId19">
        <w:r w:rsidDel="00000000" w:rsidR="00000000" w:rsidRPr="00000000">
          <w:rPr>
            <w:rFonts w:ascii="Times New Roman" w:cs="Times New Roman" w:eastAsia="Times New Roman" w:hAnsi="Times New Roman"/>
            <w:b w:val="1"/>
            <w:rtl w:val="0"/>
          </w:rPr>
          <w:t xml:space="preserve">ure</w:t>
        </w:r>
      </w:hyperlink>
      <w:hyperlink r:id="rId20">
        <w:r w:rsidDel="00000000" w:rsidR="00000000" w:rsidRPr="00000000">
          <w:rPr>
            <w:rFonts w:ascii="Times New Roman" w:cs="Times New Roman" w:eastAsia="Times New Roman" w:hAnsi="Times New Roman"/>
            <w:b w:val="1"/>
            <w:color w:val="000000"/>
            <w:u w:val="none"/>
            <w:rtl w:val="0"/>
          </w:rPr>
          <w:t xml:space="preserve"> </w:t>
        </w:r>
      </w:hyperlink>
      <w:r w:rsidDel="00000000" w:rsidR="00000000" w:rsidRPr="00000000">
        <w:rPr>
          <w:rFonts w:ascii="Times New Roman" w:cs="Times New Roman" w:eastAsia="Times New Roman" w:hAnsi="Times New Roman"/>
          <w:b w:val="1"/>
          <w:rtl w:val="0"/>
        </w:rPr>
        <w:t xml:space="preserve">S5. IQSEC2 variants in the PH domains.</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i w:val="1"/>
          <w:rtl w:val="0"/>
        </w:rPr>
        <w:t xml:space="preserve">Mutated positions identified in our cohort and reported in literature are indicated as orange spheres and mapped in the crystal structure of the Sec7-PH domains of IQSEC2 (limegreen) in complex with the small GTPase Arf1 (lightblue) (PDB 6FAE). The position of the variant identified p.(Leu992Phe) in our cohort is indicated.</w:t>
      </w:r>
    </w:p>
    <w:p w:rsidR="00000000" w:rsidDel="00000000" w:rsidP="00000000" w:rsidRDefault="00000000" w:rsidRPr="00000000" w14:paraId="00000015">
      <w:pPr>
        <w:jc w:val="both"/>
        <w:rPr>
          <w:rFonts w:ascii="Times New Roman" w:cs="Times New Roman" w:eastAsia="Times New Roman" w:hAnsi="Times New Roman"/>
          <w:b w:val="1"/>
          <w:sz w:val="28"/>
          <w:szCs w:val="28"/>
        </w:rPr>
      </w:pPr>
      <w:r w:rsidDel="00000000" w:rsidR="00000000" w:rsidRPr="00000000">
        <w:rPr>
          <w:rtl w:val="0"/>
        </w:rPr>
      </w:r>
    </w:p>
    <w:sectPr>
      <w:footerReference r:id="rId21" w:type="default"/>
      <w:pgSz w:h="16838" w:w="11906" w:orient="portrait"/>
      <w:pgMar w:bottom="1134" w:top="1417"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e" w:default="1">
    <w:name w:val="Normal"/>
    <w:qFormat w:val="1"/>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paragraph" w:styleId="NormaleWeb">
    <w:name w:val="Normal (Web)"/>
    <w:basedOn w:val="Normale"/>
    <w:uiPriority w:val="99"/>
    <w:semiHidden w:val="1"/>
    <w:unhideWhenUsed w:val="1"/>
    <w:rsid w:val="008733AB"/>
    <w:pPr>
      <w:spacing w:after="100" w:afterAutospacing="1" w:before="100" w:beforeAutospacing="1" w:line="240" w:lineRule="auto"/>
    </w:pPr>
    <w:rPr>
      <w:rFonts w:ascii="Times New Roman" w:cs="Times New Roman" w:eastAsia="Times New Roman" w:hAnsi="Times New Roman"/>
      <w:sz w:val="24"/>
      <w:szCs w:val="24"/>
      <w:lang w:eastAsia="en-GB"/>
    </w:rPr>
  </w:style>
  <w:style w:type="character" w:styleId="Collegamentoipertestuale">
    <w:name w:val="Hyperlink"/>
    <w:basedOn w:val="Carpredefinitoparagrafo"/>
    <w:uiPriority w:val="99"/>
    <w:unhideWhenUsed w:val="1"/>
    <w:rsid w:val="008733AB"/>
    <w:rPr>
      <w:color w:val="0563c1" w:themeColor="hyperlink"/>
      <w:u w:val="single"/>
    </w:rPr>
  </w:style>
  <w:style w:type="paragraph" w:styleId="Intestazione">
    <w:name w:val="header"/>
    <w:basedOn w:val="Normale"/>
    <w:link w:val="IntestazioneCarattere"/>
    <w:uiPriority w:val="99"/>
    <w:unhideWhenUsed w:val="1"/>
    <w:rsid w:val="00F112AF"/>
    <w:pPr>
      <w:tabs>
        <w:tab w:val="center" w:pos="4819"/>
        <w:tab w:val="right" w:pos="9638"/>
      </w:tabs>
      <w:spacing w:after="0" w:line="240" w:lineRule="auto"/>
    </w:pPr>
  </w:style>
  <w:style w:type="character" w:styleId="IntestazioneCarattere" w:customStyle="1">
    <w:name w:val="Intestazione Carattere"/>
    <w:basedOn w:val="Carpredefinitoparagrafo"/>
    <w:link w:val="Intestazione"/>
    <w:uiPriority w:val="99"/>
    <w:rsid w:val="00F112AF"/>
  </w:style>
  <w:style w:type="paragraph" w:styleId="Pidipagina">
    <w:name w:val="footer"/>
    <w:basedOn w:val="Normale"/>
    <w:link w:val="PidipaginaCarattere"/>
    <w:uiPriority w:val="99"/>
    <w:unhideWhenUsed w:val="1"/>
    <w:rsid w:val="00F112AF"/>
    <w:pPr>
      <w:tabs>
        <w:tab w:val="center" w:pos="4819"/>
        <w:tab w:val="right" w:pos="9638"/>
      </w:tabs>
      <w:spacing w:after="0" w:line="240" w:lineRule="auto"/>
    </w:pPr>
  </w:style>
  <w:style w:type="character" w:styleId="PidipaginaCarattere" w:customStyle="1">
    <w:name w:val="Piè di pagina Carattere"/>
    <w:basedOn w:val="Carpredefinitoparagrafo"/>
    <w:link w:val="Pidipagina"/>
    <w:uiPriority w:val="99"/>
    <w:rsid w:val="00F112AF"/>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hyperlink" Target="https://docs.google.com/presentation/d/13ABA81YvAnfKgRTIEYz1kLsPU4z2GqBe/edit" TargetMode="External"/><Relationship Id="rId11" Type="http://schemas.openxmlformats.org/officeDocument/2006/relationships/hyperlink" Target="https://docs.google.com/presentation/d/19bAxXi4kTz9i-9shIY11EGvYUKKaW1CB/edit" TargetMode="External"/><Relationship Id="rId10" Type="http://schemas.openxmlformats.org/officeDocument/2006/relationships/hyperlink" Target="https://docs.google.com/presentation/d/19bAxXi4kTz9i-9shIY11EGvYUKKaW1CB/edit" TargetMode="External"/><Relationship Id="rId21" Type="http://schemas.openxmlformats.org/officeDocument/2006/relationships/footer" Target="footer1.xml"/><Relationship Id="rId13" Type="http://schemas.openxmlformats.org/officeDocument/2006/relationships/hyperlink" Target="https://docs.google.com/presentation/d/10qbPc4_rTccU-PA8Q0zWMlKcnKqUhXVQ/edit" TargetMode="External"/><Relationship Id="rId12" Type="http://schemas.openxmlformats.org/officeDocument/2006/relationships/image" Target="media/image2.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docs.google.com/presentation/d/19bAxXi4kTz9i-9shIY11EGvYUKKaW1CB/edit" TargetMode="External"/><Relationship Id="rId15" Type="http://schemas.openxmlformats.org/officeDocument/2006/relationships/hyperlink" Target="https://docs.google.com/presentation/d/10qbPc4_rTccU-PA8Q0zWMlKcnKqUhXVQ/edit" TargetMode="External"/><Relationship Id="rId14" Type="http://schemas.openxmlformats.org/officeDocument/2006/relationships/hyperlink" Target="https://docs.google.com/presentation/d/10qbPc4_rTccU-PA8Q0zWMlKcnKqUhXVQ/edit" TargetMode="External"/><Relationship Id="rId17" Type="http://schemas.openxmlformats.org/officeDocument/2006/relationships/image" Target="media/image3.png"/><Relationship Id="rId16" Type="http://schemas.openxmlformats.org/officeDocument/2006/relationships/image" Target="media/image5.png"/><Relationship Id="rId5" Type="http://schemas.openxmlformats.org/officeDocument/2006/relationships/styles" Target="styles.xml"/><Relationship Id="rId19" Type="http://schemas.openxmlformats.org/officeDocument/2006/relationships/hyperlink" Target="https://docs.google.com/presentation/d/13ABA81YvAnfKgRTIEYz1kLsPU4z2GqBe/edit" TargetMode="External"/><Relationship Id="rId6" Type="http://schemas.openxmlformats.org/officeDocument/2006/relationships/customXml" Target="../customXML/item1.xml"/><Relationship Id="rId18" Type="http://schemas.openxmlformats.org/officeDocument/2006/relationships/hyperlink" Target="https://docs.google.com/presentation/d/13ABA81YvAnfKgRTIEYz1kLsPU4z2GqBe/edit" TargetMode="External"/><Relationship Id="rId7" Type="http://schemas.openxmlformats.org/officeDocument/2006/relationships/image" Target="media/image4.png"/><Relationship Id="rId8"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AYp34l4PNi6YzPdy5O9NDIgODgQ==">CgMxLjAyDmgubWZ3ams3YmxzMXE1MghoLmdqZGd4czgAciExUXdoWHVfNVNjcUR4LUN4RUJpZUJ4a0poRVkzU2d1VDQ=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2023-07-04T07:33:00Z</dcterms:created>
  <dc:creator>EL</dc:creator>
</cp:coreProperties>
</file>