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9BEA42" w14:textId="6BC58854" w:rsidR="00683F5D" w:rsidRDefault="00265D29" w:rsidP="00683F5D">
      <w:pPr>
        <w:spacing w:line="480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Data</w:t>
      </w:r>
      <w:r w:rsidR="00683F5D">
        <w:rPr>
          <w:rFonts w:ascii="Calibri" w:hAnsi="Calibri" w:cs="Calibri"/>
          <w:b/>
          <w:bCs/>
          <w:sz w:val="24"/>
          <w:szCs w:val="24"/>
        </w:rPr>
        <w:t xml:space="preserve"> supplement</w:t>
      </w:r>
    </w:p>
    <w:p w14:paraId="3E9DE58D" w14:textId="6F16F402" w:rsidR="00683F5D" w:rsidRDefault="00683F5D" w:rsidP="00683F5D">
      <w:pPr>
        <w:spacing w:line="480" w:lineRule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Pregnancy in a Chinese woman with nonclassical 11β-hydroxylase deficiency caused by novel compound heterozygous mutations: a case report, literature review and functional validation</w:t>
      </w:r>
    </w:p>
    <w:p w14:paraId="4A7C19B4" w14:textId="77777777" w:rsidR="00683F5D" w:rsidRDefault="00683F5D" w:rsidP="00683F5D">
      <w:pPr>
        <w:spacing w:line="480" w:lineRule="auto"/>
        <w:rPr>
          <w:rFonts w:ascii="Calibri" w:hAnsi="Calibri" w:cs="Calibri"/>
          <w:sz w:val="24"/>
          <w:szCs w:val="24"/>
        </w:rPr>
      </w:pPr>
    </w:p>
    <w:p w14:paraId="15F2F32C" w14:textId="77777777" w:rsidR="00683F5D" w:rsidRDefault="00683F5D" w:rsidP="00683F5D">
      <w:pPr>
        <w:spacing w:line="480" w:lineRule="auto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Yuhong Yang</w:t>
      </w:r>
      <w:r>
        <w:rPr>
          <w:rFonts w:ascii="Calibri" w:hAnsi="Calibri" w:cs="Calibri"/>
          <w:sz w:val="24"/>
          <w:szCs w:val="24"/>
          <w:vertAlign w:val="superscript"/>
          <w:lang w:val="de-DE"/>
        </w:rPr>
        <w:t>1</w:t>
      </w:r>
      <w:r>
        <w:rPr>
          <w:rFonts w:ascii="Calibri" w:hAnsi="Calibri" w:cs="Calibri"/>
          <w:sz w:val="24"/>
          <w:szCs w:val="24"/>
          <w:lang w:val="de-DE"/>
        </w:rPr>
        <w:t>†, Maoting Gao</w:t>
      </w:r>
      <w:r>
        <w:rPr>
          <w:rFonts w:ascii="Calibri" w:hAnsi="Calibri" w:cs="Calibri"/>
          <w:sz w:val="24"/>
          <w:szCs w:val="24"/>
          <w:vertAlign w:val="superscript"/>
          <w:lang w:val="de-DE"/>
        </w:rPr>
        <w:t>1</w:t>
      </w:r>
      <w:r>
        <w:rPr>
          <w:rFonts w:ascii="Calibri" w:hAnsi="Calibri" w:cs="Calibri"/>
          <w:sz w:val="24"/>
          <w:szCs w:val="24"/>
          <w:lang w:val="de-DE"/>
        </w:rPr>
        <w:t xml:space="preserve">†, </w:t>
      </w:r>
      <w:r>
        <w:rPr>
          <w:rFonts w:ascii="Calibri" w:hAnsi="Calibri" w:cs="Calibri" w:hint="eastAsia"/>
          <w:sz w:val="24"/>
          <w:szCs w:val="24"/>
          <w:lang w:val="de-DE"/>
        </w:rPr>
        <w:t>Wei Wu</w:t>
      </w:r>
      <w:r>
        <w:rPr>
          <w:rFonts w:ascii="Calibri" w:hAnsi="Calibri" w:cs="Calibri"/>
          <w:sz w:val="24"/>
          <w:szCs w:val="24"/>
          <w:vertAlign w:val="superscript"/>
          <w:lang w:val="de-DE"/>
        </w:rPr>
        <w:t>2</w:t>
      </w:r>
      <w:r>
        <w:rPr>
          <w:rFonts w:ascii="Calibri" w:hAnsi="Calibri" w:cs="Calibri" w:hint="eastAsia"/>
          <w:sz w:val="24"/>
          <w:szCs w:val="24"/>
          <w:lang w:val="de-DE"/>
        </w:rPr>
        <w:t xml:space="preserve">, </w:t>
      </w:r>
      <w:r>
        <w:rPr>
          <w:rFonts w:ascii="Calibri" w:hAnsi="Calibri" w:cs="Calibri"/>
          <w:sz w:val="24"/>
          <w:szCs w:val="24"/>
          <w:lang w:val="de-DE"/>
        </w:rPr>
        <w:t>Min Sun</w:t>
      </w:r>
      <w:r>
        <w:rPr>
          <w:rFonts w:ascii="Calibri" w:hAnsi="Calibri" w:cs="Calibri"/>
          <w:sz w:val="24"/>
          <w:szCs w:val="24"/>
          <w:vertAlign w:val="superscript"/>
          <w:lang w:val="de-DE"/>
        </w:rPr>
        <w:t>1</w:t>
      </w:r>
      <w:r>
        <w:rPr>
          <w:rFonts w:ascii="Calibri" w:hAnsi="Calibri" w:cs="Calibri"/>
          <w:bCs/>
          <w:sz w:val="24"/>
          <w:szCs w:val="24"/>
          <w:lang w:val="de-DE"/>
        </w:rPr>
        <w:t>*</w:t>
      </w:r>
      <w:r>
        <w:rPr>
          <w:rFonts w:ascii="Calibri" w:hAnsi="Calibri" w:cs="Calibri"/>
          <w:sz w:val="24"/>
          <w:szCs w:val="24"/>
          <w:lang w:val="de-DE"/>
        </w:rPr>
        <w:t>, Zhixiao Wang</w:t>
      </w:r>
      <w:r>
        <w:rPr>
          <w:rFonts w:ascii="Calibri" w:hAnsi="Calibri" w:cs="Calibri"/>
          <w:sz w:val="24"/>
          <w:szCs w:val="24"/>
          <w:vertAlign w:val="superscript"/>
          <w:lang w:val="de-DE"/>
        </w:rPr>
        <w:t>1</w:t>
      </w:r>
      <w:r>
        <w:rPr>
          <w:rFonts w:ascii="Calibri" w:hAnsi="Calibri" w:cs="Calibri"/>
          <w:bCs/>
          <w:sz w:val="24"/>
          <w:szCs w:val="24"/>
          <w:lang w:val="de-DE"/>
        </w:rPr>
        <w:t>*</w:t>
      </w:r>
    </w:p>
    <w:p w14:paraId="24679E3A" w14:textId="77777777" w:rsidR="00683F5D" w:rsidRDefault="00683F5D" w:rsidP="00683F5D">
      <w:pPr>
        <w:spacing w:line="480" w:lineRule="auto"/>
        <w:rPr>
          <w:rFonts w:ascii="Calibri" w:hAnsi="Calibri" w:cs="Calibri"/>
          <w:sz w:val="24"/>
          <w:szCs w:val="24"/>
          <w:lang w:val="de-DE"/>
        </w:rPr>
      </w:pPr>
    </w:p>
    <w:p w14:paraId="362DD63C" w14:textId="77777777" w:rsidR="00683F5D" w:rsidRDefault="00683F5D" w:rsidP="00683F5D">
      <w:pPr>
        <w:suppressLineNumbers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  <w:vertAlign w:val="superscript"/>
        </w:rPr>
        <w:t>1</w:t>
      </w:r>
      <w:r>
        <w:rPr>
          <w:rFonts w:ascii="Calibri" w:hAnsi="Calibri" w:cs="Calibri"/>
          <w:bCs/>
          <w:sz w:val="24"/>
          <w:szCs w:val="24"/>
        </w:rPr>
        <w:t>Department of Endocrinology, The First Affiliated Hospital With Nanjing Medical University, Nanjing, China</w:t>
      </w:r>
    </w:p>
    <w:p w14:paraId="17809A5C" w14:textId="77777777" w:rsidR="00683F5D" w:rsidRDefault="00683F5D" w:rsidP="00683F5D">
      <w:pPr>
        <w:suppressLineNumbers/>
        <w:rPr>
          <w:rFonts w:ascii="Calibri" w:hAnsi="Calibri" w:cs="Calibri"/>
          <w:bCs/>
          <w:sz w:val="24"/>
          <w:szCs w:val="24"/>
        </w:rPr>
      </w:pPr>
    </w:p>
    <w:p w14:paraId="3BAE77BD" w14:textId="77777777" w:rsidR="00683F5D" w:rsidRDefault="00683F5D" w:rsidP="00683F5D">
      <w:pPr>
        <w:suppressLineNumbers/>
        <w:rPr>
          <w:rFonts w:ascii="Calibri" w:hAnsi="Calibri" w:cs="Calibri"/>
          <w:bCs/>
          <w:sz w:val="24"/>
          <w:szCs w:val="24"/>
        </w:rPr>
      </w:pPr>
      <w:r w:rsidRPr="00683F5D">
        <w:rPr>
          <w:rFonts w:ascii="Calibri" w:hAnsi="Calibri" w:cs="Calibri" w:hint="eastAsia"/>
          <w:sz w:val="24"/>
          <w:szCs w:val="24"/>
          <w:vertAlign w:val="superscript"/>
        </w:rPr>
        <w:t>2</w:t>
      </w:r>
      <w:r w:rsidRPr="00683F5D">
        <w:rPr>
          <w:rFonts w:ascii="Calibri" w:hAnsi="Calibri" w:cs="Calibri"/>
          <w:sz w:val="24"/>
          <w:szCs w:val="24"/>
        </w:rPr>
        <w:t xml:space="preserve">Department of Reproductive Medicine, </w:t>
      </w:r>
      <w:r w:rsidRPr="00683F5D">
        <w:rPr>
          <w:rFonts w:ascii="Calibri" w:hAnsi="Calibri" w:cs="Calibri"/>
          <w:bCs/>
          <w:sz w:val="24"/>
          <w:szCs w:val="24"/>
        </w:rPr>
        <w:t>The First Affiliated Hospital With Nanjing Medical University, Nanjing, China</w:t>
      </w:r>
    </w:p>
    <w:p w14:paraId="2F346FF8" w14:textId="77777777" w:rsidR="00683F5D" w:rsidRDefault="00683F5D" w:rsidP="00683F5D">
      <w:pPr>
        <w:suppressLineNumbers/>
        <w:rPr>
          <w:rFonts w:ascii="Calibri" w:hAnsi="Calibri" w:cs="Calibri"/>
          <w:bCs/>
          <w:sz w:val="24"/>
          <w:szCs w:val="24"/>
        </w:rPr>
      </w:pPr>
    </w:p>
    <w:p w14:paraId="09B83C90" w14:textId="77777777" w:rsidR="00683F5D" w:rsidRDefault="00683F5D" w:rsidP="00683F5D">
      <w:p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†These authors have contributed equally to this work and shared first authorship.</w:t>
      </w:r>
    </w:p>
    <w:p w14:paraId="7BF80E04" w14:textId="77777777" w:rsidR="00683F5D" w:rsidRDefault="00683F5D" w:rsidP="00683F5D">
      <w:pPr>
        <w:spacing w:line="480" w:lineRule="auto"/>
        <w:rPr>
          <w:rFonts w:ascii="Calibri" w:hAnsi="Calibri" w:cs="Calibri"/>
          <w:sz w:val="24"/>
          <w:szCs w:val="24"/>
        </w:rPr>
      </w:pPr>
    </w:p>
    <w:p w14:paraId="763EA803" w14:textId="77777777" w:rsidR="00683F5D" w:rsidRDefault="00683F5D" w:rsidP="00683F5D">
      <w:pPr>
        <w:suppressLineNumbers/>
        <w:spacing w:line="480" w:lineRule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*Corresponding author: </w:t>
      </w:r>
    </w:p>
    <w:p w14:paraId="5CC05EF8" w14:textId="77777777" w:rsidR="00683F5D" w:rsidRDefault="00683F5D" w:rsidP="00683F5D">
      <w:pPr>
        <w:suppressLineNumbers/>
        <w:spacing w:line="480" w:lineRule="auto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Dr. </w:t>
      </w:r>
      <w:proofErr w:type="spellStart"/>
      <w:r>
        <w:rPr>
          <w:rFonts w:ascii="Calibri" w:hAnsi="Calibri" w:cs="Calibri"/>
          <w:sz w:val="24"/>
          <w:szCs w:val="24"/>
        </w:rPr>
        <w:t>Zhixiao</w:t>
      </w:r>
      <w:proofErr w:type="spellEnd"/>
      <w:r>
        <w:rPr>
          <w:rFonts w:ascii="Calibri" w:hAnsi="Calibri" w:cs="Calibri"/>
          <w:sz w:val="24"/>
          <w:szCs w:val="24"/>
        </w:rPr>
        <w:t xml:space="preserve"> Wang, </w:t>
      </w:r>
      <w:r w:rsidRPr="00EE109A">
        <w:rPr>
          <w:rFonts w:ascii="Calibri" w:hAnsi="Calibri" w:cs="Calibri"/>
          <w:bCs/>
          <w:sz w:val="24"/>
          <w:szCs w:val="24"/>
        </w:rPr>
        <w:t>Email:</w:t>
      </w:r>
      <w:r>
        <w:rPr>
          <w:rFonts w:ascii="Calibri" w:hAnsi="Calibri" w:cs="Calibri"/>
          <w:bCs/>
          <w:sz w:val="24"/>
          <w:szCs w:val="24"/>
        </w:rPr>
        <w:t xml:space="preserve"> </w:t>
      </w:r>
      <w:hyperlink r:id="rId4" w:history="1">
        <w:r w:rsidRPr="00913200">
          <w:rPr>
            <w:rStyle w:val="ae"/>
            <w:rFonts w:ascii="Calibri" w:hAnsi="Calibri" w:cs="Calibri"/>
            <w:bCs/>
            <w:sz w:val="24"/>
            <w:szCs w:val="24"/>
          </w:rPr>
          <w:t>amao_wzhixiao@sina.com</w:t>
        </w:r>
      </w:hyperlink>
      <w:r>
        <w:rPr>
          <w:rFonts w:ascii="Calibri" w:hAnsi="Calibri" w:cs="Calibri"/>
          <w:bCs/>
          <w:sz w:val="24"/>
          <w:szCs w:val="24"/>
        </w:rPr>
        <w:t>; Department of Endocrinology, The First Affiliated Hospital With Nanjing Medical University, Guangzhou Road 300, 210029 Nanjing, China</w:t>
      </w:r>
    </w:p>
    <w:p w14:paraId="5B082EE0" w14:textId="77777777" w:rsidR="00683F5D" w:rsidRDefault="00683F5D" w:rsidP="00683F5D">
      <w:pPr>
        <w:suppressLineNumbers/>
        <w:spacing w:line="480" w:lineRule="auto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Prof. Min Sun, </w:t>
      </w:r>
      <w:r>
        <w:rPr>
          <w:rFonts w:ascii="Calibri" w:hAnsi="Calibri" w:cs="Calibri"/>
          <w:bCs/>
          <w:sz w:val="24"/>
          <w:szCs w:val="24"/>
        </w:rPr>
        <w:t>Email:</w:t>
      </w:r>
      <w:r>
        <w:rPr>
          <w:rFonts w:ascii="Calibri" w:hAnsi="Calibri" w:cs="Calibri"/>
          <w:sz w:val="24"/>
          <w:szCs w:val="24"/>
        </w:rPr>
        <w:t xml:space="preserve"> </w:t>
      </w:r>
      <w:hyperlink r:id="rId5" w:history="1">
        <w:r>
          <w:rPr>
            <w:rStyle w:val="ae"/>
            <w:rFonts w:ascii="Calibri" w:hAnsi="Calibri" w:cs="Calibri"/>
            <w:sz w:val="24"/>
            <w:szCs w:val="24"/>
          </w:rPr>
          <w:t>drsunm@njmu.edu.cn</w:t>
        </w:r>
      </w:hyperlink>
      <w:r>
        <w:rPr>
          <w:rFonts w:ascii="Calibri" w:hAnsi="Calibri" w:cs="Calibri"/>
          <w:sz w:val="24"/>
          <w:szCs w:val="24"/>
        </w:rPr>
        <w:t>;</w:t>
      </w:r>
      <w:r>
        <w:rPr>
          <w:rFonts w:ascii="Calibri" w:hAnsi="Calibri" w:cs="Calibri"/>
          <w:bCs/>
          <w:sz w:val="24"/>
          <w:szCs w:val="24"/>
        </w:rPr>
        <w:t xml:space="preserve"> Department of Endocrinology, The First Affiliated Hospital With Nanjing Medical University, Guangzhou Road 300, 210029 Nanjing, China</w:t>
      </w:r>
    </w:p>
    <w:p w14:paraId="63FB3EF5" w14:textId="77777777" w:rsidR="00683F5D" w:rsidRDefault="00683F5D" w:rsidP="00683F5D">
      <w:pPr>
        <w:spacing w:line="480" w:lineRule="auto"/>
        <w:rPr>
          <w:rFonts w:ascii="Calibri" w:hAnsi="Calibri" w:cs="Calibri"/>
          <w:sz w:val="24"/>
          <w:szCs w:val="24"/>
        </w:rPr>
      </w:pPr>
    </w:p>
    <w:p w14:paraId="38AB3950" w14:textId="77777777" w:rsidR="00683F5D" w:rsidRDefault="00683F5D" w:rsidP="00683F5D">
      <w:pPr>
        <w:suppressLineNumbers/>
        <w:spacing w:line="480" w:lineRule="auto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b/>
          <w:bCs/>
          <w:i/>
          <w:iCs/>
          <w:sz w:val="24"/>
          <w:szCs w:val="24"/>
        </w:rPr>
        <w:t>Total words:</w:t>
      </w:r>
      <w:r>
        <w:rPr>
          <w:rFonts w:ascii="Calibri" w:hAnsi="Calibri" w:cs="Calibri"/>
          <w:i/>
          <w:iCs/>
          <w:sz w:val="24"/>
          <w:szCs w:val="24"/>
        </w:rPr>
        <w:t xml:space="preserve"> 2700 + 3 table</w:t>
      </w:r>
      <w:r>
        <w:rPr>
          <w:rFonts w:ascii="Calibri" w:hAnsi="Calibri" w:cs="Calibri" w:hint="eastAsia"/>
          <w:i/>
          <w:iCs/>
          <w:sz w:val="24"/>
          <w:szCs w:val="24"/>
        </w:rPr>
        <w:t>s</w:t>
      </w:r>
      <w:r>
        <w:rPr>
          <w:rFonts w:ascii="Calibri" w:hAnsi="Calibri" w:cs="Calibri"/>
          <w:i/>
          <w:iCs/>
          <w:sz w:val="24"/>
          <w:szCs w:val="24"/>
        </w:rPr>
        <w:t xml:space="preserve"> + 2 figures</w:t>
      </w:r>
    </w:p>
    <w:p w14:paraId="1BC272A7" w14:textId="77777777" w:rsidR="00683F5D" w:rsidRDefault="00683F5D" w:rsidP="00683F5D">
      <w:pPr>
        <w:suppressLineNumbers/>
        <w:spacing w:line="480" w:lineRule="auto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b/>
          <w:bCs/>
          <w:i/>
          <w:iCs/>
          <w:sz w:val="24"/>
          <w:szCs w:val="24"/>
        </w:rPr>
        <w:t xml:space="preserve">Running title: </w:t>
      </w:r>
      <w:r>
        <w:rPr>
          <w:rFonts w:ascii="Calibri" w:hAnsi="Calibri" w:cs="Calibri"/>
          <w:i/>
          <w:iCs/>
          <w:sz w:val="24"/>
          <w:szCs w:val="24"/>
        </w:rPr>
        <w:t>Pregnancy and 11β-hydroxylase deficiency</w:t>
      </w:r>
    </w:p>
    <w:p w14:paraId="00C7D164" w14:textId="2E61D325" w:rsidR="00683F5D" w:rsidRDefault="00683F5D" w:rsidP="00C05388">
      <w:pPr>
        <w:spacing w:line="480" w:lineRule="auto"/>
        <w:rPr>
          <w:rFonts w:ascii="Calibri" w:hAnsi="Calibri" w:cs="Calibri"/>
          <w:b/>
          <w:bCs/>
          <w:i/>
          <w:iCs/>
          <w:sz w:val="24"/>
        </w:rPr>
      </w:pPr>
    </w:p>
    <w:p w14:paraId="1F703304" w14:textId="0958C2BB" w:rsidR="00683F5D" w:rsidRDefault="00683F5D" w:rsidP="00C05388">
      <w:pPr>
        <w:spacing w:line="480" w:lineRule="auto"/>
        <w:rPr>
          <w:rFonts w:ascii="Calibri" w:hAnsi="Calibri" w:cs="Calibri"/>
          <w:b/>
          <w:bCs/>
          <w:i/>
          <w:iCs/>
          <w:sz w:val="24"/>
        </w:rPr>
      </w:pPr>
      <w:r>
        <w:rPr>
          <w:rFonts w:ascii="Calibri" w:hAnsi="Calibri" w:cs="Calibri"/>
          <w:b/>
          <w:bCs/>
          <w:i/>
          <w:iCs/>
          <w:sz w:val="24"/>
        </w:rPr>
        <w:lastRenderedPageBreak/>
        <w:t>Materials and methods</w:t>
      </w:r>
    </w:p>
    <w:p w14:paraId="03E6086B" w14:textId="4C08984E" w:rsidR="00C05388" w:rsidRPr="003B1FCE" w:rsidRDefault="00C05388" w:rsidP="00C05388">
      <w:pPr>
        <w:spacing w:line="480" w:lineRule="auto"/>
        <w:rPr>
          <w:rFonts w:ascii="Calibri" w:hAnsi="Calibri" w:cs="Calibri"/>
          <w:b/>
          <w:bCs/>
          <w:i/>
          <w:iCs/>
          <w:sz w:val="24"/>
        </w:rPr>
      </w:pPr>
      <w:r w:rsidRPr="003B1FCE">
        <w:rPr>
          <w:rFonts w:ascii="Calibri" w:hAnsi="Calibri" w:cs="Calibri"/>
          <w:b/>
          <w:bCs/>
          <w:i/>
          <w:iCs/>
          <w:sz w:val="24"/>
        </w:rPr>
        <w:t xml:space="preserve">Cell </w:t>
      </w:r>
      <w:r>
        <w:rPr>
          <w:rFonts w:ascii="Calibri" w:hAnsi="Calibri" w:cs="Calibri"/>
          <w:b/>
          <w:bCs/>
          <w:i/>
          <w:iCs/>
          <w:sz w:val="24"/>
        </w:rPr>
        <w:t>line and culture conditions</w:t>
      </w:r>
    </w:p>
    <w:p w14:paraId="2ADDAAF1" w14:textId="77777777" w:rsidR="00C05388" w:rsidRPr="009B7B8A" w:rsidRDefault="00C05388" w:rsidP="00C05388">
      <w:pPr>
        <w:spacing w:line="480" w:lineRule="auto"/>
        <w:rPr>
          <w:rFonts w:ascii="Calibri" w:hAnsi="Calibri" w:cs="Calibri"/>
          <w:sz w:val="24"/>
        </w:rPr>
      </w:pPr>
      <w:r w:rsidRPr="003B1FCE">
        <w:rPr>
          <w:rFonts w:ascii="Calibri" w:hAnsi="Calibri" w:cs="Calibri"/>
          <w:sz w:val="24"/>
        </w:rPr>
        <w:t>Human adrenocortical cells (HAC15</w:t>
      </w:r>
      <w:r>
        <w:rPr>
          <w:rFonts w:ascii="Calibri" w:hAnsi="Calibri" w:cs="Calibri"/>
          <w:sz w:val="24"/>
        </w:rPr>
        <w:t xml:space="preserve">, </w:t>
      </w:r>
      <w:r w:rsidRPr="003B1FCE">
        <w:rPr>
          <w:rFonts w:ascii="Calibri" w:hAnsi="Calibri" w:cs="Calibri"/>
          <w:sz w:val="24"/>
        </w:rPr>
        <w:t>ATCC</w:t>
      </w:r>
      <w:r>
        <w:rPr>
          <w:rFonts w:ascii="Calibri" w:hAnsi="Calibri" w:cs="Calibri" w:hint="eastAsia"/>
          <w:sz w:val="24"/>
        </w:rPr>
        <w:t xml:space="preserve"> </w:t>
      </w:r>
      <w:r w:rsidRPr="009B7B8A">
        <w:rPr>
          <w:rFonts w:ascii="Calibri" w:hAnsi="Calibri" w:cs="Calibri"/>
          <w:sz w:val="24"/>
          <w:szCs w:val="24"/>
        </w:rPr>
        <w:t>CRL</w:t>
      </w:r>
      <w:r w:rsidRPr="009B7B8A">
        <w:rPr>
          <w:rFonts w:ascii="Calibri" w:hAnsi="Calibri" w:cs="Calibri" w:hint="eastAsia"/>
          <w:sz w:val="24"/>
          <w:szCs w:val="24"/>
        </w:rPr>
        <w:t>-3301</w:t>
      </w:r>
      <w:r w:rsidRPr="009B7B8A">
        <w:rPr>
          <w:rFonts w:ascii="Calibri" w:hAnsi="Calibri" w:cs="Calibri"/>
          <w:sz w:val="24"/>
          <w:szCs w:val="24"/>
        </w:rPr>
        <w:t xml:space="preserve">, </w:t>
      </w:r>
      <w:hyperlink r:id="rId6" w:history="1">
        <w:r w:rsidRPr="009B7B8A">
          <w:rPr>
            <w:rStyle w:val="ae"/>
            <w:rFonts w:ascii="Calibri" w:hAnsi="Calibri" w:cs="Calibri"/>
            <w:sz w:val="24"/>
            <w:szCs w:val="24"/>
          </w:rPr>
          <w:t>RRID:CVCL_S898</w:t>
        </w:r>
      </w:hyperlink>
      <w:r w:rsidRPr="009B7B8A">
        <w:rPr>
          <w:rFonts w:ascii="Calibri" w:hAnsi="Calibri" w:cs="Calibri"/>
          <w:sz w:val="24"/>
          <w:szCs w:val="24"/>
        </w:rPr>
        <w:t>) were</w:t>
      </w:r>
      <w:r w:rsidRPr="003B1FCE">
        <w:rPr>
          <w:rFonts w:ascii="Calibri" w:hAnsi="Calibri" w:cs="Calibri"/>
          <w:sz w:val="24"/>
        </w:rPr>
        <w:t xml:space="preserve"> cultured at 37°C and 5% CO2 in DMEM (Dulbecco's Modified Eagle's Medium)</w:t>
      </w:r>
      <w:r>
        <w:rPr>
          <w:rFonts w:ascii="Calibri" w:hAnsi="Calibri" w:cs="Calibri"/>
          <w:sz w:val="24"/>
        </w:rPr>
        <w:t>-</w:t>
      </w:r>
      <w:r w:rsidRPr="003B1FCE">
        <w:rPr>
          <w:rFonts w:ascii="Calibri" w:hAnsi="Calibri" w:cs="Calibri"/>
          <w:sz w:val="24"/>
        </w:rPr>
        <w:t>F12 (1:1, Procell) supplemented with 10% calf serum (</w:t>
      </w:r>
      <w:proofErr w:type="spellStart"/>
      <w:r w:rsidRPr="003B1FCE">
        <w:rPr>
          <w:rFonts w:ascii="Calibri" w:hAnsi="Calibri" w:cs="Calibri"/>
          <w:sz w:val="24"/>
        </w:rPr>
        <w:t>Sbjbio</w:t>
      </w:r>
      <w:proofErr w:type="spellEnd"/>
      <w:r w:rsidRPr="003B1FCE">
        <w:rPr>
          <w:rFonts w:ascii="Calibri" w:hAnsi="Calibri" w:cs="Calibri"/>
          <w:sz w:val="24"/>
        </w:rPr>
        <w:t xml:space="preserve"> Life Science), 1x insulin-transferrin-selenium-sodium (Procell), 1% antibiotic-antimycotic (Gibco), and 0.01% gentamycin (Procell). DMEM</w:t>
      </w:r>
      <w:r>
        <w:rPr>
          <w:rFonts w:ascii="Calibri" w:hAnsi="Calibri" w:cs="Calibri"/>
          <w:sz w:val="24"/>
        </w:rPr>
        <w:t xml:space="preserve">-F12 Ham supplemented with 0.1% </w:t>
      </w:r>
      <w:r w:rsidRPr="003B1FCE">
        <w:rPr>
          <w:rFonts w:ascii="Calibri" w:hAnsi="Calibri" w:cs="Calibri"/>
          <w:sz w:val="24"/>
        </w:rPr>
        <w:t>calf serum</w:t>
      </w:r>
      <w:r>
        <w:rPr>
          <w:rFonts w:ascii="Calibri" w:hAnsi="Calibri" w:cs="Calibri"/>
          <w:sz w:val="24"/>
        </w:rPr>
        <w:t xml:space="preserve"> (referred to as starvation medium) was used under experimental conditions.</w:t>
      </w:r>
    </w:p>
    <w:p w14:paraId="14F3B0A0" w14:textId="77777777" w:rsidR="00C05388" w:rsidRDefault="00C05388" w:rsidP="00C05388">
      <w:pPr>
        <w:spacing w:line="480" w:lineRule="auto"/>
        <w:rPr>
          <w:rFonts w:ascii="Calibri" w:hAnsi="Calibri" w:cs="Calibri"/>
          <w:b/>
          <w:bCs/>
          <w:sz w:val="24"/>
          <w:szCs w:val="24"/>
        </w:rPr>
      </w:pPr>
    </w:p>
    <w:p w14:paraId="63CBB221" w14:textId="77777777" w:rsidR="00C05388" w:rsidRPr="00AF3B18" w:rsidRDefault="00C05388" w:rsidP="00C05388">
      <w:pPr>
        <w:spacing w:line="480" w:lineRule="auto"/>
        <w:rPr>
          <w:rFonts w:ascii="Calibri" w:hAnsi="Calibri" w:cs="Calibri"/>
          <w:b/>
          <w:bCs/>
          <w:i/>
          <w:iCs/>
          <w:sz w:val="24"/>
          <w:szCs w:val="24"/>
        </w:rPr>
      </w:pPr>
      <w:r w:rsidRPr="00AF3B18">
        <w:rPr>
          <w:rFonts w:ascii="Calibri" w:hAnsi="Calibri" w:cs="Calibri"/>
          <w:b/>
          <w:bCs/>
          <w:i/>
          <w:iCs/>
          <w:sz w:val="24"/>
          <w:szCs w:val="24"/>
        </w:rPr>
        <w:t>Plasmid transfection</w:t>
      </w:r>
      <w:r>
        <w:rPr>
          <w:rFonts w:ascii="Calibri" w:hAnsi="Calibri" w:cs="Calibri"/>
          <w:b/>
          <w:bCs/>
          <w:i/>
          <w:iCs/>
          <w:sz w:val="24"/>
          <w:szCs w:val="24"/>
        </w:rPr>
        <w:t xml:space="preserve"> and enzymatic activity assays</w:t>
      </w:r>
    </w:p>
    <w:p w14:paraId="187D8B2F" w14:textId="3B5325ED" w:rsidR="00C05388" w:rsidRDefault="00C05388" w:rsidP="00C05388">
      <w:pPr>
        <w:spacing w:line="48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The cDNA encoding h</w:t>
      </w:r>
      <w:r w:rsidRPr="00DD0005">
        <w:rPr>
          <w:rFonts w:ascii="Calibri" w:hAnsi="Calibri" w:cs="Calibri"/>
          <w:sz w:val="24"/>
          <w:szCs w:val="24"/>
        </w:rPr>
        <w:t>uman wild type CYP11B1</w:t>
      </w:r>
      <w:r>
        <w:rPr>
          <w:rFonts w:ascii="Calibri" w:hAnsi="Calibri" w:cs="Calibri"/>
          <w:sz w:val="24"/>
          <w:szCs w:val="24"/>
        </w:rPr>
        <w:t xml:space="preserve"> or </w:t>
      </w:r>
      <w:r w:rsidRPr="00DD0005">
        <w:rPr>
          <w:rFonts w:ascii="Calibri" w:hAnsi="Calibri" w:cs="Calibri"/>
          <w:sz w:val="24"/>
          <w:szCs w:val="24"/>
        </w:rPr>
        <w:t>CYP11B1 mutant</w:t>
      </w:r>
      <w:r>
        <w:rPr>
          <w:rFonts w:ascii="Calibri" w:hAnsi="Calibri" w:cs="Calibri"/>
          <w:sz w:val="24"/>
          <w:szCs w:val="24"/>
        </w:rPr>
        <w:t>s</w:t>
      </w:r>
      <w:r w:rsidRPr="00DD0005">
        <w:rPr>
          <w:rFonts w:ascii="Calibri" w:hAnsi="Calibri" w:cs="Calibri"/>
          <w:sz w:val="24"/>
          <w:szCs w:val="24"/>
        </w:rPr>
        <w:t xml:space="preserve"> (Val316Met, Cys262_Phe264del </w:t>
      </w:r>
      <w:r>
        <w:rPr>
          <w:rFonts w:ascii="Calibri" w:hAnsi="Calibri" w:cs="Calibri"/>
          <w:sz w:val="24"/>
          <w:szCs w:val="24"/>
        </w:rPr>
        <w:t xml:space="preserve">and </w:t>
      </w:r>
      <w:r w:rsidRPr="00DD0005">
        <w:rPr>
          <w:rFonts w:ascii="Calibri" w:hAnsi="Calibri" w:cs="Calibri"/>
          <w:sz w:val="24"/>
          <w:szCs w:val="24"/>
        </w:rPr>
        <w:t>Val316Met</w:t>
      </w:r>
      <w:r>
        <w:rPr>
          <w:rFonts w:ascii="Calibri" w:hAnsi="Calibri" w:cs="Calibri"/>
          <w:sz w:val="24"/>
          <w:szCs w:val="24"/>
        </w:rPr>
        <w:t xml:space="preserve">; </w:t>
      </w:r>
      <w:r w:rsidRPr="00DD0005">
        <w:rPr>
          <w:rFonts w:ascii="Calibri" w:hAnsi="Calibri" w:cs="Calibri"/>
          <w:sz w:val="24"/>
          <w:szCs w:val="24"/>
        </w:rPr>
        <w:t xml:space="preserve">Cys262_Phe264del) </w:t>
      </w:r>
      <w:r>
        <w:rPr>
          <w:rFonts w:ascii="Calibri" w:hAnsi="Calibri" w:cs="Calibri"/>
          <w:sz w:val="24"/>
          <w:szCs w:val="24"/>
        </w:rPr>
        <w:t xml:space="preserve">was prepared by </w:t>
      </w:r>
      <w:proofErr w:type="spellStart"/>
      <w:r>
        <w:rPr>
          <w:rFonts w:ascii="Calibri" w:hAnsi="Calibri" w:cs="Calibri"/>
          <w:sz w:val="24"/>
          <w:szCs w:val="24"/>
        </w:rPr>
        <w:t>CloneEZ</w:t>
      </w:r>
      <w:proofErr w:type="spellEnd"/>
      <w:r>
        <w:rPr>
          <w:rFonts w:ascii="Calibri" w:hAnsi="Calibri" w:cs="Calibri"/>
          <w:sz w:val="24"/>
          <w:szCs w:val="24"/>
        </w:rPr>
        <w:t xml:space="preserve"> Seamless cloning in the pcDNA3.1+-3*Flag plasmid (Public Protein/Plasmid Library).</w:t>
      </w:r>
      <w:r>
        <w:rPr>
          <w:rFonts w:ascii="Calibri" w:hAnsi="Calibri" w:cs="Calibri" w:hint="eastAsia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Cell transfection was performed as previously described </w:t>
      </w:r>
      <w:r w:rsidR="00C35149">
        <w:rPr>
          <w:rFonts w:ascii="Calibri" w:hAnsi="Calibri" w:cs="Calibri"/>
          <w:sz w:val="24"/>
          <w:szCs w:val="24"/>
        </w:rPr>
        <w:t>[1]</w:t>
      </w:r>
      <w:r>
        <w:rPr>
          <w:rFonts w:ascii="Calibri" w:hAnsi="Calibri" w:cs="Calibri"/>
          <w:sz w:val="24"/>
          <w:szCs w:val="24"/>
        </w:rPr>
        <w:t>. In brief, HAC15 cells (3x10</w:t>
      </w:r>
      <w:r w:rsidRPr="00E8099C">
        <w:rPr>
          <w:rFonts w:ascii="Calibri" w:hAnsi="Calibri" w:cs="Calibri"/>
          <w:sz w:val="24"/>
          <w:szCs w:val="24"/>
          <w:vertAlign w:val="superscript"/>
        </w:rPr>
        <w:t>6</w:t>
      </w:r>
      <w:r>
        <w:rPr>
          <w:rFonts w:ascii="Calibri" w:hAnsi="Calibri" w:cs="Calibri"/>
          <w:sz w:val="24"/>
          <w:szCs w:val="24"/>
        </w:rPr>
        <w:t xml:space="preserve">) were resuspended in 100 µL nucleofector solution R (Lonza) containing </w:t>
      </w:r>
      <w:r w:rsidRPr="00DD0005">
        <w:rPr>
          <w:rFonts w:ascii="Calibri" w:hAnsi="Calibri" w:cs="Calibri"/>
          <w:sz w:val="24"/>
          <w:szCs w:val="24"/>
        </w:rPr>
        <w:t xml:space="preserve">3 </w:t>
      </w:r>
      <w:r>
        <w:rPr>
          <w:rFonts w:ascii="Calibri" w:hAnsi="Calibri" w:cs="Calibri"/>
          <w:sz w:val="24"/>
          <w:szCs w:val="24"/>
        </w:rPr>
        <w:t>µ</w:t>
      </w:r>
      <w:r w:rsidRPr="00DD0005">
        <w:rPr>
          <w:rFonts w:ascii="Calibri" w:hAnsi="Calibri" w:cs="Calibri"/>
          <w:sz w:val="24"/>
          <w:szCs w:val="24"/>
        </w:rPr>
        <w:t>g</w:t>
      </w:r>
      <w:r>
        <w:rPr>
          <w:rFonts w:ascii="Calibri" w:hAnsi="Calibri" w:cs="Calibri"/>
          <w:sz w:val="24"/>
          <w:szCs w:val="24"/>
        </w:rPr>
        <w:t xml:space="preserve"> </w:t>
      </w:r>
      <w:r w:rsidRPr="00DD0005">
        <w:rPr>
          <w:rFonts w:ascii="Calibri" w:hAnsi="Calibri" w:cs="Calibri"/>
          <w:sz w:val="24"/>
          <w:szCs w:val="24"/>
        </w:rPr>
        <w:t>pcDNA3.1</w:t>
      </w:r>
      <w:r>
        <w:rPr>
          <w:rFonts w:ascii="Calibri" w:hAnsi="Calibri" w:cs="Calibri"/>
          <w:sz w:val="24"/>
          <w:szCs w:val="24"/>
        </w:rPr>
        <w:t xml:space="preserve">-empty vector, </w:t>
      </w:r>
      <w:r w:rsidRPr="00DD0005">
        <w:rPr>
          <w:rFonts w:ascii="Calibri" w:hAnsi="Calibri" w:cs="Calibri"/>
          <w:sz w:val="24"/>
          <w:szCs w:val="24"/>
        </w:rPr>
        <w:t>pcDNA3.1-</w:t>
      </w:r>
      <w:r>
        <w:rPr>
          <w:rFonts w:ascii="Calibri" w:hAnsi="Calibri" w:cs="Calibri"/>
          <w:sz w:val="24"/>
          <w:szCs w:val="24"/>
        </w:rPr>
        <w:t xml:space="preserve">wild-type </w:t>
      </w:r>
      <w:r w:rsidRPr="00DD0005">
        <w:rPr>
          <w:rFonts w:ascii="Calibri" w:hAnsi="Calibri" w:cs="Calibri"/>
          <w:sz w:val="24"/>
          <w:szCs w:val="24"/>
        </w:rPr>
        <w:t>CYP11B1</w:t>
      </w:r>
      <w:r>
        <w:rPr>
          <w:rFonts w:ascii="Calibri" w:hAnsi="Calibri" w:cs="Calibri"/>
          <w:sz w:val="24"/>
          <w:szCs w:val="24"/>
        </w:rPr>
        <w:t>,</w:t>
      </w:r>
      <w:r w:rsidRPr="00DD0005">
        <w:rPr>
          <w:rFonts w:ascii="Calibri" w:hAnsi="Calibri" w:cs="Calibri"/>
          <w:sz w:val="24"/>
          <w:szCs w:val="24"/>
        </w:rPr>
        <w:t xml:space="preserve"> pcDNA3.1-CYP11B1-Val316Met</w:t>
      </w:r>
      <w:r>
        <w:rPr>
          <w:rFonts w:ascii="Calibri" w:hAnsi="Calibri" w:cs="Calibri"/>
          <w:sz w:val="24"/>
          <w:szCs w:val="24"/>
        </w:rPr>
        <w:t>,</w:t>
      </w:r>
      <w:r w:rsidRPr="00DD0005">
        <w:rPr>
          <w:rFonts w:ascii="Calibri" w:hAnsi="Calibri" w:cs="Calibri"/>
          <w:sz w:val="24"/>
          <w:szCs w:val="24"/>
        </w:rPr>
        <w:t xml:space="preserve"> pcDNA3.1-CYP11B1-Cys262_Phe264del</w:t>
      </w:r>
      <w:r>
        <w:rPr>
          <w:rFonts w:ascii="Calibri" w:hAnsi="Calibri" w:cs="Calibri"/>
          <w:sz w:val="24"/>
          <w:szCs w:val="24"/>
        </w:rPr>
        <w:t xml:space="preserve"> </w:t>
      </w:r>
      <w:r w:rsidRPr="00DD0005">
        <w:rPr>
          <w:rFonts w:ascii="Calibri" w:hAnsi="Calibri" w:cs="Calibri"/>
          <w:sz w:val="24"/>
          <w:szCs w:val="24"/>
        </w:rPr>
        <w:t>or pcDNA3.1-CYP11B1- Val316Met</w:t>
      </w:r>
      <w:r>
        <w:rPr>
          <w:rFonts w:ascii="Calibri" w:hAnsi="Calibri" w:cs="Calibri"/>
          <w:sz w:val="24"/>
          <w:szCs w:val="24"/>
        </w:rPr>
        <w:t xml:space="preserve">; </w:t>
      </w:r>
      <w:r w:rsidRPr="00DD0005">
        <w:rPr>
          <w:rFonts w:ascii="Calibri" w:hAnsi="Calibri" w:cs="Calibri"/>
          <w:sz w:val="24"/>
          <w:szCs w:val="24"/>
        </w:rPr>
        <w:t>Cys262_Phe264del</w:t>
      </w:r>
      <w:r>
        <w:rPr>
          <w:rFonts w:ascii="Calibri" w:hAnsi="Calibri" w:cs="Calibri"/>
          <w:sz w:val="24"/>
          <w:szCs w:val="24"/>
        </w:rPr>
        <w:t>. The plasmids</w:t>
      </w:r>
      <w:r w:rsidRPr="00DD0005">
        <w:rPr>
          <w:rFonts w:ascii="Calibri" w:hAnsi="Calibri" w:cs="Calibri"/>
          <w:sz w:val="24"/>
          <w:szCs w:val="24"/>
        </w:rPr>
        <w:t xml:space="preserve"> were </w:t>
      </w:r>
      <w:proofErr w:type="spellStart"/>
      <w:r>
        <w:rPr>
          <w:rFonts w:ascii="Calibri" w:hAnsi="Calibri" w:cs="Calibri"/>
          <w:sz w:val="24"/>
          <w:szCs w:val="24"/>
        </w:rPr>
        <w:t>nucleofected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r w:rsidRPr="003B1FCE">
        <w:rPr>
          <w:rFonts w:ascii="Calibri" w:hAnsi="Calibri" w:cs="Calibri"/>
          <w:sz w:val="24"/>
        </w:rPr>
        <w:t>according to the manufacturer’s instructions</w:t>
      </w:r>
      <w:r>
        <w:rPr>
          <w:rFonts w:ascii="Calibri" w:hAnsi="Calibri" w:cs="Calibri"/>
          <w:sz w:val="24"/>
        </w:rPr>
        <w:t xml:space="preserve"> (</w:t>
      </w:r>
      <w:r w:rsidRPr="00DD0005">
        <w:rPr>
          <w:rFonts w:ascii="Calibri" w:hAnsi="Calibri" w:cs="Calibri"/>
          <w:sz w:val="24"/>
          <w:szCs w:val="24"/>
        </w:rPr>
        <w:t>LONZA</w:t>
      </w:r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Amaxa</w:t>
      </w:r>
      <w:proofErr w:type="spellEnd"/>
      <w:r>
        <w:rPr>
          <w:rFonts w:ascii="Calibri" w:hAnsi="Calibri" w:cs="Calibri"/>
          <w:sz w:val="24"/>
          <w:szCs w:val="24"/>
        </w:rPr>
        <w:t xml:space="preserve"> Nucleofector, program X-005). Cells were cultured with starvation medium at 72 hours after transfection for another 24 hours. </w:t>
      </w:r>
      <w:r>
        <w:rPr>
          <w:rFonts w:ascii="Calibri" w:hAnsi="Calibri" w:cs="Calibri"/>
          <w:sz w:val="24"/>
          <w:szCs w:val="24"/>
        </w:rPr>
        <w:lastRenderedPageBreak/>
        <w:t>Cells and supernatant were then harvested for transcriptional analysis and steroid measurement, respectively. Steroid DOC and</w:t>
      </w:r>
      <w:r w:rsidRPr="00B908B4">
        <w:rPr>
          <w:rFonts w:ascii="Calibri" w:hAnsi="Calibri" w:cs="Calibri"/>
          <w:sz w:val="24"/>
          <w:szCs w:val="24"/>
        </w:rPr>
        <w:t xml:space="preserve"> corticosterone</w:t>
      </w:r>
      <w:r>
        <w:rPr>
          <w:rFonts w:ascii="Calibri" w:hAnsi="Calibri" w:cs="Calibri"/>
          <w:sz w:val="24"/>
          <w:szCs w:val="24"/>
        </w:rPr>
        <w:t xml:space="preserve"> were measured by l</w:t>
      </w:r>
      <w:r w:rsidRPr="00EB319A">
        <w:rPr>
          <w:rFonts w:ascii="Calibri" w:hAnsi="Calibri" w:cs="Calibri"/>
          <w:sz w:val="24"/>
          <w:szCs w:val="24"/>
        </w:rPr>
        <w:t>iquid chromatography with tandem mass spectrometry</w:t>
      </w:r>
      <w:r>
        <w:rPr>
          <w:rFonts w:ascii="Calibri" w:hAnsi="Calibri" w:cs="Calibri"/>
          <w:sz w:val="24"/>
          <w:szCs w:val="24"/>
        </w:rPr>
        <w:t>. The 11</w:t>
      </w:r>
      <w:r w:rsidRPr="00B908B4">
        <w:rPr>
          <w:rFonts w:ascii="Calibri" w:hAnsi="Calibri" w:cs="Calibri"/>
          <w:sz w:val="24"/>
          <w:szCs w:val="24"/>
        </w:rPr>
        <w:t>β</w:t>
      </w:r>
      <w:r>
        <w:rPr>
          <w:rFonts w:ascii="Calibri" w:hAnsi="Calibri" w:cs="Calibri"/>
          <w:sz w:val="24"/>
          <w:szCs w:val="24"/>
        </w:rPr>
        <w:t xml:space="preserve">-hydroxylase activity of the mutants was expressed as a percentage of substrate conversion in nanogram per </w:t>
      </w:r>
      <w:r w:rsidRPr="00AC5F02">
        <w:rPr>
          <w:rFonts w:ascii="Calibri" w:hAnsi="Calibri" w:cs="Calibri"/>
          <w:sz w:val="24"/>
          <w:szCs w:val="24"/>
        </w:rPr>
        <w:t>deciliter</w:t>
      </w:r>
      <w:r>
        <w:rPr>
          <w:rFonts w:ascii="Calibri" w:hAnsi="Calibri" w:cs="Calibri"/>
          <w:sz w:val="24"/>
          <w:szCs w:val="24"/>
        </w:rPr>
        <w:t xml:space="preserve"> of fold change of gene expression, defining CYP11B1 wild-type activity as 100%.</w:t>
      </w:r>
    </w:p>
    <w:p w14:paraId="235152D5" w14:textId="77777777" w:rsidR="00C05388" w:rsidRDefault="00C05388" w:rsidP="00C05388">
      <w:pPr>
        <w:spacing w:line="480" w:lineRule="auto"/>
        <w:rPr>
          <w:rFonts w:ascii="Calibri" w:hAnsi="Calibri" w:cs="Calibri"/>
          <w:sz w:val="24"/>
          <w:szCs w:val="24"/>
        </w:rPr>
      </w:pPr>
    </w:p>
    <w:p w14:paraId="01E3772C" w14:textId="77777777" w:rsidR="00C05388" w:rsidRPr="003B1FCE" w:rsidRDefault="00C05388" w:rsidP="00C05388">
      <w:pPr>
        <w:spacing w:line="480" w:lineRule="auto"/>
        <w:rPr>
          <w:rFonts w:ascii="Calibri" w:hAnsi="Calibri" w:cs="Calibri"/>
          <w:b/>
          <w:bCs/>
          <w:i/>
          <w:iCs/>
          <w:sz w:val="24"/>
        </w:rPr>
      </w:pPr>
      <w:r w:rsidRPr="003B1FCE">
        <w:rPr>
          <w:rFonts w:ascii="Calibri" w:hAnsi="Calibri" w:cs="Calibri"/>
          <w:b/>
          <w:bCs/>
          <w:i/>
          <w:iCs/>
          <w:sz w:val="24"/>
        </w:rPr>
        <w:t>Transcriptional analysis</w:t>
      </w:r>
    </w:p>
    <w:p w14:paraId="0E5F7288" w14:textId="609081AF" w:rsidR="00C05388" w:rsidRDefault="00C05388" w:rsidP="00C05388">
      <w:pPr>
        <w:spacing w:line="480" w:lineRule="auto"/>
        <w:rPr>
          <w:rFonts w:ascii="Calibri" w:hAnsi="Calibri" w:cs="Calibri"/>
          <w:sz w:val="24"/>
        </w:rPr>
      </w:pPr>
      <w:r w:rsidRPr="003B1FCE">
        <w:rPr>
          <w:rFonts w:ascii="Calibri" w:hAnsi="Calibri" w:cs="Calibri"/>
          <w:sz w:val="24"/>
        </w:rPr>
        <w:t>RNA was extracted from cells with the RNA-easy Isolation Reagent (</w:t>
      </w:r>
      <w:proofErr w:type="spellStart"/>
      <w:r w:rsidRPr="003B1FCE">
        <w:rPr>
          <w:rFonts w:ascii="Calibri" w:hAnsi="Calibri" w:cs="Calibri"/>
          <w:sz w:val="24"/>
        </w:rPr>
        <w:t>Vazyme</w:t>
      </w:r>
      <w:proofErr w:type="spellEnd"/>
      <w:r w:rsidRPr="003B1FCE">
        <w:rPr>
          <w:rFonts w:ascii="Calibri" w:hAnsi="Calibri" w:cs="Calibri"/>
          <w:sz w:val="24"/>
        </w:rPr>
        <w:t xml:space="preserve">) according to the manufacturer’s instructions. Reverse transcription was performed with the </w:t>
      </w:r>
      <w:proofErr w:type="spellStart"/>
      <w:r w:rsidRPr="003B1FCE">
        <w:rPr>
          <w:rFonts w:ascii="Calibri" w:hAnsi="Calibri" w:cs="Calibri"/>
          <w:sz w:val="24"/>
        </w:rPr>
        <w:t>HiScript</w:t>
      </w:r>
      <w:proofErr w:type="spellEnd"/>
      <w:r w:rsidRPr="003B1FCE">
        <w:rPr>
          <w:rFonts w:ascii="Calibri" w:hAnsi="Calibri" w:cs="Calibri"/>
          <w:sz w:val="24"/>
        </w:rPr>
        <w:t xml:space="preserve"> III All-in-one RT </w:t>
      </w:r>
      <w:proofErr w:type="spellStart"/>
      <w:r w:rsidRPr="003B1FCE">
        <w:rPr>
          <w:rFonts w:ascii="Calibri" w:hAnsi="Calibri" w:cs="Calibri"/>
          <w:sz w:val="24"/>
        </w:rPr>
        <w:t>SuperMix</w:t>
      </w:r>
      <w:proofErr w:type="spellEnd"/>
      <w:r w:rsidRPr="003B1FCE">
        <w:rPr>
          <w:rFonts w:ascii="Calibri" w:hAnsi="Calibri" w:cs="Calibri"/>
          <w:sz w:val="24"/>
        </w:rPr>
        <w:t xml:space="preserve"> kit (</w:t>
      </w:r>
      <w:proofErr w:type="spellStart"/>
      <w:r w:rsidRPr="003B1FCE">
        <w:rPr>
          <w:rFonts w:ascii="Calibri" w:hAnsi="Calibri" w:cs="Calibri"/>
          <w:sz w:val="24"/>
        </w:rPr>
        <w:t>Vazyme</w:t>
      </w:r>
      <w:proofErr w:type="spellEnd"/>
      <w:r w:rsidRPr="003B1FCE">
        <w:rPr>
          <w:rFonts w:ascii="Calibri" w:hAnsi="Calibri" w:cs="Calibri"/>
          <w:sz w:val="24"/>
        </w:rPr>
        <w:t>), and the cDNA was analyzed by qPCR using the Taq Pro Universal SYBR qPCR Master Mix (</w:t>
      </w:r>
      <w:proofErr w:type="spellStart"/>
      <w:r w:rsidRPr="003B1FCE">
        <w:rPr>
          <w:rFonts w:ascii="Calibri" w:hAnsi="Calibri" w:cs="Calibri"/>
          <w:sz w:val="24"/>
        </w:rPr>
        <w:t>Vazyme</w:t>
      </w:r>
      <w:proofErr w:type="spellEnd"/>
      <w:r w:rsidRPr="003B1FCE">
        <w:rPr>
          <w:rFonts w:ascii="Calibri" w:hAnsi="Calibri" w:cs="Calibri"/>
          <w:sz w:val="24"/>
        </w:rPr>
        <w:t xml:space="preserve">) and a </w:t>
      </w:r>
      <w:proofErr w:type="spellStart"/>
      <w:r w:rsidRPr="003B1FCE">
        <w:rPr>
          <w:rFonts w:ascii="Calibri" w:hAnsi="Calibri" w:cs="Calibri"/>
          <w:sz w:val="24"/>
        </w:rPr>
        <w:t>StepOnePlus</w:t>
      </w:r>
      <w:proofErr w:type="spellEnd"/>
      <w:r w:rsidRPr="003B1FCE">
        <w:rPr>
          <w:rFonts w:ascii="Calibri" w:hAnsi="Calibri" w:cs="Calibri"/>
          <w:sz w:val="24"/>
        </w:rPr>
        <w:t xml:space="preserve"> Real-Time PCR instrument (Applied Biosystems). </w:t>
      </w:r>
      <w:r>
        <w:rPr>
          <w:rFonts w:ascii="Calibri" w:hAnsi="Calibri" w:cs="Calibri"/>
          <w:sz w:val="24"/>
          <w:szCs w:val="24"/>
        </w:rPr>
        <w:t>P</w:t>
      </w:r>
      <w:r w:rsidRPr="00B908B4">
        <w:rPr>
          <w:rFonts w:ascii="Calibri" w:hAnsi="Calibri" w:cs="Calibri"/>
          <w:sz w:val="24"/>
          <w:szCs w:val="24"/>
        </w:rPr>
        <w:t>rimer</w:t>
      </w:r>
      <w:r>
        <w:rPr>
          <w:rFonts w:ascii="Calibri" w:hAnsi="Calibri" w:cs="Calibri"/>
          <w:sz w:val="24"/>
          <w:szCs w:val="24"/>
        </w:rPr>
        <w:t xml:space="preserve"> pairs</w:t>
      </w:r>
      <w:r w:rsidRPr="00B908B4">
        <w:rPr>
          <w:rFonts w:ascii="Calibri" w:hAnsi="Calibri" w:cs="Calibri"/>
          <w:sz w:val="24"/>
          <w:szCs w:val="24"/>
        </w:rPr>
        <w:t xml:space="preserve"> were </w:t>
      </w:r>
      <w:r>
        <w:rPr>
          <w:rFonts w:ascii="Calibri" w:hAnsi="Calibri" w:cs="Calibri"/>
          <w:sz w:val="24"/>
          <w:szCs w:val="24"/>
        </w:rPr>
        <w:t>used</w:t>
      </w:r>
      <w:r w:rsidRPr="00B908B4">
        <w:rPr>
          <w:rFonts w:ascii="Calibri" w:hAnsi="Calibri" w:cs="Calibri"/>
          <w:sz w:val="24"/>
          <w:szCs w:val="24"/>
        </w:rPr>
        <w:t xml:space="preserve"> to </w:t>
      </w:r>
      <w:r>
        <w:rPr>
          <w:rFonts w:ascii="Calibri" w:hAnsi="Calibri" w:cs="Calibri"/>
          <w:sz w:val="24"/>
          <w:szCs w:val="24"/>
        </w:rPr>
        <w:t>quantify the expression of</w:t>
      </w:r>
      <w:r w:rsidRPr="00B908B4">
        <w:rPr>
          <w:rFonts w:ascii="Calibri" w:hAnsi="Calibri" w:cs="Calibri"/>
          <w:sz w:val="24"/>
          <w:szCs w:val="24"/>
        </w:rPr>
        <w:t xml:space="preserve"> </w:t>
      </w:r>
      <w:r w:rsidRPr="0041450B">
        <w:rPr>
          <w:rFonts w:ascii="Calibri" w:hAnsi="Calibri" w:cs="Calibri"/>
          <w:i/>
          <w:iCs/>
          <w:sz w:val="24"/>
          <w:szCs w:val="24"/>
        </w:rPr>
        <w:t>CYP11B1</w:t>
      </w:r>
      <w:r w:rsidRPr="00B908B4">
        <w:rPr>
          <w:rFonts w:ascii="Calibri" w:hAnsi="Calibri" w:cs="Calibri"/>
          <w:sz w:val="24"/>
          <w:szCs w:val="24"/>
        </w:rPr>
        <w:t>:</w:t>
      </w:r>
      <w:r>
        <w:rPr>
          <w:rFonts w:ascii="Calibri" w:hAnsi="Calibri" w:cs="Calibri"/>
          <w:sz w:val="24"/>
          <w:szCs w:val="24"/>
        </w:rPr>
        <w:t xml:space="preserve"> </w:t>
      </w:r>
      <w:r w:rsidRPr="00C35149">
        <w:rPr>
          <w:rFonts w:ascii="Calibri" w:hAnsi="Calibri" w:cs="Calibri"/>
          <w:sz w:val="24"/>
          <w:szCs w:val="24"/>
        </w:rPr>
        <w:t>sense 5’-</w:t>
      </w:r>
      <w:r w:rsidR="006B66FF" w:rsidRPr="00C35149">
        <w:rPr>
          <w:rFonts w:ascii="Open Sans" w:hAnsi="Open Sans" w:cs="Open Sans"/>
          <w:color w:val="666666"/>
          <w:sz w:val="22"/>
        </w:rPr>
        <w:t xml:space="preserve"> </w:t>
      </w:r>
      <w:r w:rsidR="006B66FF" w:rsidRPr="00C35149">
        <w:rPr>
          <w:rFonts w:ascii="Calibri" w:hAnsi="Calibri" w:cs="Calibri"/>
          <w:sz w:val="24"/>
          <w:szCs w:val="24"/>
        </w:rPr>
        <w:t xml:space="preserve">GTGTGGAAGGAGCACTTTGAGG </w:t>
      </w:r>
      <w:r w:rsidRPr="00C35149">
        <w:rPr>
          <w:rFonts w:ascii="Calibri" w:hAnsi="Calibri" w:cs="Calibri"/>
          <w:sz w:val="24"/>
          <w:szCs w:val="24"/>
        </w:rPr>
        <w:t>-3’, antisense 5’-</w:t>
      </w:r>
      <w:r w:rsidR="006B66FF" w:rsidRPr="00C35149">
        <w:rPr>
          <w:rFonts w:ascii="Open Sans" w:hAnsi="Open Sans" w:cs="Open Sans"/>
          <w:color w:val="666666"/>
          <w:sz w:val="22"/>
          <w:shd w:val="clear" w:color="auto" w:fill="FFFFFF"/>
        </w:rPr>
        <w:t xml:space="preserve"> </w:t>
      </w:r>
      <w:r w:rsidR="006B66FF" w:rsidRPr="00C35149">
        <w:rPr>
          <w:rFonts w:ascii="Calibri" w:hAnsi="Calibri" w:cs="Calibri"/>
          <w:sz w:val="24"/>
          <w:szCs w:val="24"/>
        </w:rPr>
        <w:t xml:space="preserve">GATGCTGGTGTACTGTTGAGGG </w:t>
      </w:r>
      <w:r w:rsidRPr="00C35149">
        <w:rPr>
          <w:rFonts w:ascii="Calibri" w:hAnsi="Calibri" w:cs="Calibri"/>
          <w:sz w:val="24"/>
          <w:szCs w:val="24"/>
        </w:rPr>
        <w:t xml:space="preserve">-3’. </w:t>
      </w:r>
      <w:r w:rsidRPr="00C35149">
        <w:rPr>
          <w:rFonts w:ascii="Calibri" w:hAnsi="Calibri" w:cs="Calibri"/>
          <w:i/>
          <w:iCs/>
          <w:sz w:val="24"/>
        </w:rPr>
        <w:t>GAPDH</w:t>
      </w:r>
      <w:r w:rsidRPr="00C35149">
        <w:rPr>
          <w:rFonts w:ascii="Calibri" w:hAnsi="Calibri" w:cs="Calibri"/>
          <w:sz w:val="24"/>
        </w:rPr>
        <w:t xml:space="preserve"> (</w:t>
      </w:r>
      <w:r w:rsidRPr="00C35149">
        <w:rPr>
          <w:rFonts w:ascii="Calibri" w:hAnsi="Calibri" w:cs="Calibri"/>
          <w:sz w:val="24"/>
          <w:szCs w:val="24"/>
        </w:rPr>
        <w:t>sense 5’-</w:t>
      </w:r>
      <w:r w:rsidR="006B66FF" w:rsidRPr="00C35149">
        <w:rPr>
          <w:rFonts w:hint="eastAsia"/>
        </w:rPr>
        <w:t xml:space="preserve"> </w:t>
      </w:r>
      <w:r w:rsidR="006B66FF" w:rsidRPr="00C35149">
        <w:rPr>
          <w:rFonts w:ascii="Calibri" w:hAnsi="Calibri" w:cs="Calibri" w:hint="eastAsia"/>
          <w:sz w:val="24"/>
          <w:szCs w:val="24"/>
        </w:rPr>
        <w:t>GTCTCCTCTGACTTCAACAGCG</w:t>
      </w:r>
      <w:r w:rsidR="006B66FF" w:rsidRPr="00C35149">
        <w:rPr>
          <w:rFonts w:ascii="Calibri" w:hAnsi="Calibri" w:cs="Calibri"/>
          <w:sz w:val="24"/>
          <w:szCs w:val="24"/>
        </w:rPr>
        <w:t xml:space="preserve"> </w:t>
      </w:r>
      <w:r w:rsidRPr="00C35149">
        <w:rPr>
          <w:rFonts w:ascii="Calibri" w:hAnsi="Calibri" w:cs="Calibri"/>
          <w:sz w:val="24"/>
          <w:szCs w:val="24"/>
        </w:rPr>
        <w:t>-3’, antisense 5’-</w:t>
      </w:r>
      <w:r w:rsidR="006B66FF" w:rsidRPr="00C35149">
        <w:rPr>
          <w:rFonts w:hint="eastAsia"/>
        </w:rPr>
        <w:t xml:space="preserve"> </w:t>
      </w:r>
      <w:r w:rsidR="006B66FF" w:rsidRPr="00C35149">
        <w:rPr>
          <w:rFonts w:ascii="Calibri" w:hAnsi="Calibri" w:cs="Calibri" w:hint="eastAsia"/>
          <w:sz w:val="24"/>
          <w:szCs w:val="24"/>
        </w:rPr>
        <w:t>ACCACCCTGTTGCTGTAGCCAA</w:t>
      </w:r>
      <w:r w:rsidR="006B66FF" w:rsidRPr="00C35149">
        <w:rPr>
          <w:rFonts w:ascii="Calibri" w:hAnsi="Calibri" w:cs="Calibri"/>
          <w:sz w:val="24"/>
          <w:szCs w:val="24"/>
        </w:rPr>
        <w:t xml:space="preserve"> </w:t>
      </w:r>
      <w:r w:rsidRPr="00C35149">
        <w:rPr>
          <w:rFonts w:ascii="Calibri" w:hAnsi="Calibri" w:cs="Calibri"/>
          <w:sz w:val="24"/>
          <w:szCs w:val="24"/>
        </w:rPr>
        <w:t>-3’</w:t>
      </w:r>
      <w:r>
        <w:rPr>
          <w:rFonts w:ascii="Calibri" w:hAnsi="Calibri" w:cs="Calibri"/>
          <w:sz w:val="24"/>
        </w:rPr>
        <w:t xml:space="preserve">) </w:t>
      </w:r>
      <w:r w:rsidRPr="003B1FCE">
        <w:rPr>
          <w:rFonts w:ascii="Calibri" w:hAnsi="Calibri" w:cs="Calibri"/>
          <w:sz w:val="24"/>
        </w:rPr>
        <w:t>was used as a reference gene. Gene expression levels were calculated using the 2</w:t>
      </w:r>
      <w:r w:rsidRPr="003B1FCE">
        <w:rPr>
          <w:rFonts w:ascii="Calibri" w:hAnsi="Calibri" w:cs="Calibri"/>
          <w:sz w:val="24"/>
          <w:vertAlign w:val="superscript"/>
        </w:rPr>
        <w:t>-∆∆Ct</w:t>
      </w:r>
      <w:r w:rsidRPr="003B1FCE">
        <w:rPr>
          <w:rFonts w:ascii="Calibri" w:hAnsi="Calibri" w:cs="Calibri"/>
          <w:sz w:val="24"/>
        </w:rPr>
        <w:t xml:space="preserve"> relative quantification method.</w:t>
      </w:r>
    </w:p>
    <w:p w14:paraId="032242E0" w14:textId="77777777" w:rsidR="00C05388" w:rsidRDefault="00C05388" w:rsidP="00C05388">
      <w:pPr>
        <w:spacing w:line="480" w:lineRule="auto"/>
        <w:rPr>
          <w:rFonts w:ascii="Calibri" w:hAnsi="Calibri" w:cs="Calibri"/>
          <w:b/>
          <w:bCs/>
          <w:i/>
          <w:iCs/>
          <w:sz w:val="24"/>
          <w:szCs w:val="24"/>
        </w:rPr>
      </w:pPr>
    </w:p>
    <w:p w14:paraId="37ACB415" w14:textId="5470B6D1" w:rsidR="00C05388" w:rsidRPr="003B6676" w:rsidRDefault="00C05388" w:rsidP="00C05388">
      <w:pPr>
        <w:spacing w:line="480" w:lineRule="auto"/>
        <w:rPr>
          <w:rFonts w:ascii="Calibri" w:hAnsi="Calibri" w:cs="Calibri"/>
          <w:b/>
          <w:bCs/>
          <w:i/>
          <w:iCs/>
          <w:sz w:val="24"/>
          <w:szCs w:val="24"/>
        </w:rPr>
      </w:pPr>
      <w:r w:rsidRPr="003B6676">
        <w:rPr>
          <w:rFonts w:ascii="Calibri" w:hAnsi="Calibri" w:cs="Calibri"/>
          <w:b/>
          <w:bCs/>
          <w:i/>
          <w:iCs/>
          <w:sz w:val="24"/>
          <w:szCs w:val="24"/>
        </w:rPr>
        <w:t>Statistical analyses</w:t>
      </w:r>
    </w:p>
    <w:p w14:paraId="77856B42" w14:textId="77777777" w:rsidR="00C05388" w:rsidRDefault="00C05388" w:rsidP="00C05388">
      <w:pPr>
        <w:spacing w:line="480" w:lineRule="auto"/>
        <w:rPr>
          <w:rFonts w:ascii="Calibri" w:hAnsi="Calibri" w:cs="Calibri"/>
          <w:sz w:val="24"/>
          <w:szCs w:val="24"/>
        </w:rPr>
      </w:pPr>
      <w:r w:rsidRPr="003B1FCE">
        <w:rPr>
          <w:rFonts w:ascii="Calibri" w:hAnsi="Calibri" w:cs="Calibri"/>
          <w:sz w:val="24"/>
          <w:szCs w:val="24"/>
        </w:rPr>
        <w:t xml:space="preserve">SPSS Statistics version 25.0 and GraphPad Prism version 8.2.1 were used for statistical analyses. Quantitative normally distributed variables are expressed as means with SDs and quantitative non-normally distributed variables are reported as medians and </w:t>
      </w:r>
      <w:proofErr w:type="spellStart"/>
      <w:r w:rsidRPr="003B1FCE">
        <w:rPr>
          <w:rFonts w:ascii="Calibri" w:hAnsi="Calibri" w:cs="Calibri"/>
          <w:sz w:val="24"/>
          <w:szCs w:val="24"/>
        </w:rPr>
        <w:lastRenderedPageBreak/>
        <w:t>interquartiles</w:t>
      </w:r>
      <w:proofErr w:type="spellEnd"/>
      <w:r w:rsidRPr="003B1FCE">
        <w:rPr>
          <w:rFonts w:ascii="Calibri" w:hAnsi="Calibri" w:cs="Calibri"/>
          <w:sz w:val="24"/>
          <w:szCs w:val="24"/>
        </w:rPr>
        <w:t xml:space="preserve">. </w:t>
      </w:r>
      <w:r>
        <w:rPr>
          <w:rFonts w:ascii="Calibri" w:hAnsi="Calibri" w:cs="Calibri"/>
          <w:sz w:val="24"/>
          <w:szCs w:val="24"/>
        </w:rPr>
        <w:t>M</w:t>
      </w:r>
      <w:r w:rsidRPr="003B1FCE">
        <w:rPr>
          <w:rFonts w:ascii="Calibri" w:hAnsi="Calibri" w:cs="Calibri"/>
          <w:sz w:val="24"/>
          <w:szCs w:val="24"/>
        </w:rPr>
        <w:t xml:space="preserve">ultiple comparisons were assessed by ANOVA followed by a Bonferroni test for pairwise comparisons. </w:t>
      </w:r>
      <w:r w:rsidRPr="003B1FCE">
        <w:rPr>
          <w:rFonts w:ascii="Calibri" w:hAnsi="Calibri" w:cs="Calibri"/>
          <w:i/>
          <w:iCs/>
          <w:sz w:val="24"/>
          <w:szCs w:val="24"/>
        </w:rPr>
        <w:t>P</w:t>
      </w:r>
      <w:r w:rsidRPr="003B1FCE">
        <w:rPr>
          <w:rFonts w:ascii="Calibri" w:hAnsi="Calibri" w:cs="Calibri"/>
          <w:sz w:val="24"/>
          <w:szCs w:val="24"/>
        </w:rPr>
        <w:t xml:space="preserve"> values are considered significant when </w:t>
      </w:r>
      <w:r w:rsidRPr="003B1FCE">
        <w:rPr>
          <w:rFonts w:ascii="Calibri" w:hAnsi="Calibri" w:cs="Calibri"/>
          <w:i/>
          <w:iCs/>
          <w:sz w:val="24"/>
          <w:szCs w:val="24"/>
        </w:rPr>
        <w:t>P</w:t>
      </w:r>
      <w:r w:rsidRPr="003B1FCE">
        <w:rPr>
          <w:rFonts w:ascii="Calibri" w:hAnsi="Calibri" w:cs="Calibri"/>
          <w:sz w:val="24"/>
          <w:szCs w:val="24"/>
        </w:rPr>
        <w:t>&lt;0.05.</w:t>
      </w:r>
    </w:p>
    <w:p w14:paraId="75281478" w14:textId="77777777" w:rsidR="00C35149" w:rsidRDefault="00C35149" w:rsidP="00C05388">
      <w:pPr>
        <w:spacing w:line="480" w:lineRule="auto"/>
        <w:rPr>
          <w:rFonts w:ascii="Calibri" w:hAnsi="Calibri" w:cs="Calibri"/>
          <w:sz w:val="24"/>
          <w:szCs w:val="24"/>
        </w:rPr>
      </w:pPr>
    </w:p>
    <w:p w14:paraId="0C3DFA34" w14:textId="0A591019" w:rsidR="00C35149" w:rsidRPr="00C35149" w:rsidRDefault="00C35149" w:rsidP="00C05388">
      <w:pPr>
        <w:spacing w:line="480" w:lineRule="auto"/>
        <w:rPr>
          <w:rFonts w:ascii="Calibri" w:hAnsi="Calibri" w:cs="Calibri"/>
          <w:b/>
          <w:bCs/>
          <w:sz w:val="24"/>
          <w:szCs w:val="24"/>
        </w:rPr>
      </w:pPr>
      <w:r w:rsidRPr="00C35149">
        <w:rPr>
          <w:rFonts w:ascii="Calibri" w:hAnsi="Calibri" w:cs="Calibri"/>
          <w:b/>
          <w:bCs/>
          <w:sz w:val="24"/>
          <w:szCs w:val="24"/>
        </w:rPr>
        <w:t>References</w:t>
      </w:r>
    </w:p>
    <w:p w14:paraId="31A59B0B" w14:textId="5A702D18" w:rsidR="00C35149" w:rsidRPr="003B6676" w:rsidRDefault="00C35149" w:rsidP="00703E5F">
      <w:pPr>
        <w:spacing w:line="480" w:lineRule="auto"/>
        <w:ind w:left="720" w:hanging="720"/>
        <w:rPr>
          <w:rFonts w:ascii="Calibri" w:hAnsi="Calibri" w:cs="Calibri"/>
          <w:sz w:val="24"/>
          <w:szCs w:val="24"/>
        </w:rPr>
      </w:pPr>
      <w:r w:rsidRPr="00741B1A">
        <w:rPr>
          <w:rFonts w:ascii="Calibri" w:eastAsia="等线" w:hAnsi="Calibri" w:cs="Calibri"/>
          <w:noProof/>
          <w:sz w:val="24"/>
          <w:szCs w:val="24"/>
        </w:rPr>
        <w:t>1.</w:t>
      </w:r>
      <w:r w:rsidRPr="00741B1A">
        <w:rPr>
          <w:rFonts w:ascii="Calibri" w:eastAsia="等线" w:hAnsi="Calibri" w:cs="Calibri"/>
          <w:noProof/>
          <w:sz w:val="24"/>
          <w:szCs w:val="24"/>
        </w:rPr>
        <w:tab/>
      </w:r>
      <w:r w:rsidR="00703E5F" w:rsidRPr="007A4D8A">
        <w:rPr>
          <w:rFonts w:ascii="Calibri" w:hAnsi="Calibri" w:cs="Calibri" w:hint="eastAsia"/>
          <w:sz w:val="24"/>
          <w:szCs w:val="24"/>
        </w:rPr>
        <w:t xml:space="preserve">Y. Yang, M. </w:t>
      </w:r>
      <w:r w:rsidR="00703E5F" w:rsidRPr="007A4D8A">
        <w:rPr>
          <w:rFonts w:ascii="Calibri" w:hAnsi="Calibri" w:cs="Calibri"/>
          <w:sz w:val="24"/>
          <w:szCs w:val="24"/>
        </w:rPr>
        <w:t>Tetti,</w:t>
      </w:r>
      <w:r w:rsidR="00703E5F" w:rsidRPr="007A4D8A">
        <w:rPr>
          <w:rFonts w:ascii="Calibri" w:hAnsi="Calibri" w:cs="Calibri" w:hint="eastAsia"/>
          <w:sz w:val="24"/>
          <w:szCs w:val="24"/>
        </w:rPr>
        <w:t xml:space="preserve"> T. </w:t>
      </w:r>
      <w:r w:rsidR="00703E5F" w:rsidRPr="007A4D8A">
        <w:rPr>
          <w:rFonts w:ascii="Calibri" w:hAnsi="Calibri" w:cs="Calibri"/>
          <w:sz w:val="24"/>
          <w:szCs w:val="24"/>
        </w:rPr>
        <w:t>Vohra</w:t>
      </w:r>
      <w:r w:rsidR="00703E5F" w:rsidRPr="007A4D8A">
        <w:rPr>
          <w:rFonts w:ascii="Calibri" w:hAnsi="Calibri" w:cs="Calibri" w:hint="eastAsia"/>
          <w:sz w:val="24"/>
          <w:szCs w:val="24"/>
        </w:rPr>
        <w:t xml:space="preserve"> et al. BEX1 Is Differentially Expressed in Aldosterone-Producing Adenomas and Protects Human Adrenocortical Cells From Ferroptosis. Hypertension 77, 1647-1658 (2021).</w:t>
      </w:r>
    </w:p>
    <w:sectPr w:rsidR="00C35149" w:rsidRPr="003B66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388"/>
    <w:rsid w:val="000121EB"/>
    <w:rsid w:val="001167BB"/>
    <w:rsid w:val="00125572"/>
    <w:rsid w:val="001A0B4C"/>
    <w:rsid w:val="00265D29"/>
    <w:rsid w:val="002D1371"/>
    <w:rsid w:val="002F6D58"/>
    <w:rsid w:val="00304C1E"/>
    <w:rsid w:val="003241D3"/>
    <w:rsid w:val="00405BDD"/>
    <w:rsid w:val="00423651"/>
    <w:rsid w:val="004435C6"/>
    <w:rsid w:val="00466F1F"/>
    <w:rsid w:val="0048175A"/>
    <w:rsid w:val="00483DA8"/>
    <w:rsid w:val="004C0DBA"/>
    <w:rsid w:val="004F7140"/>
    <w:rsid w:val="00514158"/>
    <w:rsid w:val="005328E4"/>
    <w:rsid w:val="00552863"/>
    <w:rsid w:val="005A3B41"/>
    <w:rsid w:val="005B2438"/>
    <w:rsid w:val="00635F09"/>
    <w:rsid w:val="006404D8"/>
    <w:rsid w:val="0065786F"/>
    <w:rsid w:val="00660D54"/>
    <w:rsid w:val="00683F5D"/>
    <w:rsid w:val="006B66FF"/>
    <w:rsid w:val="006C75B8"/>
    <w:rsid w:val="00703E5F"/>
    <w:rsid w:val="00742A83"/>
    <w:rsid w:val="00760093"/>
    <w:rsid w:val="007A0A9E"/>
    <w:rsid w:val="007D2AB0"/>
    <w:rsid w:val="00802A8E"/>
    <w:rsid w:val="00846E29"/>
    <w:rsid w:val="00875F53"/>
    <w:rsid w:val="008C6FDA"/>
    <w:rsid w:val="008D771D"/>
    <w:rsid w:val="00937A9F"/>
    <w:rsid w:val="009A400C"/>
    <w:rsid w:val="009D6438"/>
    <w:rsid w:val="009E2A09"/>
    <w:rsid w:val="00A1287A"/>
    <w:rsid w:val="00A36683"/>
    <w:rsid w:val="00A44F3B"/>
    <w:rsid w:val="00A71506"/>
    <w:rsid w:val="00AE4E69"/>
    <w:rsid w:val="00B14D2D"/>
    <w:rsid w:val="00B36E48"/>
    <w:rsid w:val="00BC2E65"/>
    <w:rsid w:val="00BC6347"/>
    <w:rsid w:val="00BF0FF5"/>
    <w:rsid w:val="00C05388"/>
    <w:rsid w:val="00C16061"/>
    <w:rsid w:val="00C35149"/>
    <w:rsid w:val="00C461B9"/>
    <w:rsid w:val="00C64821"/>
    <w:rsid w:val="00CA3BC8"/>
    <w:rsid w:val="00CE1A4D"/>
    <w:rsid w:val="00D3795C"/>
    <w:rsid w:val="00D45E1C"/>
    <w:rsid w:val="00DF5467"/>
    <w:rsid w:val="00E10B23"/>
    <w:rsid w:val="00E73B19"/>
    <w:rsid w:val="00E80253"/>
    <w:rsid w:val="00EA1F70"/>
    <w:rsid w:val="00EE3BAF"/>
    <w:rsid w:val="00F06783"/>
    <w:rsid w:val="00F276B3"/>
    <w:rsid w:val="00F4087D"/>
    <w:rsid w:val="00F659F5"/>
    <w:rsid w:val="00F70512"/>
    <w:rsid w:val="00F76EE8"/>
    <w:rsid w:val="00F83CE3"/>
    <w:rsid w:val="00FE5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C91732"/>
  <w15:chartTrackingRefBased/>
  <w15:docId w15:val="{FBB6DB9D-98FA-7046-834B-BA4360FEE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5388"/>
    <w:pPr>
      <w:widowControl w:val="0"/>
      <w:jc w:val="both"/>
    </w:pPr>
    <w:rPr>
      <w:szCs w:val="22"/>
    </w:rPr>
  </w:style>
  <w:style w:type="paragraph" w:styleId="1">
    <w:name w:val="heading 1"/>
    <w:basedOn w:val="a"/>
    <w:next w:val="a"/>
    <w:link w:val="10"/>
    <w:uiPriority w:val="9"/>
    <w:qFormat/>
    <w:rsid w:val="00C0538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053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0538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0538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0538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05388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0538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05388"/>
    <w:pPr>
      <w:keepNext/>
      <w:keepLines/>
      <w:outlineLvl w:val="7"/>
    </w:pPr>
    <w:rPr>
      <w:rFonts w:cstheme="majorBidi"/>
      <w:color w:val="595959" w:themeColor="text1" w:themeTint="A6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05388"/>
    <w:pPr>
      <w:keepNext/>
      <w:keepLines/>
      <w:outlineLvl w:val="8"/>
    </w:pPr>
    <w:rPr>
      <w:rFonts w:eastAsiaTheme="majorEastAsia" w:cstheme="majorBidi"/>
      <w:color w:val="595959" w:themeColor="text1" w:themeTint="A6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0538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053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053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0538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05388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0538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0538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0538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0538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0538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053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0538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0538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05388"/>
    <w:pPr>
      <w:spacing w:before="160" w:after="160"/>
      <w:jc w:val="center"/>
    </w:pPr>
    <w:rPr>
      <w:i/>
      <w:iCs/>
      <w:color w:val="404040" w:themeColor="text1" w:themeTint="BF"/>
      <w:szCs w:val="24"/>
    </w:rPr>
  </w:style>
  <w:style w:type="character" w:customStyle="1" w:styleId="a8">
    <w:name w:val="引用 字符"/>
    <w:basedOn w:val="a0"/>
    <w:link w:val="a7"/>
    <w:uiPriority w:val="29"/>
    <w:rsid w:val="00C0538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05388"/>
    <w:pPr>
      <w:ind w:left="720"/>
      <w:contextualSpacing/>
    </w:pPr>
    <w:rPr>
      <w:szCs w:val="24"/>
    </w:rPr>
  </w:style>
  <w:style w:type="character" w:styleId="aa">
    <w:name w:val="Intense Emphasis"/>
    <w:basedOn w:val="a0"/>
    <w:uiPriority w:val="21"/>
    <w:qFormat/>
    <w:rsid w:val="00C0538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053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szCs w:val="24"/>
    </w:rPr>
  </w:style>
  <w:style w:type="character" w:customStyle="1" w:styleId="ac">
    <w:name w:val="明显引用 字符"/>
    <w:basedOn w:val="a0"/>
    <w:link w:val="ab"/>
    <w:uiPriority w:val="30"/>
    <w:rsid w:val="00C0538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05388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qFormat/>
    <w:rsid w:val="00C05388"/>
    <w:rPr>
      <w:color w:val="0000FF"/>
      <w:u w:val="single"/>
    </w:rPr>
  </w:style>
  <w:style w:type="character" w:styleId="af">
    <w:name w:val="annotation reference"/>
    <w:basedOn w:val="a0"/>
    <w:uiPriority w:val="99"/>
    <w:semiHidden/>
    <w:unhideWhenUsed/>
    <w:qFormat/>
    <w:rsid w:val="00BC6347"/>
    <w:rPr>
      <w:sz w:val="21"/>
      <w:szCs w:val="21"/>
    </w:rPr>
  </w:style>
  <w:style w:type="paragraph" w:styleId="af0">
    <w:name w:val="annotation text"/>
    <w:basedOn w:val="a"/>
    <w:link w:val="af1"/>
    <w:uiPriority w:val="99"/>
    <w:unhideWhenUsed/>
    <w:qFormat/>
    <w:rsid w:val="00BC6347"/>
    <w:pPr>
      <w:jc w:val="left"/>
    </w:pPr>
  </w:style>
  <w:style w:type="character" w:customStyle="1" w:styleId="af1">
    <w:name w:val="批注文字 字符"/>
    <w:basedOn w:val="a0"/>
    <w:link w:val="af0"/>
    <w:uiPriority w:val="99"/>
    <w:qFormat/>
    <w:rsid w:val="00BC6347"/>
    <w:rPr>
      <w:szCs w:val="22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C6347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BC6347"/>
    <w:rPr>
      <w:b/>
      <w:bCs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935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cicrunch.org/resources/data/record/SCR_013869-1/CVCL_S898/resolver?q=HAC15&amp;l=HAC15&amp;i=rrid:cvcl_s898-0" TargetMode="External"/><Relationship Id="rId5" Type="http://schemas.openxmlformats.org/officeDocument/2006/relationships/hyperlink" Target="mailto:drsunm@njmu.edu.cn" TargetMode="External"/><Relationship Id="rId4" Type="http://schemas.openxmlformats.org/officeDocument/2006/relationships/hyperlink" Target="mailto:amao_wzhixiao@sina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659</Words>
  <Characters>3759</Characters>
  <Application>Microsoft Office Word</Application>
  <DocSecurity>0</DocSecurity>
  <Lines>31</Lines>
  <Paragraphs>8</Paragraphs>
  <ScaleCrop>false</ScaleCrop>
  <Company/>
  <LinksUpToDate>false</LinksUpToDate>
  <CharactersWithSpaces>4410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7755</dc:creator>
  <cp:keywords/>
  <dc:description/>
  <cp:lastModifiedBy>Mnn G</cp:lastModifiedBy>
  <cp:revision>4</cp:revision>
  <dcterms:created xsi:type="dcterms:W3CDTF">2024-09-03T06:38:00Z</dcterms:created>
  <dcterms:modified xsi:type="dcterms:W3CDTF">2024-10-06T12:15:00Z</dcterms:modified>
</cp:coreProperties>
</file>