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960F7A" w14:textId="1AF8A403" w:rsidR="00207A11" w:rsidRPr="00207A11" w:rsidRDefault="0071557A" w:rsidP="00207A11">
      <w:pPr>
        <w:rPr>
          <w:rFonts w:ascii="Times New Roman" w:hAnsi="Times New Roman" w:cs="Times New Roman"/>
          <w:b/>
          <w:sz w:val="20"/>
          <w:szCs w:val="20"/>
        </w:rPr>
      </w:pPr>
      <w:r w:rsidRPr="00207A11">
        <w:rPr>
          <w:rFonts w:ascii="Times New Roman" w:hAnsi="Times New Roman" w:cs="Times New Roman"/>
          <w:b/>
          <w:sz w:val="20"/>
          <w:szCs w:val="20"/>
        </w:rPr>
        <w:t>Electronic supplemental material</w:t>
      </w:r>
    </w:p>
    <w:p w14:paraId="340A5DE4" w14:textId="00FECEA1" w:rsidR="002B5622" w:rsidRPr="00207A11" w:rsidRDefault="00207A11" w:rsidP="00207A11">
      <w:pPr>
        <w:rPr>
          <w:rFonts w:ascii="Times New Roman" w:hAnsi="Times New Roman" w:cs="Times New Roman"/>
          <w:sz w:val="20"/>
          <w:szCs w:val="20"/>
        </w:rPr>
      </w:pPr>
      <w:r w:rsidRPr="00207A11">
        <w:rPr>
          <w:rFonts w:ascii="Times New Roman" w:hAnsi="Times New Roman" w:cs="Times New Roman" w:hint="eastAsia"/>
          <w:b/>
          <w:sz w:val="20"/>
          <w:szCs w:val="20"/>
        </w:rPr>
        <w:t>A</w:t>
      </w:r>
      <w:r w:rsidRPr="00207A11">
        <w:rPr>
          <w:rFonts w:ascii="Times New Roman" w:hAnsi="Times New Roman" w:cs="Times New Roman"/>
          <w:b/>
          <w:sz w:val="20"/>
          <w:szCs w:val="20"/>
        </w:rPr>
        <w:t>rticle title</w:t>
      </w:r>
      <w:r w:rsidRPr="00207A11">
        <w:rPr>
          <w:rFonts w:ascii="Times New Roman" w:hAnsi="Times New Roman" w:cs="Times New Roman" w:hint="eastAsia"/>
          <w:b/>
          <w:sz w:val="20"/>
          <w:szCs w:val="20"/>
        </w:rPr>
        <w:t>:</w:t>
      </w:r>
      <w:r w:rsidRPr="00207A1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1557A" w:rsidRPr="00207A11">
        <w:rPr>
          <w:rFonts w:ascii="Times New Roman" w:hAnsi="Times New Roman" w:cs="Times New Roman"/>
          <w:sz w:val="20"/>
          <w:szCs w:val="20"/>
        </w:rPr>
        <w:t xml:space="preserve">Pimitespib in patients with advanced gastrointestinal stromal </w:t>
      </w:r>
      <w:proofErr w:type="spellStart"/>
      <w:r w:rsidR="0071557A" w:rsidRPr="00207A11">
        <w:rPr>
          <w:rFonts w:ascii="Times New Roman" w:hAnsi="Times New Roman" w:cs="Times New Roman"/>
          <w:sz w:val="20"/>
          <w:szCs w:val="20"/>
        </w:rPr>
        <w:t>tumors</w:t>
      </w:r>
      <w:proofErr w:type="spellEnd"/>
      <w:r w:rsidR="0071557A" w:rsidRPr="00207A11">
        <w:rPr>
          <w:rFonts w:ascii="Times New Roman" w:hAnsi="Times New Roman" w:cs="Times New Roman"/>
          <w:sz w:val="20"/>
          <w:szCs w:val="20"/>
        </w:rPr>
        <w:t xml:space="preserve"> in Japan: an expanded access program</w:t>
      </w:r>
      <w:r w:rsidR="002B5622" w:rsidRPr="00207A1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4A555E6" w14:textId="3324325E" w:rsidR="002B5622" w:rsidRDefault="002B5622" w:rsidP="00AC7F06">
      <w:pPr>
        <w:rPr>
          <w:rFonts w:ascii="Times New Roman" w:hAnsi="Times New Roman" w:cs="Times New Roman"/>
          <w:sz w:val="20"/>
          <w:szCs w:val="20"/>
        </w:rPr>
      </w:pPr>
      <w:r w:rsidRPr="00207A11">
        <w:rPr>
          <w:rFonts w:ascii="Times New Roman" w:hAnsi="Times New Roman" w:cs="Times New Roman"/>
          <w:b/>
          <w:sz w:val="20"/>
          <w:szCs w:val="20"/>
        </w:rPr>
        <w:t>Journal</w:t>
      </w:r>
      <w:r w:rsidR="00207A11">
        <w:rPr>
          <w:rFonts w:ascii="Times New Roman" w:hAnsi="Times New Roman" w:cs="Times New Roman"/>
          <w:b/>
          <w:sz w:val="20"/>
          <w:szCs w:val="20"/>
        </w:rPr>
        <w:t xml:space="preserve"> name</w:t>
      </w:r>
      <w:r w:rsidRPr="00207A11">
        <w:rPr>
          <w:rFonts w:ascii="Times New Roman" w:hAnsi="Times New Roman" w:cs="Times New Roman"/>
          <w:b/>
          <w:sz w:val="20"/>
          <w:szCs w:val="20"/>
        </w:rPr>
        <w:t>:</w:t>
      </w:r>
      <w:r w:rsidRPr="00AC7F06">
        <w:rPr>
          <w:rFonts w:ascii="Times New Roman" w:hAnsi="Times New Roman" w:cs="Times New Roman"/>
          <w:sz w:val="20"/>
          <w:szCs w:val="20"/>
        </w:rPr>
        <w:t xml:space="preserve"> International Journal of Clinical Oncology</w:t>
      </w:r>
    </w:p>
    <w:p w14:paraId="23ED7BDB" w14:textId="443AA5B1" w:rsidR="00207A11" w:rsidRPr="00207A11" w:rsidRDefault="00207A11" w:rsidP="00AC7F06">
      <w:pPr>
        <w:rPr>
          <w:rFonts w:ascii="Times New Roman" w:hAnsi="Times New Roman" w:cs="Times New Roman"/>
          <w:b/>
          <w:sz w:val="20"/>
          <w:szCs w:val="20"/>
        </w:rPr>
      </w:pPr>
      <w:r w:rsidRPr="00207A11">
        <w:rPr>
          <w:rFonts w:ascii="Times New Roman" w:hAnsi="Times New Roman" w:cs="Times New Roman"/>
          <w:b/>
          <w:sz w:val="20"/>
          <w:szCs w:val="20"/>
        </w:rPr>
        <w:t>Author names:</w:t>
      </w:r>
      <w:r w:rsidR="002E45D5" w:rsidRPr="002E45D5">
        <w:rPr>
          <w:rStyle w:val="10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r w:rsidR="002E45D5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Yoichi Naito, Shiro </w:t>
      </w:r>
      <w:proofErr w:type="spellStart"/>
      <w:r w:rsidR="002E45D5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Iwagami</w:t>
      </w:r>
      <w:proofErr w:type="spellEnd"/>
      <w:r w:rsidR="002E45D5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, Toshihiko Doi, Tsuyoshi Takahashi, Yukinori Kurokawa</w:t>
      </w:r>
    </w:p>
    <w:p w14:paraId="157C05DF" w14:textId="5205976A" w:rsidR="0071557A" w:rsidRDefault="00AC7F06" w:rsidP="00AC7F06">
      <w:pPr>
        <w:rPr>
          <w:rFonts w:ascii="Times New Roman" w:hAnsi="Times New Roman" w:cs="Times New Roman"/>
          <w:sz w:val="20"/>
          <w:szCs w:val="20"/>
        </w:rPr>
      </w:pPr>
      <w:r w:rsidRPr="00207A11">
        <w:rPr>
          <w:rFonts w:ascii="Times New Roman" w:hAnsi="Times New Roman" w:cs="Times New Roman"/>
          <w:b/>
          <w:sz w:val="20"/>
          <w:szCs w:val="20"/>
        </w:rPr>
        <w:t>Corresponding author</w:t>
      </w:r>
      <w:r w:rsidR="002B5622" w:rsidRPr="00207A11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2B5622" w:rsidRPr="00AC7F06">
        <w:rPr>
          <w:rFonts w:ascii="Times New Roman" w:hAnsi="Times New Roman" w:cs="Times New Roman"/>
          <w:sz w:val="20"/>
          <w:szCs w:val="20"/>
        </w:rPr>
        <w:t xml:space="preserve">Yoichi Naito, </w:t>
      </w:r>
      <w:r w:rsidRPr="00AC7F06">
        <w:rPr>
          <w:rFonts w:ascii="Times New Roman" w:hAnsi="Times New Roman" w:cs="Times New Roman"/>
          <w:sz w:val="20"/>
          <w:szCs w:val="20"/>
        </w:rPr>
        <w:t xml:space="preserve">Affiliation: </w:t>
      </w:r>
      <w:r w:rsidR="002B5622" w:rsidRPr="00AC7F06">
        <w:rPr>
          <w:rFonts w:ascii="Times New Roman" w:hAnsi="Times New Roman" w:cs="Times New Roman"/>
          <w:sz w:val="20"/>
          <w:szCs w:val="20"/>
        </w:rPr>
        <w:t xml:space="preserve">Department of General Internal Medicine, Medical Oncology, Experimental Therapeutics, National Cancer Center Hospital East, Email: </w:t>
      </w:r>
      <w:hyperlink r:id="rId10" w:history="1">
        <w:r w:rsidR="00E0439C" w:rsidRPr="00932529">
          <w:rPr>
            <w:rStyle w:val="af1"/>
            <w:rFonts w:ascii="Times New Roman" w:hAnsi="Times New Roman" w:cs="Times New Roman"/>
            <w:sz w:val="20"/>
            <w:szCs w:val="20"/>
          </w:rPr>
          <w:t>ynaito@east.ncc.go.jp</w:t>
        </w:r>
      </w:hyperlink>
    </w:p>
    <w:p w14:paraId="686BD9EB" w14:textId="77777777" w:rsidR="00E0439C" w:rsidRDefault="00E0439C" w:rsidP="00AC7F06">
      <w:pPr>
        <w:rPr>
          <w:rFonts w:ascii="Times New Roman" w:hAnsi="Times New Roman" w:cs="Times New Roman"/>
          <w:sz w:val="20"/>
          <w:szCs w:val="20"/>
          <w:lang w:eastAsia="ja-JP"/>
        </w:rPr>
      </w:pPr>
    </w:p>
    <w:p w14:paraId="62A14739" w14:textId="77777777" w:rsidR="00C82BC9" w:rsidRDefault="00C82BC9">
      <w:pPr>
        <w:widowControl/>
        <w:spacing w:before="0" w:beforeAutospacing="0" w:after="160" w:afterAutospacing="0" w:line="259" w:lineRule="auto"/>
        <w:rPr>
          <w:rFonts w:ascii="Times New Roman" w:eastAsia="Arial Unicode MS" w:hAnsi="Times New Roman" w:cs="Times New Roman"/>
          <w:b/>
          <w:bCs/>
          <w:sz w:val="20"/>
          <w:szCs w:val="20"/>
          <w:lang w:eastAsia="ja-JP"/>
        </w:rPr>
      </w:pPr>
      <w:r>
        <w:rPr>
          <w:rFonts w:ascii="Times New Roman" w:eastAsia="Arial Unicode MS" w:hAnsi="Times New Roman" w:cs="Times New Roman"/>
          <w:sz w:val="20"/>
          <w:szCs w:val="20"/>
          <w:lang w:eastAsia="ja-JP"/>
        </w:rPr>
        <w:br w:type="page"/>
      </w:r>
    </w:p>
    <w:p w14:paraId="7C5D0DE0" w14:textId="6F44E585" w:rsidR="00460DD0" w:rsidRPr="003F2B58" w:rsidRDefault="00460DD0" w:rsidP="00460DD0">
      <w:pPr>
        <w:pStyle w:val="2"/>
        <w:rPr>
          <w:rFonts w:ascii="Times New Roman" w:eastAsia="Arial Unicode MS" w:hAnsi="Times New Roman" w:cs="Times New Roman"/>
          <w:vanish/>
          <w:color w:val="FF0000"/>
          <w:sz w:val="20"/>
          <w:szCs w:val="20"/>
          <w:lang w:eastAsia="ja-JP"/>
        </w:rPr>
      </w:pPr>
      <w:r w:rsidRPr="003F2B58">
        <w:rPr>
          <w:rFonts w:ascii="Times New Roman" w:eastAsia="Arial Unicode MS" w:hAnsi="Times New Roman" w:cs="Times New Roman"/>
          <w:color w:val="FF0000"/>
          <w:sz w:val="20"/>
          <w:szCs w:val="20"/>
          <w:lang w:eastAsia="ja-JP"/>
        </w:rPr>
        <w:lastRenderedPageBreak/>
        <w:t xml:space="preserve">Supplementary Table </w:t>
      </w:r>
      <w:r w:rsidRPr="003F2B58">
        <w:rPr>
          <w:rFonts w:ascii="Times New Roman" w:eastAsia="Arial Unicode MS" w:hAnsi="Times New Roman" w:cs="Times New Roman" w:hint="eastAsia"/>
          <w:color w:val="FF0000"/>
          <w:sz w:val="20"/>
          <w:szCs w:val="20"/>
          <w:lang w:eastAsia="ja-JP"/>
        </w:rPr>
        <w:t>1</w:t>
      </w:r>
      <w:r w:rsidRPr="003F2B58">
        <w:rPr>
          <w:rFonts w:ascii="Times New Roman" w:eastAsia="Arial Unicode MS" w:hAnsi="Times New Roman" w:cs="Times New Roman"/>
          <w:color w:val="FF0000"/>
          <w:sz w:val="20"/>
          <w:szCs w:val="20"/>
          <w:lang w:eastAsia="ja-JP"/>
        </w:rPr>
        <w:t xml:space="preserve"> </w:t>
      </w:r>
      <w:r w:rsidRPr="003F2B58">
        <w:rPr>
          <w:rFonts w:ascii="Times New Roman" w:hAnsi="Times New Roman" w:cs="Times New Roman"/>
          <w:b w:val="0"/>
          <w:bCs w:val="0"/>
          <w:color w:val="FF0000"/>
          <w:sz w:val="20"/>
          <w:szCs w:val="20"/>
        </w:rPr>
        <w:t xml:space="preserve">Baseline patient characteristics in </w:t>
      </w:r>
      <w:r w:rsidR="00000EF8" w:rsidRPr="003F2B58">
        <w:rPr>
          <w:rFonts w:ascii="Times New Roman" w:hAnsi="Times New Roman" w:cs="Times New Roman"/>
          <w:b w:val="0"/>
          <w:bCs w:val="0"/>
          <w:color w:val="FF0000"/>
          <w:sz w:val="20"/>
          <w:szCs w:val="20"/>
        </w:rPr>
        <w:t xml:space="preserve">the </w:t>
      </w:r>
      <w:r w:rsidRPr="003F2B58">
        <w:rPr>
          <w:rFonts w:ascii="Times New Roman" w:hAnsi="Times New Roman" w:cs="Times New Roman"/>
          <w:b w:val="0"/>
          <w:bCs w:val="0"/>
          <w:color w:val="FF0000"/>
          <w:sz w:val="20"/>
          <w:szCs w:val="20"/>
        </w:rPr>
        <w:t>full analysis set population</w:t>
      </w:r>
    </w:p>
    <w:tbl>
      <w:tblPr>
        <w:tblStyle w:val="a3"/>
        <w:tblW w:w="397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6"/>
        <w:gridCol w:w="1917"/>
      </w:tblGrid>
      <w:tr w:rsidR="003F2B58" w:rsidRPr="003F2B58" w14:paraId="32876B21" w14:textId="77777777" w:rsidTr="1A6B8F92">
        <w:tc>
          <w:tcPr>
            <w:tcW w:w="3712" w:type="pct"/>
            <w:tcBorders>
              <w:top w:val="single" w:sz="4" w:space="0" w:color="auto"/>
              <w:bottom w:val="single" w:sz="4" w:space="0" w:color="auto"/>
            </w:tcBorders>
          </w:tcPr>
          <w:p w14:paraId="6A171481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b/>
                <w:bCs/>
                <w:color w:val="FF0000"/>
                <w:szCs w:val="20"/>
              </w:rPr>
            </w:pPr>
          </w:p>
        </w:tc>
        <w:tc>
          <w:tcPr>
            <w:tcW w:w="1288" w:type="pct"/>
            <w:tcBorders>
              <w:top w:val="single" w:sz="4" w:space="0" w:color="auto"/>
              <w:bottom w:val="single" w:sz="4" w:space="0" w:color="auto"/>
            </w:tcBorders>
          </w:tcPr>
          <w:p w14:paraId="046BB18F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b/>
                <w:bCs/>
                <w:color w:val="FF0000"/>
                <w:szCs w:val="20"/>
              </w:rPr>
              <w:t>FAS (n=21)</w:t>
            </w:r>
          </w:p>
        </w:tc>
      </w:tr>
      <w:tr w:rsidR="003F2B58" w:rsidRPr="003F2B58" w14:paraId="76CE4C73" w14:textId="77777777" w:rsidTr="1A6B8F92">
        <w:tc>
          <w:tcPr>
            <w:tcW w:w="3712" w:type="pct"/>
          </w:tcPr>
          <w:p w14:paraId="1025A2F7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Age, years, median (range)</w:t>
            </w:r>
          </w:p>
        </w:tc>
        <w:tc>
          <w:tcPr>
            <w:tcW w:w="1288" w:type="pct"/>
          </w:tcPr>
          <w:p w14:paraId="2FD0C2CF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61.0 (34–77)</w:t>
            </w:r>
          </w:p>
        </w:tc>
      </w:tr>
      <w:tr w:rsidR="003F2B58" w:rsidRPr="003F2B58" w14:paraId="3DDD83A7" w14:textId="77777777" w:rsidTr="1A6B8F92">
        <w:tc>
          <w:tcPr>
            <w:tcW w:w="3712" w:type="pct"/>
          </w:tcPr>
          <w:p w14:paraId="6357BC08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Sex, n (%)</w:t>
            </w:r>
          </w:p>
        </w:tc>
        <w:tc>
          <w:tcPr>
            <w:tcW w:w="1288" w:type="pct"/>
          </w:tcPr>
          <w:p w14:paraId="0EF3E67A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</w:tr>
      <w:tr w:rsidR="003F2B58" w:rsidRPr="003F2B58" w14:paraId="64A0C5EE" w14:textId="77777777" w:rsidTr="1A6B8F92">
        <w:tc>
          <w:tcPr>
            <w:tcW w:w="3712" w:type="pct"/>
          </w:tcPr>
          <w:p w14:paraId="76107362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Male</w:t>
            </w:r>
          </w:p>
        </w:tc>
        <w:tc>
          <w:tcPr>
            <w:tcW w:w="1288" w:type="pct"/>
          </w:tcPr>
          <w:p w14:paraId="33DA9C09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15 (71.4)</w:t>
            </w:r>
          </w:p>
        </w:tc>
      </w:tr>
      <w:tr w:rsidR="003F2B58" w:rsidRPr="003F2B58" w14:paraId="5FD40C93" w14:textId="77777777" w:rsidTr="1A6B8F92">
        <w:tc>
          <w:tcPr>
            <w:tcW w:w="3712" w:type="pct"/>
          </w:tcPr>
          <w:p w14:paraId="06D6324D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Female</w:t>
            </w:r>
          </w:p>
        </w:tc>
        <w:tc>
          <w:tcPr>
            <w:tcW w:w="1288" w:type="pct"/>
          </w:tcPr>
          <w:p w14:paraId="5B8A3304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6 (28.6)</w:t>
            </w:r>
          </w:p>
        </w:tc>
      </w:tr>
      <w:tr w:rsidR="003F2B58" w:rsidRPr="003F2B58" w14:paraId="6E4518F6" w14:textId="77777777" w:rsidTr="1A6B8F92">
        <w:tc>
          <w:tcPr>
            <w:tcW w:w="3712" w:type="pct"/>
          </w:tcPr>
          <w:p w14:paraId="64F3415C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ECOG performance status, n (%)</w:t>
            </w:r>
          </w:p>
        </w:tc>
        <w:tc>
          <w:tcPr>
            <w:tcW w:w="1288" w:type="pct"/>
          </w:tcPr>
          <w:p w14:paraId="4569288A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</w:tr>
      <w:tr w:rsidR="003F2B58" w:rsidRPr="003F2B58" w14:paraId="3BB82FEA" w14:textId="77777777" w:rsidTr="1A6B8F92">
        <w:tc>
          <w:tcPr>
            <w:tcW w:w="3712" w:type="pct"/>
          </w:tcPr>
          <w:p w14:paraId="6BDB859C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0</w:t>
            </w:r>
          </w:p>
        </w:tc>
        <w:tc>
          <w:tcPr>
            <w:tcW w:w="1288" w:type="pct"/>
          </w:tcPr>
          <w:p w14:paraId="54076B9C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10 (47.6)</w:t>
            </w:r>
          </w:p>
        </w:tc>
      </w:tr>
      <w:tr w:rsidR="003F2B58" w:rsidRPr="003F2B58" w14:paraId="6BA062F9" w14:textId="77777777" w:rsidTr="1A6B8F92">
        <w:tc>
          <w:tcPr>
            <w:tcW w:w="3712" w:type="pct"/>
          </w:tcPr>
          <w:p w14:paraId="24130198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</w:t>
            </w:r>
          </w:p>
        </w:tc>
        <w:tc>
          <w:tcPr>
            <w:tcW w:w="1288" w:type="pct"/>
          </w:tcPr>
          <w:p w14:paraId="59CEBFC9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11 (52.4)</w:t>
            </w:r>
          </w:p>
        </w:tc>
      </w:tr>
      <w:tr w:rsidR="003F2B58" w:rsidRPr="003F2B58" w14:paraId="70AB3E54" w14:textId="77777777" w:rsidTr="1A6B8F92">
        <w:tc>
          <w:tcPr>
            <w:tcW w:w="3712" w:type="pct"/>
          </w:tcPr>
          <w:p w14:paraId="0301EC50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 xml:space="preserve">Primary </w:t>
            </w:r>
            <w:r w:rsidRPr="003F2B58">
              <w:rPr>
                <w:rFonts w:ascii="Times New Roman" w:hAnsi="Times New Roman" w:cs="Times New Roman"/>
                <w:color w:val="FF0000"/>
                <w:szCs w:val="20"/>
                <w:lang w:val="en-US"/>
              </w:rPr>
              <w:t>tumor</w:t>
            </w: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, n (%)</w:t>
            </w:r>
          </w:p>
        </w:tc>
        <w:tc>
          <w:tcPr>
            <w:tcW w:w="1288" w:type="pct"/>
          </w:tcPr>
          <w:p w14:paraId="77BB8A08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</w:tr>
      <w:tr w:rsidR="003F2B58" w:rsidRPr="003F2B58" w14:paraId="6F88E858" w14:textId="77777777" w:rsidTr="1A6B8F92">
        <w:tc>
          <w:tcPr>
            <w:tcW w:w="3712" w:type="pct"/>
          </w:tcPr>
          <w:p w14:paraId="74830C3B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No</w:t>
            </w:r>
          </w:p>
        </w:tc>
        <w:tc>
          <w:tcPr>
            <w:tcW w:w="1288" w:type="pct"/>
          </w:tcPr>
          <w:p w14:paraId="5DC1D157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15 (71.4)</w:t>
            </w:r>
          </w:p>
        </w:tc>
      </w:tr>
      <w:tr w:rsidR="003F2B58" w:rsidRPr="003F2B58" w14:paraId="62DA023D" w14:textId="77777777" w:rsidTr="1A6B8F92">
        <w:tc>
          <w:tcPr>
            <w:tcW w:w="3712" w:type="pct"/>
          </w:tcPr>
          <w:p w14:paraId="72466DD4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Yes</w:t>
            </w:r>
          </w:p>
        </w:tc>
        <w:tc>
          <w:tcPr>
            <w:tcW w:w="1288" w:type="pct"/>
          </w:tcPr>
          <w:p w14:paraId="28C32E75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6 (28.6)</w:t>
            </w:r>
          </w:p>
        </w:tc>
      </w:tr>
      <w:tr w:rsidR="003F2B58" w:rsidRPr="003F2B58" w14:paraId="67D568B0" w14:textId="77777777" w:rsidTr="1A6B8F92">
        <w:tc>
          <w:tcPr>
            <w:tcW w:w="3712" w:type="pct"/>
          </w:tcPr>
          <w:p w14:paraId="6094BFCA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 xml:space="preserve">Primary </w:t>
            </w:r>
            <w:proofErr w:type="spellStart"/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tumor</w:t>
            </w:r>
            <w:proofErr w:type="spellEnd"/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 xml:space="preserve"> site, n (%)</w:t>
            </w:r>
          </w:p>
        </w:tc>
        <w:tc>
          <w:tcPr>
            <w:tcW w:w="1288" w:type="pct"/>
          </w:tcPr>
          <w:p w14:paraId="0B0C0982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</w:tr>
      <w:tr w:rsidR="003F2B58" w:rsidRPr="003F2B58" w14:paraId="29499106" w14:textId="77777777" w:rsidTr="1A6B8F92">
        <w:tc>
          <w:tcPr>
            <w:tcW w:w="3712" w:type="pct"/>
          </w:tcPr>
          <w:p w14:paraId="011E0514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Small intestine</w:t>
            </w:r>
          </w:p>
        </w:tc>
        <w:tc>
          <w:tcPr>
            <w:tcW w:w="1288" w:type="pct"/>
          </w:tcPr>
          <w:p w14:paraId="08471050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13 (61.9)</w:t>
            </w:r>
          </w:p>
        </w:tc>
      </w:tr>
      <w:tr w:rsidR="003F2B58" w:rsidRPr="003F2B58" w14:paraId="6086DA8A" w14:textId="77777777" w:rsidTr="1A6B8F92">
        <w:tc>
          <w:tcPr>
            <w:tcW w:w="3712" w:type="pct"/>
          </w:tcPr>
          <w:p w14:paraId="064D635B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Stomach</w:t>
            </w:r>
          </w:p>
        </w:tc>
        <w:tc>
          <w:tcPr>
            <w:tcW w:w="1288" w:type="pct"/>
          </w:tcPr>
          <w:p w14:paraId="505B7AE7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7 (33.3)</w:t>
            </w:r>
          </w:p>
        </w:tc>
      </w:tr>
      <w:tr w:rsidR="003F2B58" w:rsidRPr="003F2B58" w14:paraId="3F8886BC" w14:textId="77777777" w:rsidTr="1A6B8F92">
        <w:tc>
          <w:tcPr>
            <w:tcW w:w="3712" w:type="pct"/>
          </w:tcPr>
          <w:p w14:paraId="307ACC2E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Other</w:t>
            </w:r>
          </w:p>
        </w:tc>
        <w:tc>
          <w:tcPr>
            <w:tcW w:w="1288" w:type="pct"/>
          </w:tcPr>
          <w:p w14:paraId="4C1AE9CF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 (4.8)</w:t>
            </w:r>
          </w:p>
        </w:tc>
      </w:tr>
      <w:tr w:rsidR="003F2B58" w:rsidRPr="003F2B58" w14:paraId="50C94A04" w14:textId="77777777" w:rsidTr="1A6B8F92">
        <w:tc>
          <w:tcPr>
            <w:tcW w:w="3712" w:type="pct"/>
          </w:tcPr>
          <w:p w14:paraId="73A5C0A5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Metastases site, n (%)</w:t>
            </w:r>
          </w:p>
        </w:tc>
        <w:tc>
          <w:tcPr>
            <w:tcW w:w="1288" w:type="pct"/>
          </w:tcPr>
          <w:p w14:paraId="7DF8E72B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</w:tr>
      <w:tr w:rsidR="003F2B58" w:rsidRPr="003F2B58" w14:paraId="653ED257" w14:textId="77777777" w:rsidTr="1A6B8F92">
        <w:tc>
          <w:tcPr>
            <w:tcW w:w="3712" w:type="pct"/>
          </w:tcPr>
          <w:p w14:paraId="55295CC9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Liver</w:t>
            </w:r>
          </w:p>
        </w:tc>
        <w:tc>
          <w:tcPr>
            <w:tcW w:w="1288" w:type="pct"/>
          </w:tcPr>
          <w:p w14:paraId="64B740D3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12 (57.1)</w:t>
            </w:r>
          </w:p>
        </w:tc>
      </w:tr>
      <w:tr w:rsidR="003F2B58" w:rsidRPr="003F2B58" w14:paraId="1245DDDF" w14:textId="77777777" w:rsidTr="1A6B8F92">
        <w:tc>
          <w:tcPr>
            <w:tcW w:w="3712" w:type="pct"/>
          </w:tcPr>
          <w:p w14:paraId="36183ED4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Peritoneum</w:t>
            </w:r>
          </w:p>
        </w:tc>
        <w:tc>
          <w:tcPr>
            <w:tcW w:w="1288" w:type="pct"/>
          </w:tcPr>
          <w:p w14:paraId="3A3B5C04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16 (76.2)</w:t>
            </w:r>
          </w:p>
        </w:tc>
      </w:tr>
      <w:tr w:rsidR="003F2B58" w:rsidRPr="003F2B58" w14:paraId="4126CBEB" w14:textId="77777777" w:rsidTr="1A6B8F92">
        <w:tc>
          <w:tcPr>
            <w:tcW w:w="3712" w:type="pct"/>
          </w:tcPr>
          <w:p w14:paraId="1D5D7461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Surgery for primary disease, n (%)</w:t>
            </w:r>
          </w:p>
        </w:tc>
        <w:tc>
          <w:tcPr>
            <w:tcW w:w="1288" w:type="pct"/>
          </w:tcPr>
          <w:p w14:paraId="18243C37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17 (81.0)</w:t>
            </w:r>
          </w:p>
        </w:tc>
      </w:tr>
      <w:tr w:rsidR="003F2B58" w:rsidRPr="003F2B58" w14:paraId="47916C6F" w14:textId="77777777" w:rsidTr="1A6B8F92">
        <w:tc>
          <w:tcPr>
            <w:tcW w:w="3712" w:type="pct"/>
          </w:tcPr>
          <w:p w14:paraId="0869CA38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Therapy for advanced/metastatic disease, n (%)</w:t>
            </w:r>
          </w:p>
        </w:tc>
        <w:tc>
          <w:tcPr>
            <w:tcW w:w="1288" w:type="pct"/>
          </w:tcPr>
          <w:p w14:paraId="7FE9CE04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</w:tr>
      <w:tr w:rsidR="003F2B58" w:rsidRPr="003F2B58" w14:paraId="7DF8E20F" w14:textId="77777777" w:rsidTr="1A6B8F92">
        <w:tc>
          <w:tcPr>
            <w:tcW w:w="3712" w:type="pct"/>
          </w:tcPr>
          <w:p w14:paraId="30F9B744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Imatinib</w:t>
            </w:r>
          </w:p>
        </w:tc>
        <w:tc>
          <w:tcPr>
            <w:tcW w:w="1288" w:type="pct"/>
          </w:tcPr>
          <w:p w14:paraId="34E6312A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19 (90.5)</w:t>
            </w:r>
          </w:p>
        </w:tc>
      </w:tr>
      <w:tr w:rsidR="003F2B58" w:rsidRPr="003F2B58" w14:paraId="3F25FB4B" w14:textId="77777777" w:rsidTr="1A6B8F92">
        <w:tc>
          <w:tcPr>
            <w:tcW w:w="3712" w:type="pct"/>
          </w:tcPr>
          <w:p w14:paraId="5005566E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Sunitinib</w:t>
            </w:r>
          </w:p>
        </w:tc>
        <w:tc>
          <w:tcPr>
            <w:tcW w:w="1288" w:type="pct"/>
          </w:tcPr>
          <w:p w14:paraId="3DFD72B2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21 (100.0)</w:t>
            </w:r>
          </w:p>
        </w:tc>
      </w:tr>
      <w:tr w:rsidR="003F2B58" w:rsidRPr="003F2B58" w14:paraId="152AB427" w14:textId="77777777" w:rsidTr="1A6B8F92">
        <w:tc>
          <w:tcPr>
            <w:tcW w:w="3712" w:type="pct"/>
          </w:tcPr>
          <w:p w14:paraId="2F2643EA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Regorafenib</w:t>
            </w:r>
          </w:p>
        </w:tc>
        <w:tc>
          <w:tcPr>
            <w:tcW w:w="1288" w:type="pct"/>
          </w:tcPr>
          <w:p w14:paraId="570FD351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21 (100.0)</w:t>
            </w:r>
          </w:p>
        </w:tc>
      </w:tr>
      <w:tr w:rsidR="003F2B58" w:rsidRPr="003F2B58" w14:paraId="17EE2071" w14:textId="77777777" w:rsidTr="1A6B8F92">
        <w:tc>
          <w:tcPr>
            <w:tcW w:w="3712" w:type="pct"/>
          </w:tcPr>
          <w:p w14:paraId="224DFAF6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Other</w:t>
            </w:r>
          </w:p>
        </w:tc>
        <w:tc>
          <w:tcPr>
            <w:tcW w:w="1288" w:type="pct"/>
          </w:tcPr>
          <w:p w14:paraId="5F95FBEA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4 (19.0)</w:t>
            </w:r>
          </w:p>
        </w:tc>
      </w:tr>
      <w:tr w:rsidR="003F2B58" w:rsidRPr="003F2B58" w14:paraId="3D07C055" w14:textId="77777777" w:rsidTr="1A6B8F92">
        <w:tc>
          <w:tcPr>
            <w:tcW w:w="3712" w:type="pct"/>
          </w:tcPr>
          <w:p w14:paraId="255F6020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Number of prior systemic anticancer therapies, n (%)</w:t>
            </w:r>
          </w:p>
        </w:tc>
        <w:tc>
          <w:tcPr>
            <w:tcW w:w="1288" w:type="pct"/>
          </w:tcPr>
          <w:p w14:paraId="6E1BD6AE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</w:tr>
      <w:tr w:rsidR="003F2B58" w:rsidRPr="003F2B58" w14:paraId="074A2C0E" w14:textId="77777777" w:rsidTr="1A6B8F92">
        <w:tc>
          <w:tcPr>
            <w:tcW w:w="3712" w:type="pct"/>
          </w:tcPr>
          <w:p w14:paraId="6D6A3EBD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3</w:t>
            </w:r>
          </w:p>
        </w:tc>
        <w:tc>
          <w:tcPr>
            <w:tcW w:w="1288" w:type="pct"/>
          </w:tcPr>
          <w:p w14:paraId="339C1E7B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8 (38.1)</w:t>
            </w:r>
          </w:p>
        </w:tc>
      </w:tr>
      <w:tr w:rsidR="003F2B58" w:rsidRPr="003F2B58" w14:paraId="35A070FF" w14:textId="77777777" w:rsidTr="1A6B8F92">
        <w:tc>
          <w:tcPr>
            <w:tcW w:w="3712" w:type="pct"/>
          </w:tcPr>
          <w:p w14:paraId="4388C09F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4</w:t>
            </w:r>
          </w:p>
        </w:tc>
        <w:tc>
          <w:tcPr>
            <w:tcW w:w="1288" w:type="pct"/>
          </w:tcPr>
          <w:p w14:paraId="22947D87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7 (33.3)</w:t>
            </w:r>
          </w:p>
        </w:tc>
      </w:tr>
      <w:tr w:rsidR="003F2B58" w:rsidRPr="003F2B58" w14:paraId="64304EBD" w14:textId="77777777" w:rsidTr="1A6B8F92">
        <w:tc>
          <w:tcPr>
            <w:tcW w:w="3712" w:type="pct"/>
          </w:tcPr>
          <w:p w14:paraId="671BAF04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5</w:t>
            </w:r>
          </w:p>
        </w:tc>
        <w:tc>
          <w:tcPr>
            <w:tcW w:w="1288" w:type="pct"/>
          </w:tcPr>
          <w:p w14:paraId="66A85E23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4 (19.0)</w:t>
            </w:r>
          </w:p>
        </w:tc>
      </w:tr>
      <w:tr w:rsidR="003F2B58" w:rsidRPr="003F2B58" w14:paraId="55583A54" w14:textId="77777777" w:rsidTr="1A6B8F92">
        <w:tc>
          <w:tcPr>
            <w:tcW w:w="3712" w:type="pct"/>
          </w:tcPr>
          <w:p w14:paraId="2C498353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6</w:t>
            </w:r>
          </w:p>
        </w:tc>
        <w:tc>
          <w:tcPr>
            <w:tcW w:w="1288" w:type="pct"/>
          </w:tcPr>
          <w:p w14:paraId="7B6B102B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 (4.8)</w:t>
            </w:r>
          </w:p>
        </w:tc>
      </w:tr>
      <w:tr w:rsidR="003F2B58" w:rsidRPr="003F2B58" w14:paraId="28362044" w14:textId="77777777" w:rsidTr="1A6B8F92">
        <w:tc>
          <w:tcPr>
            <w:tcW w:w="3712" w:type="pct"/>
            <w:tcBorders>
              <w:bottom w:val="single" w:sz="4" w:space="0" w:color="auto"/>
            </w:tcBorders>
          </w:tcPr>
          <w:p w14:paraId="34C29A55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≥7</w:t>
            </w:r>
          </w:p>
        </w:tc>
        <w:tc>
          <w:tcPr>
            <w:tcW w:w="1288" w:type="pct"/>
            <w:tcBorders>
              <w:bottom w:val="single" w:sz="4" w:space="0" w:color="auto"/>
            </w:tcBorders>
          </w:tcPr>
          <w:p w14:paraId="3DB37256" w14:textId="77777777" w:rsidR="00460DD0" w:rsidRPr="003F2B58" w:rsidRDefault="00460DD0" w:rsidP="000E34A0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3F2B58">
              <w:rPr>
                <w:rFonts w:ascii="Times New Roman" w:hAnsi="Times New Roman" w:cs="Times New Roman"/>
                <w:color w:val="FF0000"/>
                <w:szCs w:val="20"/>
              </w:rPr>
              <w:t>1 (4.8)</w:t>
            </w:r>
          </w:p>
        </w:tc>
      </w:tr>
    </w:tbl>
    <w:p w14:paraId="790FD4EF" w14:textId="23AF69B6" w:rsidR="00460DD0" w:rsidRPr="003F2B58" w:rsidRDefault="4692EAE7" w:rsidP="00F94201">
      <w:pPr>
        <w:spacing w:before="220" w:beforeAutospacing="0" w:after="220" w:afterAutospacing="0" w:line="360" w:lineRule="auto"/>
        <w:rPr>
          <w:rFonts w:ascii="Times New Roman" w:eastAsia="Times New Roman" w:hAnsi="Times New Roman" w:cs="Times New Roman"/>
          <w:color w:val="FF0000"/>
          <w:sz w:val="20"/>
          <w:szCs w:val="20"/>
          <w:lang w:eastAsia="ja-JP"/>
        </w:rPr>
      </w:pPr>
      <w:r w:rsidRPr="003F2B58">
        <w:rPr>
          <w:rFonts w:ascii="Times New Roman" w:eastAsia="Times New Roman" w:hAnsi="Times New Roman" w:cs="Times New Roman"/>
          <w:color w:val="FF0000"/>
          <w:sz w:val="20"/>
          <w:szCs w:val="20"/>
          <w:lang w:eastAsia="ja-JP"/>
        </w:rPr>
        <w:t>ECOG, Eastern Cooperative Oncology Group; FAS, full analysis set</w:t>
      </w:r>
    </w:p>
    <w:p w14:paraId="5B3F8EA5" w14:textId="34E952E8" w:rsidR="00460DD0" w:rsidRPr="00460DD0" w:rsidRDefault="00460DD0" w:rsidP="00F94201">
      <w:pPr>
        <w:spacing w:line="276" w:lineRule="auto"/>
      </w:pPr>
    </w:p>
    <w:p w14:paraId="47A5BA39" w14:textId="3CE064AF" w:rsidR="00460DD0" w:rsidRPr="00460DD0" w:rsidRDefault="00460DD0" w:rsidP="00AC7F06">
      <w:pPr>
        <w:rPr>
          <w:rFonts w:ascii="Times New Roman" w:hAnsi="Times New Roman" w:cs="Times New Roman"/>
          <w:sz w:val="20"/>
          <w:szCs w:val="20"/>
          <w:lang w:eastAsia="ja-JP"/>
        </w:rPr>
      </w:pPr>
    </w:p>
    <w:p w14:paraId="5FA8FCB7" w14:textId="7DE7BC2A" w:rsidR="007C3FEE" w:rsidRPr="00AC7F06" w:rsidRDefault="007C3FEE" w:rsidP="007C3FEE">
      <w:pPr>
        <w:pStyle w:val="2"/>
        <w:rPr>
          <w:rFonts w:ascii="Times New Roman" w:eastAsia="Arial Unicode MS" w:hAnsi="Times New Roman" w:cs="Times New Roman"/>
          <w:vanish/>
          <w:sz w:val="20"/>
          <w:szCs w:val="20"/>
          <w:lang w:eastAsia="ja-JP"/>
        </w:rPr>
      </w:pPr>
      <w:r w:rsidRPr="00AC7F06">
        <w:rPr>
          <w:rFonts w:ascii="Times New Roman" w:eastAsia="Arial Unicode MS" w:hAnsi="Times New Roman" w:cs="Times New Roman"/>
          <w:sz w:val="20"/>
          <w:szCs w:val="20"/>
          <w:lang w:eastAsia="ja-JP"/>
        </w:rPr>
        <w:lastRenderedPageBreak/>
        <w:t xml:space="preserve">Supplementary Table </w:t>
      </w:r>
      <w:r w:rsidR="00460DD0" w:rsidRPr="003F2B58">
        <w:rPr>
          <w:rFonts w:ascii="Times New Roman" w:eastAsia="Arial Unicode MS" w:hAnsi="Times New Roman" w:cs="Times New Roman" w:hint="eastAsia"/>
          <w:color w:val="FF0000"/>
          <w:sz w:val="20"/>
          <w:szCs w:val="20"/>
          <w:lang w:eastAsia="ja-JP"/>
        </w:rPr>
        <w:t>2</w:t>
      </w:r>
      <w:r w:rsidRPr="00AC7F06">
        <w:rPr>
          <w:rFonts w:ascii="Times New Roman" w:eastAsia="Arial Unicode MS" w:hAnsi="Times New Roman" w:cs="Times New Roman"/>
          <w:sz w:val="20"/>
          <w:szCs w:val="20"/>
          <w:lang w:eastAsia="ja-JP"/>
        </w:rPr>
        <w:t xml:space="preserve"> </w:t>
      </w:r>
      <w:r w:rsidRPr="00AC7F06">
        <w:rPr>
          <w:rFonts w:ascii="Times New Roman" w:hAnsi="Times New Roman" w:cs="Times New Roman"/>
          <w:b w:val="0"/>
          <w:bCs w:val="0"/>
          <w:sz w:val="20"/>
          <w:szCs w:val="20"/>
        </w:rPr>
        <w:t>Progression-free survival subgroup analysis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1176"/>
        <w:gridCol w:w="4214"/>
      </w:tblGrid>
      <w:tr w:rsidR="007C3FEE" w:rsidRPr="00AC7F06" w14:paraId="40843EC3" w14:textId="77777777" w:rsidTr="00B750EB">
        <w:tc>
          <w:tcPr>
            <w:tcW w:w="2121" w:type="pct"/>
            <w:tcBorders>
              <w:top w:val="single" w:sz="4" w:space="0" w:color="auto"/>
              <w:bottom w:val="single" w:sz="4" w:space="0" w:color="auto"/>
            </w:tcBorders>
          </w:tcPr>
          <w:p w14:paraId="70F3E6D9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628" w:type="pct"/>
            <w:tcBorders>
              <w:top w:val="single" w:sz="4" w:space="0" w:color="auto"/>
              <w:bottom w:val="single" w:sz="4" w:space="0" w:color="auto"/>
            </w:tcBorders>
          </w:tcPr>
          <w:p w14:paraId="57EC0206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AC7F06">
              <w:rPr>
                <w:rFonts w:ascii="Times New Roman" w:hAnsi="Times New Roman" w:cs="Times New Roman"/>
                <w:b/>
                <w:bCs/>
                <w:szCs w:val="20"/>
              </w:rPr>
              <w:t>n</w:t>
            </w:r>
          </w:p>
        </w:tc>
        <w:tc>
          <w:tcPr>
            <w:tcW w:w="2251" w:type="pct"/>
            <w:tcBorders>
              <w:top w:val="single" w:sz="4" w:space="0" w:color="auto"/>
              <w:bottom w:val="single" w:sz="4" w:space="0" w:color="auto"/>
            </w:tcBorders>
          </w:tcPr>
          <w:p w14:paraId="14168F4D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AC7F06">
              <w:rPr>
                <w:rFonts w:ascii="Times New Roman" w:hAnsi="Times New Roman" w:cs="Times New Roman"/>
                <w:b/>
                <w:bCs/>
                <w:szCs w:val="20"/>
              </w:rPr>
              <w:t>PFS, median (95% CI)</w:t>
            </w:r>
          </w:p>
        </w:tc>
      </w:tr>
      <w:tr w:rsidR="007C3FEE" w:rsidRPr="00AC7F06" w14:paraId="7D9ED10F" w14:textId="77777777" w:rsidTr="00B750EB">
        <w:tc>
          <w:tcPr>
            <w:tcW w:w="2121" w:type="pct"/>
            <w:tcBorders>
              <w:top w:val="single" w:sz="4" w:space="0" w:color="auto"/>
            </w:tcBorders>
          </w:tcPr>
          <w:p w14:paraId="2C6884C0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ECOG performance status</w:t>
            </w:r>
          </w:p>
        </w:tc>
        <w:tc>
          <w:tcPr>
            <w:tcW w:w="628" w:type="pct"/>
            <w:tcBorders>
              <w:top w:val="single" w:sz="4" w:space="0" w:color="auto"/>
            </w:tcBorders>
          </w:tcPr>
          <w:p w14:paraId="40B97F49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51" w:type="pct"/>
            <w:tcBorders>
              <w:top w:val="single" w:sz="4" w:space="0" w:color="auto"/>
            </w:tcBorders>
          </w:tcPr>
          <w:p w14:paraId="2754DC94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C3FEE" w:rsidRPr="00AC7F06" w14:paraId="6A9F2206" w14:textId="77777777" w:rsidTr="00B750EB">
        <w:tc>
          <w:tcPr>
            <w:tcW w:w="2121" w:type="pct"/>
          </w:tcPr>
          <w:p w14:paraId="50C72E99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628" w:type="pct"/>
          </w:tcPr>
          <w:p w14:paraId="0453910E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2251" w:type="pct"/>
          </w:tcPr>
          <w:p w14:paraId="14F08807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3.7 (0.7–NC)</w:t>
            </w:r>
          </w:p>
        </w:tc>
      </w:tr>
      <w:tr w:rsidR="007C3FEE" w:rsidRPr="00AC7F06" w14:paraId="1E3D9022" w14:textId="77777777" w:rsidTr="00B750EB">
        <w:tc>
          <w:tcPr>
            <w:tcW w:w="2121" w:type="pct"/>
          </w:tcPr>
          <w:p w14:paraId="75E923D5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628" w:type="pct"/>
          </w:tcPr>
          <w:p w14:paraId="0C10928D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2251" w:type="pct"/>
          </w:tcPr>
          <w:p w14:paraId="72D2DB8C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4.2 (1.9–NC)</w:t>
            </w:r>
          </w:p>
        </w:tc>
      </w:tr>
      <w:tr w:rsidR="007C3FEE" w:rsidRPr="00AC7F06" w14:paraId="76029AA5" w14:textId="77777777" w:rsidTr="00B750EB">
        <w:tc>
          <w:tcPr>
            <w:tcW w:w="2121" w:type="pct"/>
          </w:tcPr>
          <w:p w14:paraId="3ACF2F02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Previous lines of anticancer therapy</w:t>
            </w:r>
          </w:p>
        </w:tc>
        <w:tc>
          <w:tcPr>
            <w:tcW w:w="628" w:type="pct"/>
          </w:tcPr>
          <w:p w14:paraId="394B4495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51" w:type="pct"/>
          </w:tcPr>
          <w:p w14:paraId="1792CE57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C3FEE" w:rsidRPr="00AC7F06" w14:paraId="72773800" w14:textId="77777777" w:rsidTr="00B750EB">
        <w:tc>
          <w:tcPr>
            <w:tcW w:w="2121" w:type="pct"/>
          </w:tcPr>
          <w:p w14:paraId="5CF3B13D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628" w:type="pct"/>
          </w:tcPr>
          <w:p w14:paraId="0BE35066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2251" w:type="pct"/>
          </w:tcPr>
          <w:p w14:paraId="2A90075D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3.7 (0.7–NC)</w:t>
            </w:r>
          </w:p>
        </w:tc>
      </w:tr>
      <w:tr w:rsidR="007C3FEE" w:rsidRPr="00AC7F06" w14:paraId="16CB665F" w14:textId="77777777" w:rsidTr="00B750EB">
        <w:tc>
          <w:tcPr>
            <w:tcW w:w="2121" w:type="pct"/>
          </w:tcPr>
          <w:p w14:paraId="62AC4133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≥4</w:t>
            </w:r>
          </w:p>
        </w:tc>
        <w:tc>
          <w:tcPr>
            <w:tcW w:w="628" w:type="pct"/>
          </w:tcPr>
          <w:p w14:paraId="054E1C45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13</w:t>
            </w:r>
          </w:p>
        </w:tc>
        <w:tc>
          <w:tcPr>
            <w:tcW w:w="2251" w:type="pct"/>
          </w:tcPr>
          <w:p w14:paraId="209F3545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4.2 (1.2–6.2)</w:t>
            </w:r>
          </w:p>
        </w:tc>
      </w:tr>
      <w:tr w:rsidR="007C3FEE" w:rsidRPr="00AC7F06" w14:paraId="0B7F1648" w14:textId="77777777" w:rsidTr="00B750EB">
        <w:tc>
          <w:tcPr>
            <w:tcW w:w="2121" w:type="pct"/>
          </w:tcPr>
          <w:p w14:paraId="1422F6DF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Age</w:t>
            </w:r>
          </w:p>
        </w:tc>
        <w:tc>
          <w:tcPr>
            <w:tcW w:w="628" w:type="pct"/>
          </w:tcPr>
          <w:p w14:paraId="1C6590DF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51" w:type="pct"/>
          </w:tcPr>
          <w:p w14:paraId="7F7375E7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C3FEE" w:rsidRPr="00AC7F06" w14:paraId="792B3AAA" w14:textId="77777777" w:rsidTr="00B750EB">
        <w:tc>
          <w:tcPr>
            <w:tcW w:w="2121" w:type="pct"/>
          </w:tcPr>
          <w:p w14:paraId="25868945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&lt;65 years</w:t>
            </w:r>
          </w:p>
        </w:tc>
        <w:tc>
          <w:tcPr>
            <w:tcW w:w="628" w:type="pct"/>
          </w:tcPr>
          <w:p w14:paraId="354CEFFD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2251" w:type="pct"/>
          </w:tcPr>
          <w:p w14:paraId="639F812B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4.2 (1.2–NC)</w:t>
            </w:r>
          </w:p>
        </w:tc>
      </w:tr>
      <w:tr w:rsidR="007C3FEE" w:rsidRPr="00AC7F06" w14:paraId="7C8AA997" w14:textId="77777777" w:rsidTr="00B750EB">
        <w:tc>
          <w:tcPr>
            <w:tcW w:w="2121" w:type="pct"/>
          </w:tcPr>
          <w:p w14:paraId="0A76891E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≥65 years</w:t>
            </w:r>
          </w:p>
        </w:tc>
        <w:tc>
          <w:tcPr>
            <w:tcW w:w="628" w:type="pct"/>
          </w:tcPr>
          <w:p w14:paraId="0076F308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2251" w:type="pct"/>
          </w:tcPr>
          <w:p w14:paraId="6E56370C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4.2 (1.0–NC)</w:t>
            </w:r>
          </w:p>
        </w:tc>
      </w:tr>
      <w:tr w:rsidR="007C3FEE" w:rsidRPr="00AC7F06" w14:paraId="701980ED" w14:textId="77777777" w:rsidTr="00B750EB">
        <w:tc>
          <w:tcPr>
            <w:tcW w:w="2121" w:type="pct"/>
          </w:tcPr>
          <w:p w14:paraId="6E98F053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Pimitespib dose reduction</w:t>
            </w:r>
          </w:p>
        </w:tc>
        <w:tc>
          <w:tcPr>
            <w:tcW w:w="628" w:type="pct"/>
          </w:tcPr>
          <w:p w14:paraId="7C48A4B2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51" w:type="pct"/>
          </w:tcPr>
          <w:p w14:paraId="09E34D4F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C3FEE" w:rsidRPr="00AC7F06" w14:paraId="5636445E" w14:textId="77777777" w:rsidTr="00B750EB">
        <w:tc>
          <w:tcPr>
            <w:tcW w:w="2121" w:type="pct"/>
          </w:tcPr>
          <w:p w14:paraId="1D73EAE7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Yes</w:t>
            </w:r>
          </w:p>
        </w:tc>
        <w:tc>
          <w:tcPr>
            <w:tcW w:w="628" w:type="pct"/>
          </w:tcPr>
          <w:p w14:paraId="03075B7D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2251" w:type="pct"/>
          </w:tcPr>
          <w:p w14:paraId="4C4D8D65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4.2 (1.9–NC)</w:t>
            </w:r>
          </w:p>
        </w:tc>
      </w:tr>
      <w:tr w:rsidR="007C3FEE" w:rsidRPr="00AC7F06" w14:paraId="1C103BDC" w14:textId="77777777" w:rsidTr="00B750EB">
        <w:tc>
          <w:tcPr>
            <w:tcW w:w="2121" w:type="pct"/>
            <w:tcBorders>
              <w:bottom w:val="single" w:sz="4" w:space="0" w:color="auto"/>
            </w:tcBorders>
          </w:tcPr>
          <w:p w14:paraId="7AE9B179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ind w:left="284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No</w:t>
            </w: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14:paraId="724A5B4D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15</w:t>
            </w:r>
          </w:p>
        </w:tc>
        <w:tc>
          <w:tcPr>
            <w:tcW w:w="2251" w:type="pct"/>
            <w:tcBorders>
              <w:bottom w:val="single" w:sz="4" w:space="0" w:color="auto"/>
            </w:tcBorders>
          </w:tcPr>
          <w:p w14:paraId="299D8BFD" w14:textId="77777777" w:rsidR="007C3FEE" w:rsidRPr="00AC7F06" w:rsidRDefault="007C3FEE" w:rsidP="00B750EB">
            <w:pPr>
              <w:widowControl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C7F06">
              <w:rPr>
                <w:rFonts w:ascii="Times New Roman" w:hAnsi="Times New Roman" w:cs="Times New Roman"/>
                <w:szCs w:val="20"/>
              </w:rPr>
              <w:t>4.2 (1.2–NC)</w:t>
            </w:r>
          </w:p>
        </w:tc>
      </w:tr>
    </w:tbl>
    <w:p w14:paraId="35D51D52" w14:textId="11FFBA78" w:rsidR="007C3FEE" w:rsidRPr="00AC7F06" w:rsidRDefault="007C3FEE" w:rsidP="007C3FEE">
      <w:pPr>
        <w:widowControl/>
        <w:spacing w:before="0" w:beforeAutospacing="0" w:after="0" w:afterAutospacing="0" w:line="360" w:lineRule="auto"/>
        <w:rPr>
          <w:rFonts w:ascii="Times New Roman" w:hAnsi="Times New Roman" w:cs="Times New Roman"/>
          <w:sz w:val="20"/>
          <w:szCs w:val="20"/>
        </w:rPr>
      </w:pPr>
      <w:r w:rsidRPr="00AC7F06">
        <w:rPr>
          <w:rFonts w:ascii="Times New Roman" w:hAnsi="Times New Roman" w:cs="Times New Roman"/>
          <w:sz w:val="20"/>
          <w:szCs w:val="20"/>
        </w:rPr>
        <w:t xml:space="preserve">CI, confidence interval; </w:t>
      </w:r>
      <w:r w:rsidR="00F30E52" w:rsidRPr="00AC7F06">
        <w:rPr>
          <w:rFonts w:ascii="Times New Roman" w:hAnsi="Times New Roman" w:cs="Times New Roman"/>
          <w:sz w:val="20"/>
          <w:szCs w:val="20"/>
        </w:rPr>
        <w:t xml:space="preserve">ECOG, Eastern Cooperative Oncology Group; </w:t>
      </w:r>
      <w:r w:rsidRPr="00AC7F06">
        <w:rPr>
          <w:rFonts w:ascii="Times New Roman" w:hAnsi="Times New Roman" w:cs="Times New Roman"/>
          <w:sz w:val="20"/>
          <w:szCs w:val="20"/>
        </w:rPr>
        <w:t>NC, not calculated; PFS, progression-free survival.</w:t>
      </w:r>
      <w:r w:rsidRPr="00AC7F06">
        <w:rPr>
          <w:rFonts w:ascii="Times New Roman" w:hAnsi="Times New Roman" w:cs="Times New Roman"/>
          <w:sz w:val="20"/>
          <w:szCs w:val="20"/>
        </w:rPr>
        <w:fldChar w:fldCharType="begin"/>
      </w:r>
      <w:r w:rsidRPr="00AC7F06">
        <w:rPr>
          <w:rFonts w:ascii="Times New Roman" w:hAnsi="Times New Roman" w:cs="Times New Roman"/>
          <w:sz w:val="20"/>
          <w:szCs w:val="20"/>
        </w:rPr>
        <w:instrText xml:space="preserve"> ADDIN </w:instrText>
      </w:r>
      <w:r w:rsidRPr="00AC7F06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F0587AB" w14:textId="77777777" w:rsidR="00AC6025" w:rsidRPr="00AC7F06" w:rsidRDefault="00AC6025">
      <w:pPr>
        <w:rPr>
          <w:rFonts w:ascii="Times New Roman" w:hAnsi="Times New Roman" w:cs="Times New Roman"/>
          <w:sz w:val="20"/>
          <w:szCs w:val="20"/>
        </w:rPr>
      </w:pPr>
    </w:p>
    <w:sectPr w:rsidR="00AC6025" w:rsidRPr="00AC7F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EF21EB" w14:textId="77777777" w:rsidR="00DF54BD" w:rsidRPr="002931D4" w:rsidRDefault="00DF54BD" w:rsidP="00EB7B07">
      <w:pPr>
        <w:spacing w:before="0" w:after="0" w:line="240" w:lineRule="auto"/>
      </w:pPr>
      <w:r w:rsidRPr="002931D4">
        <w:separator/>
      </w:r>
    </w:p>
  </w:endnote>
  <w:endnote w:type="continuationSeparator" w:id="0">
    <w:p w14:paraId="7E6C61A2" w14:textId="77777777" w:rsidR="00DF54BD" w:rsidRPr="002931D4" w:rsidRDefault="00DF54BD" w:rsidP="00EB7B07">
      <w:pPr>
        <w:spacing w:before="0" w:after="0" w:line="240" w:lineRule="auto"/>
      </w:pPr>
      <w:r w:rsidRPr="002931D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7905B5" w14:textId="77777777" w:rsidR="00DF54BD" w:rsidRPr="002931D4" w:rsidRDefault="00DF54BD" w:rsidP="00EB7B07">
      <w:pPr>
        <w:spacing w:before="0" w:after="0" w:line="240" w:lineRule="auto"/>
      </w:pPr>
      <w:r w:rsidRPr="002931D4">
        <w:separator/>
      </w:r>
    </w:p>
  </w:footnote>
  <w:footnote w:type="continuationSeparator" w:id="0">
    <w:p w14:paraId="75DCC2D9" w14:textId="77777777" w:rsidR="00DF54BD" w:rsidRPr="002931D4" w:rsidRDefault="00DF54BD" w:rsidP="00EB7B07">
      <w:pPr>
        <w:spacing w:before="0" w:after="0" w:line="240" w:lineRule="auto"/>
      </w:pPr>
      <w:r w:rsidRPr="002931D4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205502"/>
    <w:multiLevelType w:val="multilevel"/>
    <w:tmpl w:val="D1E4A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8457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oNotTrackFormatting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FEE"/>
    <w:rsid w:val="00000EF8"/>
    <w:rsid w:val="001906D9"/>
    <w:rsid w:val="001E1130"/>
    <w:rsid w:val="00202258"/>
    <w:rsid w:val="00207A11"/>
    <w:rsid w:val="002148A0"/>
    <w:rsid w:val="002931D4"/>
    <w:rsid w:val="002B5622"/>
    <w:rsid w:val="002E45D5"/>
    <w:rsid w:val="002E49D0"/>
    <w:rsid w:val="003F2B58"/>
    <w:rsid w:val="00430C4F"/>
    <w:rsid w:val="00460DD0"/>
    <w:rsid w:val="004E0F50"/>
    <w:rsid w:val="004F0002"/>
    <w:rsid w:val="005C16B8"/>
    <w:rsid w:val="005C6196"/>
    <w:rsid w:val="006F323D"/>
    <w:rsid w:val="0071557A"/>
    <w:rsid w:val="00744BAA"/>
    <w:rsid w:val="007B3767"/>
    <w:rsid w:val="007C3FEE"/>
    <w:rsid w:val="008247BA"/>
    <w:rsid w:val="00856DF7"/>
    <w:rsid w:val="00872D96"/>
    <w:rsid w:val="008D11B5"/>
    <w:rsid w:val="008E4933"/>
    <w:rsid w:val="009E071D"/>
    <w:rsid w:val="00AC0ED0"/>
    <w:rsid w:val="00AC22FD"/>
    <w:rsid w:val="00AC6025"/>
    <w:rsid w:val="00AC6E93"/>
    <w:rsid w:val="00AC7F06"/>
    <w:rsid w:val="00BA6E2D"/>
    <w:rsid w:val="00C43423"/>
    <w:rsid w:val="00C82BC9"/>
    <w:rsid w:val="00C870FA"/>
    <w:rsid w:val="00CF7276"/>
    <w:rsid w:val="00D13E58"/>
    <w:rsid w:val="00DA1198"/>
    <w:rsid w:val="00DF54BD"/>
    <w:rsid w:val="00E0439C"/>
    <w:rsid w:val="00E13C64"/>
    <w:rsid w:val="00EB7B07"/>
    <w:rsid w:val="00F30E52"/>
    <w:rsid w:val="00F54DDB"/>
    <w:rsid w:val="00F666C7"/>
    <w:rsid w:val="00F94201"/>
    <w:rsid w:val="00FF5E52"/>
    <w:rsid w:val="1A6B8F92"/>
    <w:rsid w:val="4692E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8DA73D"/>
  <w15:chartTrackingRefBased/>
  <w15:docId w15:val="{86E79EB2-7553-47E2-8B19-714CD71FA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3FEE"/>
    <w:pPr>
      <w:widowControl w:val="0"/>
      <w:spacing w:before="100" w:beforeAutospacing="1" w:after="100" w:afterAutospacing="1" w:line="480" w:lineRule="auto"/>
    </w:pPr>
    <w:rPr>
      <w:rFonts w:ascii="Calibri" w:hAnsi="Calibri" w:cs="Vrinda"/>
      <w:szCs w:val="24"/>
      <w:lang w:val="en-GB" w:eastAsia="ko-KR"/>
    </w:rPr>
  </w:style>
  <w:style w:type="paragraph" w:styleId="1">
    <w:name w:val="heading 1"/>
    <w:basedOn w:val="a"/>
    <w:next w:val="a"/>
    <w:link w:val="10"/>
    <w:qFormat/>
    <w:rsid w:val="007C3FEE"/>
    <w:pPr>
      <w:keepNext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7C3FEE"/>
    <w:pPr>
      <w:keepNext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7C3FEE"/>
    <w:rPr>
      <w:rFonts w:ascii="Calibri" w:hAnsi="Calibri" w:cs="Vrinda"/>
      <w:b/>
      <w:bCs/>
      <w:sz w:val="28"/>
      <w:szCs w:val="28"/>
      <w:lang w:val="en-GB" w:eastAsia="ko-KR"/>
    </w:rPr>
  </w:style>
  <w:style w:type="character" w:customStyle="1" w:styleId="20">
    <w:name w:val="見出し 2 (文字)"/>
    <w:basedOn w:val="a0"/>
    <w:link w:val="2"/>
    <w:rsid w:val="007C3FEE"/>
    <w:rPr>
      <w:rFonts w:ascii="Calibri" w:hAnsi="Calibri" w:cs="Vrinda"/>
      <w:b/>
      <w:bCs/>
      <w:szCs w:val="24"/>
      <w:lang w:eastAsia="ko-KR"/>
    </w:rPr>
  </w:style>
  <w:style w:type="table" w:styleId="a3">
    <w:name w:val="Table Grid"/>
    <w:basedOn w:val="a1"/>
    <w:uiPriority w:val="59"/>
    <w:rsid w:val="007C3FEE"/>
    <w:pPr>
      <w:widowControl w:val="0"/>
      <w:spacing w:after="240" w:line="240" w:lineRule="auto"/>
    </w:pPr>
    <w:rPr>
      <w:rFonts w:ascii="Times New Roman" w:hAnsi="Times New Roman" w:cs="Times New Roman"/>
      <w:sz w:val="20"/>
      <w:szCs w:val="20"/>
      <w:lang w:val="en-NZ"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DA1198"/>
    <w:pPr>
      <w:spacing w:after="0" w:line="240" w:lineRule="auto"/>
    </w:pPr>
    <w:rPr>
      <w:rFonts w:ascii="Calibri" w:hAnsi="Calibri" w:cs="Vrinda"/>
      <w:szCs w:val="24"/>
      <w:lang w:eastAsia="ko-KR"/>
    </w:rPr>
  </w:style>
  <w:style w:type="paragraph" w:styleId="a5">
    <w:name w:val="header"/>
    <w:basedOn w:val="a"/>
    <w:link w:val="a6"/>
    <w:uiPriority w:val="99"/>
    <w:unhideWhenUsed/>
    <w:rsid w:val="00EB7B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B7B07"/>
    <w:rPr>
      <w:rFonts w:ascii="Calibri" w:hAnsi="Calibri" w:cs="Vrinda"/>
      <w:szCs w:val="24"/>
      <w:lang w:eastAsia="ko-KR"/>
    </w:rPr>
  </w:style>
  <w:style w:type="paragraph" w:styleId="a7">
    <w:name w:val="footer"/>
    <w:basedOn w:val="a"/>
    <w:link w:val="a8"/>
    <w:uiPriority w:val="99"/>
    <w:unhideWhenUsed/>
    <w:rsid w:val="00EB7B0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B7B07"/>
    <w:rPr>
      <w:rFonts w:ascii="Calibri" w:hAnsi="Calibri" w:cs="Vrinda"/>
      <w:szCs w:val="24"/>
      <w:lang w:eastAsia="ko-KR"/>
    </w:rPr>
  </w:style>
  <w:style w:type="character" w:styleId="a9">
    <w:name w:val="annotation reference"/>
    <w:basedOn w:val="a0"/>
    <w:uiPriority w:val="99"/>
    <w:semiHidden/>
    <w:unhideWhenUsed/>
    <w:rsid w:val="00430C4F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430C4F"/>
  </w:style>
  <w:style w:type="character" w:customStyle="1" w:styleId="ab">
    <w:name w:val="コメント文字列 (文字)"/>
    <w:basedOn w:val="a0"/>
    <w:link w:val="aa"/>
    <w:uiPriority w:val="99"/>
    <w:rsid w:val="00430C4F"/>
    <w:rPr>
      <w:rFonts w:ascii="Calibri" w:hAnsi="Calibri" w:cs="Vrinda"/>
      <w:szCs w:val="24"/>
      <w:lang w:eastAsia="ko-KR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30C4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30C4F"/>
    <w:rPr>
      <w:rFonts w:ascii="Calibri" w:hAnsi="Calibri" w:cs="Vrinda"/>
      <w:b/>
      <w:bCs/>
      <w:szCs w:val="24"/>
      <w:lang w:eastAsia="ko-KR"/>
    </w:rPr>
  </w:style>
  <w:style w:type="paragraph" w:styleId="ae">
    <w:name w:val="Balloon Text"/>
    <w:basedOn w:val="a"/>
    <w:link w:val="af"/>
    <w:uiPriority w:val="99"/>
    <w:semiHidden/>
    <w:unhideWhenUsed/>
    <w:rsid w:val="00430C4F"/>
    <w:pPr>
      <w:spacing w:before="0"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30C4F"/>
    <w:rPr>
      <w:rFonts w:asciiTheme="majorHAnsi" w:eastAsiaTheme="majorEastAsia" w:hAnsiTheme="majorHAnsi" w:cstheme="majorBidi"/>
      <w:sz w:val="18"/>
      <w:szCs w:val="18"/>
      <w:lang w:eastAsia="ko-KR"/>
    </w:rPr>
  </w:style>
  <w:style w:type="character" w:customStyle="1" w:styleId="ui-provider">
    <w:name w:val="ui-provider"/>
    <w:basedOn w:val="a0"/>
    <w:rsid w:val="002B5622"/>
  </w:style>
  <w:style w:type="character" w:styleId="af0">
    <w:name w:val="Emphasis"/>
    <w:basedOn w:val="a0"/>
    <w:uiPriority w:val="20"/>
    <w:qFormat/>
    <w:rsid w:val="002B5622"/>
    <w:rPr>
      <w:i/>
      <w:iCs/>
    </w:rPr>
  </w:style>
  <w:style w:type="character" w:styleId="af1">
    <w:name w:val="Hyperlink"/>
    <w:basedOn w:val="a0"/>
    <w:uiPriority w:val="99"/>
    <w:unhideWhenUsed/>
    <w:rsid w:val="00E0439C"/>
    <w:rPr>
      <w:color w:val="0563C1" w:themeColor="hyperlink"/>
      <w:u w:val="single"/>
    </w:rPr>
  </w:style>
  <w:style w:type="character" w:customStyle="1" w:styleId="normaltextrun">
    <w:name w:val="normaltextrun"/>
    <w:basedOn w:val="a0"/>
    <w:rsid w:val="002E45D5"/>
  </w:style>
  <w:style w:type="character" w:customStyle="1" w:styleId="eop">
    <w:name w:val="eop"/>
    <w:basedOn w:val="a0"/>
    <w:rsid w:val="002E45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70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ynaito@east.ncc.go.jp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552212-8955-4162-b9ac-4e0eed2e472c">
      <Terms xmlns="http://schemas.microsoft.com/office/infopath/2007/PartnerControls"/>
    </lcf76f155ced4ddcb4097134ff3c332f>
    <_Flow_SignoffStatus xmlns="cc552212-8955-4162-b9ac-4e0eed2e472c" xsi:nil="true"/>
    <TaxCatchAll xmlns="d743b863-bd27-49ec-acc5-a080b37abde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BA6EBAA3523EE4EB973734A0FBC1593" ma:contentTypeVersion="14" ma:contentTypeDescription="新しいドキュメントを作成します。" ma:contentTypeScope="" ma:versionID="b2f7ac143186085101651728b797b7c0">
  <xsd:schema xmlns:xsd="http://www.w3.org/2001/XMLSchema" xmlns:xs="http://www.w3.org/2001/XMLSchema" xmlns:p="http://schemas.microsoft.com/office/2006/metadata/properties" xmlns:ns2="cc552212-8955-4162-b9ac-4e0eed2e472c" xmlns:ns3="d743b863-bd27-49ec-acc5-a080b37abde3" targetNamespace="http://schemas.microsoft.com/office/2006/metadata/properties" ma:root="true" ma:fieldsID="5ec8702c09c65a4a118eeccf3bfab2eb" ns2:_="" ns3:_="">
    <xsd:import namespace="cc552212-8955-4162-b9ac-4e0eed2e472c"/>
    <xsd:import namespace="d743b863-bd27-49ec-acc5-a080b37abd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552212-8955-4162-b9ac-4e0eed2e47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4fb58666-e629-4e5a-b780-b8dcc15b31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43b863-bd27-49ec-acc5-a080b37abde3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8301c288-df94-4354-904e-f7d8d91962dc}" ma:internalName="TaxCatchAll" ma:showField="CatchAllData" ma:web="d743b863-bd27-49ec-acc5-a080b37abd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4844C5-DA68-4FAB-A301-ED91D7C49EAB}">
  <ds:schemaRefs>
    <ds:schemaRef ds:uri="http://schemas.microsoft.com/office/2006/metadata/properties"/>
    <ds:schemaRef ds:uri="http://schemas.microsoft.com/office/infopath/2007/PartnerControls"/>
    <ds:schemaRef ds:uri="cc552212-8955-4162-b9ac-4e0eed2e472c"/>
    <ds:schemaRef ds:uri="d743b863-bd27-49ec-acc5-a080b37abde3"/>
  </ds:schemaRefs>
</ds:datastoreItem>
</file>

<file path=customXml/itemProps2.xml><?xml version="1.0" encoding="utf-8"?>
<ds:datastoreItem xmlns:ds="http://schemas.openxmlformats.org/officeDocument/2006/customXml" ds:itemID="{7B605CC3-A730-4263-A5DB-0A2B9999C45B}"/>
</file>

<file path=customXml/itemProps3.xml><?xml version="1.0" encoding="utf-8"?>
<ds:datastoreItem xmlns:ds="http://schemas.openxmlformats.org/officeDocument/2006/customXml" ds:itemID="{CD6B6DE2-FC31-4CF9-BB52-847E99DD517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Springer Healthcare</dc:creator>
  <cp:keywords/>
  <dc:description/>
  <cp:lastModifiedBy>Medical Writer (SA)</cp:lastModifiedBy>
  <cp:revision>4</cp:revision>
  <dcterms:created xsi:type="dcterms:W3CDTF">2024-12-18T22:48:00Z</dcterms:created>
  <dcterms:modified xsi:type="dcterms:W3CDTF">2024-12-19T05:18:00Z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0x010100BBA6EBAA3523EE4EB973734A0FBC1593</vt:lpwstr>
  </property>
  <property fmtid="{D5CDD505-2E9C-101B-9397-08002B2CF9AE}" pid="3" name="MediaServiceImageTags">
    <vt:lpwstr/>
  </property>
</Properties>
</file>