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335928">
      <w:pPr>
        <w:widowControl/>
        <w:jc w:val="center"/>
        <w:textAlignment w:val="center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 xml:space="preserve">Supplementary materials </w:t>
      </w:r>
    </w:p>
    <w:p w14:paraId="18847F18">
      <w:pPr>
        <w:widowControl/>
        <w:jc w:val="center"/>
        <w:textAlignment w:val="center"/>
        <w:rPr>
          <w:rFonts w:ascii="Times New Roman" w:hAnsi="Times New Roman" w:cs="Times New Roman"/>
        </w:rPr>
      </w:pPr>
    </w:p>
    <w:p w14:paraId="25DB3FBE">
      <w:pPr>
        <w:widowControl/>
        <w:jc w:val="center"/>
        <w:textAlignment w:val="center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Table 1 Primer sequences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4871"/>
      </w:tblGrid>
      <w:tr w14:paraId="7DF6A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797" w:type="dxa"/>
            <w:tcBorders>
              <w:left w:val="nil"/>
              <w:bottom w:val="single" w:color="auto" w:sz="4" w:space="0"/>
              <w:right w:val="nil"/>
            </w:tcBorders>
          </w:tcPr>
          <w:p w14:paraId="672933F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bookmarkStart w:id="0" w:name="OLE_LINK3"/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Primer</w:t>
            </w:r>
          </w:p>
        </w:tc>
        <w:tc>
          <w:tcPr>
            <w:tcW w:w="4871" w:type="dxa"/>
            <w:tcBorders>
              <w:left w:val="nil"/>
              <w:bottom w:val="single" w:color="auto" w:sz="4" w:space="0"/>
              <w:right w:val="nil"/>
            </w:tcBorders>
          </w:tcPr>
          <w:p w14:paraId="32BC543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Sequences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(5’-3’)</w:t>
            </w:r>
          </w:p>
        </w:tc>
      </w:tr>
      <w:tr w14:paraId="3BB06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C31BD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GAPDH</w:t>
            </w:r>
          </w:p>
          <w:p w14:paraId="2A102AF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494D75E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Forward  GGCATGGACTGTGGTCATGAG</w:t>
            </w:r>
          </w:p>
        </w:tc>
      </w:tr>
      <w:tr w14:paraId="3F07F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787BA28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3A17D30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Reverse  TGCACCACCAACTGCTTAGC</w:t>
            </w:r>
          </w:p>
        </w:tc>
      </w:tr>
      <w:tr w14:paraId="1B8BF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vMerge w:val="restart"/>
            <w:tcBorders>
              <w:top w:val="nil"/>
              <w:left w:val="nil"/>
              <w:right w:val="nil"/>
            </w:tcBorders>
          </w:tcPr>
          <w:p w14:paraId="305A7B6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CDK8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1A3C6F7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Forward  ACCTGTTTGAATACGAGGGCT</w:t>
            </w:r>
          </w:p>
        </w:tc>
      </w:tr>
      <w:tr w14:paraId="25FD5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vMerge w:val="continue"/>
            <w:tcBorders>
              <w:left w:val="nil"/>
              <w:bottom w:val="nil"/>
              <w:right w:val="nil"/>
            </w:tcBorders>
          </w:tcPr>
          <w:p w14:paraId="63FAE65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2B6392A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Reverse  TGCCGACATAGAGATCCCAGT</w:t>
            </w:r>
          </w:p>
        </w:tc>
      </w:tr>
      <w:tr w14:paraId="1EBD7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vMerge w:val="restart"/>
            <w:tcBorders>
              <w:top w:val="nil"/>
              <w:left w:val="nil"/>
              <w:right w:val="nil"/>
            </w:tcBorders>
          </w:tcPr>
          <w:p w14:paraId="039106F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CDK19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6DC44CA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Forward  GGATTTGTTTGAGTACGAAGGGT</w:t>
            </w:r>
          </w:p>
        </w:tc>
      </w:tr>
      <w:tr w14:paraId="54C7B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vMerge w:val="continue"/>
            <w:tcBorders>
              <w:left w:val="nil"/>
              <w:bottom w:val="nil"/>
              <w:right w:val="nil"/>
            </w:tcBorders>
          </w:tcPr>
          <w:p w14:paraId="662D7B3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79DE008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Reverse  CTACAAGCCGACATGGATATTCC</w:t>
            </w:r>
          </w:p>
        </w:tc>
      </w:tr>
      <w:tr w14:paraId="3BB9F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vMerge w:val="restart"/>
            <w:tcBorders>
              <w:top w:val="nil"/>
              <w:left w:val="nil"/>
              <w:right w:val="nil"/>
            </w:tcBorders>
          </w:tcPr>
          <w:p w14:paraId="0D49960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TGF-β1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5B0DCE8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Forward  GGCCAGATCCTGTCCAAGC</w:t>
            </w:r>
          </w:p>
        </w:tc>
      </w:tr>
      <w:tr w14:paraId="772EC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vMerge w:val="continue"/>
            <w:tcBorders>
              <w:left w:val="nil"/>
              <w:bottom w:val="nil"/>
              <w:right w:val="nil"/>
            </w:tcBorders>
          </w:tcPr>
          <w:p w14:paraId="6952D6E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2A0AB0D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Reverse  GTGGGTTTCCACCATTAGCAC</w:t>
            </w:r>
          </w:p>
        </w:tc>
      </w:tr>
      <w:tr w14:paraId="50CAA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vMerge w:val="restart"/>
            <w:tcBorders>
              <w:top w:val="nil"/>
              <w:left w:val="nil"/>
              <w:right w:val="nil"/>
            </w:tcBorders>
          </w:tcPr>
          <w:p w14:paraId="591E322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LPL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767710C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Forward  TCATTCCCGGAGTAGCAGAGT</w:t>
            </w:r>
          </w:p>
        </w:tc>
      </w:tr>
      <w:tr w14:paraId="71FFD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vMerge w:val="continue"/>
            <w:tcBorders>
              <w:left w:val="nil"/>
              <w:bottom w:val="nil"/>
              <w:right w:val="nil"/>
            </w:tcBorders>
          </w:tcPr>
          <w:p w14:paraId="0AB5F7A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01E9662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Reverse  GGCCACAAGTTTTGGCACC</w:t>
            </w:r>
          </w:p>
        </w:tc>
      </w:tr>
      <w:tr w14:paraId="11F23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vMerge w:val="restart"/>
            <w:tcBorders>
              <w:top w:val="nil"/>
              <w:left w:val="nil"/>
              <w:right w:val="nil"/>
            </w:tcBorders>
          </w:tcPr>
          <w:p w14:paraId="7E23B96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PPAR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γ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3B8C56F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Forward  ACCAAAGTGCAATCAAAGTGGA</w:t>
            </w:r>
          </w:p>
        </w:tc>
      </w:tr>
      <w:tr w14:paraId="50276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vMerge w:val="continue"/>
            <w:tcBorders>
              <w:left w:val="nil"/>
              <w:bottom w:val="nil"/>
              <w:right w:val="nil"/>
            </w:tcBorders>
          </w:tcPr>
          <w:p w14:paraId="157A89D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1907828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Reverse  ATGAGGGAGTTGGAAGGCTCT</w:t>
            </w:r>
          </w:p>
        </w:tc>
      </w:tr>
      <w:tr w14:paraId="216BB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vMerge w:val="restart"/>
            <w:tcBorders>
              <w:top w:val="nil"/>
              <w:left w:val="nil"/>
              <w:right w:val="nil"/>
            </w:tcBorders>
          </w:tcPr>
          <w:p w14:paraId="1351348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FABP4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2D57EEA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Forward  ACTGGGCCAGGAATTTGACG</w:t>
            </w:r>
          </w:p>
        </w:tc>
      </w:tr>
      <w:tr w14:paraId="310D5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vMerge w:val="continue"/>
            <w:tcBorders>
              <w:left w:val="nil"/>
              <w:bottom w:val="nil"/>
              <w:right w:val="nil"/>
            </w:tcBorders>
          </w:tcPr>
          <w:p w14:paraId="3BC92AC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2F7B879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Reverse  CTCGTGGAAGTGACGCCTT</w:t>
            </w:r>
          </w:p>
        </w:tc>
      </w:tr>
      <w:tr w14:paraId="483EA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vMerge w:val="restart"/>
            <w:tcBorders>
              <w:top w:val="nil"/>
              <w:left w:val="nil"/>
              <w:right w:val="nil"/>
            </w:tcBorders>
          </w:tcPr>
          <w:p w14:paraId="67D5BFA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ALP</w:t>
            </w:r>
          </w:p>
          <w:p w14:paraId="0E26118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657B5A2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Forward  AGCCCTTCACTGCCATCCTGT</w:t>
            </w:r>
          </w:p>
        </w:tc>
      </w:tr>
      <w:tr w14:paraId="52479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vMerge w:val="continue"/>
            <w:tcBorders>
              <w:left w:val="nil"/>
              <w:bottom w:val="nil"/>
              <w:right w:val="nil"/>
            </w:tcBorders>
          </w:tcPr>
          <w:p w14:paraId="25FB25E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2EE996B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Reverse  ATTCTCTCGTTCACCGCCAC</w:t>
            </w:r>
          </w:p>
        </w:tc>
      </w:tr>
      <w:tr w14:paraId="5B4AB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FE298E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OPN</w:t>
            </w:r>
          </w:p>
          <w:p w14:paraId="5311495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59382E0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Forward  CTCCATTGACTCGAACGACTC</w:t>
            </w:r>
          </w:p>
        </w:tc>
      </w:tr>
      <w:tr w14:paraId="7FA0E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5CD07A0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44E77C8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Reverse  CAGGTCTGCGAAACTTCTTAGAT</w:t>
            </w:r>
          </w:p>
        </w:tc>
      </w:tr>
      <w:tr w14:paraId="70320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vMerge w:val="restart"/>
            <w:tcBorders>
              <w:top w:val="nil"/>
              <w:left w:val="nil"/>
              <w:right w:val="nil"/>
            </w:tcBorders>
          </w:tcPr>
          <w:p w14:paraId="5B368ED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BMP2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571232C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Forward  TTCGGCCTGAAACAGAGACC</w:t>
            </w:r>
          </w:p>
        </w:tc>
      </w:tr>
      <w:tr w14:paraId="60C0E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vMerge w:val="continue"/>
            <w:tcBorders>
              <w:left w:val="nil"/>
              <w:bottom w:val="nil"/>
              <w:right w:val="nil"/>
            </w:tcBorders>
          </w:tcPr>
          <w:p w14:paraId="4AD726E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3AFB964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Reverse  CCTGAGTGCCTGCGATACAG</w:t>
            </w:r>
          </w:p>
        </w:tc>
      </w:tr>
      <w:tr w14:paraId="6E280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vMerge w:val="restart"/>
            <w:tcBorders>
              <w:top w:val="nil"/>
              <w:left w:val="nil"/>
              <w:right w:val="nil"/>
            </w:tcBorders>
          </w:tcPr>
          <w:p w14:paraId="62F8D04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SP7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7E5A6D8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Forward  CCTCTGCGGGACTCAACAAC</w:t>
            </w:r>
          </w:p>
        </w:tc>
      </w:tr>
      <w:tr w14:paraId="3A0A1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vMerge w:val="continue"/>
            <w:tcBorders>
              <w:left w:val="nil"/>
              <w:bottom w:val="nil"/>
              <w:right w:val="nil"/>
            </w:tcBorders>
          </w:tcPr>
          <w:p w14:paraId="1076EAC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3D1A6E6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Reverse  AGCCCATTAGTGCTTGTAAAGG</w:t>
            </w:r>
          </w:p>
        </w:tc>
      </w:tr>
      <w:tr w14:paraId="4CC9E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vMerge w:val="restart"/>
            <w:tcBorders>
              <w:top w:val="nil"/>
              <w:left w:val="nil"/>
              <w:right w:val="nil"/>
            </w:tcBorders>
          </w:tcPr>
          <w:p w14:paraId="2FB4C30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BMP4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44AA1A9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Forward  ATGATTCCTGGTAACCGAATGC</w:t>
            </w:r>
          </w:p>
        </w:tc>
      </w:tr>
      <w:tr w14:paraId="2BE73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vMerge w:val="continue"/>
            <w:tcBorders>
              <w:left w:val="nil"/>
              <w:bottom w:val="nil"/>
              <w:right w:val="nil"/>
            </w:tcBorders>
          </w:tcPr>
          <w:p w14:paraId="7821C46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4278B5E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Reverse  CCCCGTCTCAGGTATCAAACT</w:t>
            </w:r>
          </w:p>
        </w:tc>
      </w:tr>
      <w:tr w14:paraId="6EA07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11A34E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XIAP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456C811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Forward  AATAGTGCCACGCAGTCTACA</w:t>
            </w:r>
          </w:p>
        </w:tc>
      </w:tr>
      <w:tr w14:paraId="54DC1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1C5ECFB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7C549B7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Reverse  CAGATGGCCTGTCTAAGGCAA</w:t>
            </w:r>
          </w:p>
        </w:tc>
      </w:tr>
      <w:tr w14:paraId="56D0A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1B1FF10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CXCL10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336F7B0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Forward  GTGGCATTCAAGGAGTACCTC</w:t>
            </w:r>
          </w:p>
        </w:tc>
      </w:tr>
      <w:tr w14:paraId="781D6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1CC4141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2942860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Reverse  TGATGGCCTTCGATTCTGGATT</w:t>
            </w:r>
          </w:p>
        </w:tc>
      </w:tr>
      <w:tr w14:paraId="5717C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1BA6728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IKKε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5B834C6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Forward  TGCCTGAGGATGAGTTCCTG</w:t>
            </w:r>
          </w:p>
        </w:tc>
      </w:tr>
      <w:tr w14:paraId="3E1BF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462F418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1DF0E8B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Reverse  CGATGCACAATGCCGTTCT</w:t>
            </w:r>
          </w:p>
        </w:tc>
      </w:tr>
      <w:tr w14:paraId="29859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520674E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NF-κB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5CBF149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Forward  AACAGAGAGGATTTCGTTTCCG</w:t>
            </w:r>
          </w:p>
        </w:tc>
      </w:tr>
      <w:tr w14:paraId="443FD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05CFDF7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12BBA89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Reverse  TTTGACCTGAGGGTAAGACTTCT</w:t>
            </w:r>
          </w:p>
        </w:tc>
      </w:tr>
      <w:tr w14:paraId="17424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605E246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RIG-I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16A6C78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Forward  CTGGACCCTACCTACATCCTG</w:t>
            </w:r>
          </w:p>
        </w:tc>
      </w:tr>
      <w:tr w14:paraId="336C1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63C60E2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4019A8C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Reverse  GGCATCCAAAAAGCCACGG</w:t>
            </w:r>
          </w:p>
        </w:tc>
      </w:tr>
      <w:tr w14:paraId="3A1A9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5587940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MDA5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4D470F1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Forward  TCGAATGGGTATTCCACAGACG</w:t>
            </w:r>
          </w:p>
        </w:tc>
      </w:tr>
      <w:tr w14:paraId="1F3D8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28E49AD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6516300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Reverse  GTGGCGACTGTCCTCTGAA</w:t>
            </w:r>
          </w:p>
        </w:tc>
      </w:tr>
      <w:tr w14:paraId="749C3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1662EBF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ISG15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6C041B6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Forward  CGCAGATCACCCAGAAGATCG</w:t>
            </w:r>
          </w:p>
        </w:tc>
      </w:tr>
      <w:tr w14:paraId="28205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29070C5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0E71358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Reverse  TTCGTCGCATTTGTCCACCA</w:t>
            </w:r>
          </w:p>
        </w:tc>
      </w:tr>
      <w:tr w14:paraId="67A0E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7C55EDD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IRF7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07912E1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Forward  GCTGGACGTGACCATCATGTA</w:t>
            </w:r>
          </w:p>
        </w:tc>
      </w:tr>
      <w:tr w14:paraId="42B96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238CE9E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6FF5C5F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Reverse  GGGCCGTATAGGAACGTGC</w:t>
            </w:r>
          </w:p>
        </w:tc>
      </w:tr>
      <w:tr w14:paraId="3B85A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5D875DC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ZNFX1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2D26909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Forward  AAATCAGGCCAATAACCCACC</w:t>
            </w:r>
          </w:p>
        </w:tc>
      </w:tr>
      <w:tr w14:paraId="66183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09C66F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B26445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Reverse  GGCCCTAAATCTCTCTTCCCT</w:t>
            </w:r>
          </w:p>
        </w:tc>
      </w:tr>
      <w:bookmarkEnd w:id="0"/>
    </w:tbl>
    <w:tbl>
      <w:tblPr>
        <w:tblStyle w:val="5"/>
        <w:tblpPr w:leftFromText="180" w:rightFromText="180" w:vertAnchor="page" w:horzAnchor="page" w:tblpX="1677" w:tblpY="3051"/>
        <w:tblOverlap w:val="never"/>
        <w:tblW w:w="8608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1932"/>
        <w:gridCol w:w="2565"/>
        <w:gridCol w:w="1964"/>
      </w:tblGrid>
      <w:tr w14:paraId="5DCDF2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147" w:type="dxa"/>
            <w:tcBorders>
              <w:tl2br w:val="single" w:color="auto" w:sz="4" w:space="0"/>
            </w:tcBorders>
          </w:tcPr>
          <w:p w14:paraId="6966F57E">
            <w:pPr>
              <w:jc w:val="righ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Categories</w:t>
            </w:r>
          </w:p>
          <w:p w14:paraId="3313CCA1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Target n</w:t>
            </w:r>
            <w:r>
              <w:rPr>
                <w:rFonts w:ascii="Times New Roman" w:hAnsi="Times New Roman" w:eastAsia="宋体" w:cs="Times New Roman"/>
                <w:szCs w:val="21"/>
              </w:rPr>
              <w:t>ame</w:t>
            </w:r>
          </w:p>
        </w:tc>
        <w:tc>
          <w:tcPr>
            <w:tcW w:w="1932" w:type="dxa"/>
          </w:tcPr>
          <w:p w14:paraId="7B9CE343">
            <w:pPr>
              <w:jc w:val="center"/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Gene ID (</w:t>
            </w:r>
            <w:r>
              <w:rPr>
                <w:rFonts w:hint="eastAsia" w:ascii="Times New Roman" w:hAnsi="Times New Roman" w:eastAsia="宋体" w:cs="Times New Roman"/>
                <w:szCs w:val="21"/>
                <w:shd w:val="clear" w:color="auto" w:fill="FFFFFF"/>
              </w:rPr>
              <w:t xml:space="preserve">in </w:t>
            </w: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NCBI)</w:t>
            </w:r>
          </w:p>
        </w:tc>
        <w:tc>
          <w:tcPr>
            <w:tcW w:w="2565" w:type="dxa"/>
          </w:tcPr>
          <w:p w14:paraId="75F411D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Protein retrieval mode</w:t>
            </w:r>
          </w:p>
        </w:tc>
        <w:tc>
          <w:tcPr>
            <w:tcW w:w="1964" w:type="dxa"/>
          </w:tcPr>
          <w:p w14:paraId="36B3933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Binding energy</w:t>
            </w:r>
          </w:p>
          <w:p w14:paraId="7E82253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(kcal/mol)</w:t>
            </w:r>
          </w:p>
        </w:tc>
      </w:tr>
      <w:tr w14:paraId="35E117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147" w:type="dxa"/>
            <w:tcBorders>
              <w:bottom w:val="nil"/>
            </w:tcBorders>
          </w:tcPr>
          <w:p w14:paraId="6FC3B9E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CDK8</w:t>
            </w:r>
          </w:p>
        </w:tc>
        <w:tc>
          <w:tcPr>
            <w:tcW w:w="1932" w:type="dxa"/>
            <w:tcBorders>
              <w:bottom w:val="nil"/>
            </w:tcBorders>
          </w:tcPr>
          <w:p w14:paraId="2F79493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1024</w:t>
            </w:r>
          </w:p>
        </w:tc>
        <w:tc>
          <w:tcPr>
            <w:tcW w:w="2565" w:type="dxa"/>
            <w:tcBorders>
              <w:bottom w:val="nil"/>
            </w:tcBorders>
          </w:tcPr>
          <w:p w14:paraId="0E32C7A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4F6U (PDB)</w:t>
            </w:r>
          </w:p>
        </w:tc>
        <w:tc>
          <w:tcPr>
            <w:tcW w:w="1964" w:type="dxa"/>
            <w:tcBorders>
              <w:bottom w:val="nil"/>
            </w:tcBorders>
          </w:tcPr>
          <w:p w14:paraId="73F81D1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-8</w:t>
            </w:r>
          </w:p>
        </w:tc>
      </w:tr>
      <w:tr w14:paraId="1DEBEB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147" w:type="dxa"/>
            <w:tcBorders>
              <w:top w:val="nil"/>
              <w:bottom w:val="nil"/>
            </w:tcBorders>
          </w:tcPr>
          <w:p w14:paraId="15D683A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CDK19</w:t>
            </w:r>
          </w:p>
        </w:tc>
        <w:tc>
          <w:tcPr>
            <w:tcW w:w="1932" w:type="dxa"/>
            <w:tcBorders>
              <w:top w:val="nil"/>
              <w:bottom w:val="nil"/>
            </w:tcBorders>
          </w:tcPr>
          <w:p w14:paraId="3B97C1A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23097</w:t>
            </w: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0EA0EAC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Q9BWU1 (UniProtKB)</w:t>
            </w:r>
          </w:p>
        </w:tc>
        <w:tc>
          <w:tcPr>
            <w:tcW w:w="1964" w:type="dxa"/>
            <w:tcBorders>
              <w:top w:val="nil"/>
              <w:bottom w:val="nil"/>
            </w:tcBorders>
          </w:tcPr>
          <w:p w14:paraId="2E85F9D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-9.4</w:t>
            </w:r>
          </w:p>
        </w:tc>
      </w:tr>
      <w:tr w14:paraId="356E2A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147" w:type="dxa"/>
            <w:tcBorders>
              <w:top w:val="nil"/>
              <w:bottom w:val="nil"/>
            </w:tcBorders>
          </w:tcPr>
          <w:p w14:paraId="3EF0EF8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RIG-I (or DDX58)</w:t>
            </w:r>
          </w:p>
        </w:tc>
        <w:tc>
          <w:tcPr>
            <w:tcW w:w="1932" w:type="dxa"/>
            <w:tcBorders>
              <w:top w:val="nil"/>
              <w:bottom w:val="nil"/>
            </w:tcBorders>
          </w:tcPr>
          <w:p w14:paraId="3B32640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23586</w:t>
            </w: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721D040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3LRR (PDB)</w:t>
            </w:r>
          </w:p>
        </w:tc>
        <w:tc>
          <w:tcPr>
            <w:tcW w:w="1964" w:type="dxa"/>
            <w:tcBorders>
              <w:top w:val="nil"/>
              <w:bottom w:val="nil"/>
            </w:tcBorders>
          </w:tcPr>
          <w:p w14:paraId="7D6543E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-7.7</w:t>
            </w:r>
          </w:p>
        </w:tc>
      </w:tr>
      <w:tr w14:paraId="29893C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147" w:type="dxa"/>
            <w:tcBorders>
              <w:top w:val="nil"/>
              <w:bottom w:val="nil"/>
            </w:tcBorders>
          </w:tcPr>
          <w:p w14:paraId="658F6D4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ISG15</w:t>
            </w:r>
          </w:p>
        </w:tc>
        <w:tc>
          <w:tcPr>
            <w:tcW w:w="1932" w:type="dxa"/>
            <w:tcBorders>
              <w:top w:val="nil"/>
              <w:bottom w:val="nil"/>
            </w:tcBorders>
          </w:tcPr>
          <w:p w14:paraId="22EE6EFB">
            <w:pPr>
              <w:jc w:val="center"/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9636</w:t>
            </w: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1DE1545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3PHX (PDB)</w:t>
            </w:r>
          </w:p>
        </w:tc>
        <w:tc>
          <w:tcPr>
            <w:tcW w:w="1964" w:type="dxa"/>
            <w:tcBorders>
              <w:top w:val="nil"/>
              <w:bottom w:val="nil"/>
            </w:tcBorders>
          </w:tcPr>
          <w:p w14:paraId="08301EC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-7.7</w:t>
            </w:r>
          </w:p>
        </w:tc>
      </w:tr>
      <w:tr w14:paraId="71951F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147" w:type="dxa"/>
            <w:tcBorders>
              <w:top w:val="nil"/>
            </w:tcBorders>
          </w:tcPr>
          <w:p w14:paraId="0320798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MDA5 </w:t>
            </w:r>
            <w:r>
              <w:rPr>
                <w:rFonts w:ascii="Times New Roman" w:hAnsi="Times New Roman" w:eastAsia="宋体" w:cs="Times New Roman"/>
                <w:szCs w:val="21"/>
              </w:rPr>
              <w:t>(or IFIH1)</w:t>
            </w:r>
          </w:p>
        </w:tc>
        <w:tc>
          <w:tcPr>
            <w:tcW w:w="1932" w:type="dxa"/>
            <w:tcBorders>
              <w:top w:val="nil"/>
            </w:tcBorders>
          </w:tcPr>
          <w:p w14:paraId="111915C2">
            <w:pPr>
              <w:jc w:val="center"/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64135</w:t>
            </w:r>
          </w:p>
        </w:tc>
        <w:tc>
          <w:tcPr>
            <w:tcW w:w="2565" w:type="dxa"/>
            <w:tcBorders>
              <w:top w:val="nil"/>
            </w:tcBorders>
          </w:tcPr>
          <w:p w14:paraId="428058C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3GA3 (PDB)</w:t>
            </w:r>
          </w:p>
        </w:tc>
        <w:tc>
          <w:tcPr>
            <w:tcW w:w="1964" w:type="dxa"/>
            <w:tcBorders>
              <w:top w:val="nil"/>
            </w:tcBorders>
          </w:tcPr>
          <w:p w14:paraId="4EF633D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-7.5</w:t>
            </w:r>
          </w:p>
        </w:tc>
      </w:tr>
    </w:tbl>
    <w:p w14:paraId="3E4B6984">
      <w:pPr>
        <w:jc w:val="center"/>
        <w:rPr>
          <w:rFonts w:ascii="Times New Roman" w:hAnsi="Times New Roman" w:eastAsia="宋体" w:cs="Times New Roman"/>
          <w:szCs w:val="21"/>
        </w:rPr>
      </w:pPr>
    </w:p>
    <w:p w14:paraId="4951108C">
      <w:pPr>
        <w:jc w:val="center"/>
        <w:rPr>
          <w:rFonts w:hint="eastAsia"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 xml:space="preserve">Table </w:t>
      </w:r>
      <w:r>
        <w:rPr>
          <w:rFonts w:hint="eastAsia" w:ascii="Times New Roman" w:hAnsi="Times New Roman" w:eastAsia="宋体" w:cs="Times New Roman"/>
          <w:szCs w:val="21"/>
        </w:rPr>
        <w:t>2</w:t>
      </w:r>
      <w:r>
        <w:rPr>
          <w:rFonts w:ascii="Times New Roman" w:hAnsi="Times New Roman" w:eastAsia="宋体" w:cs="Times New Roman"/>
          <w:szCs w:val="21"/>
        </w:rPr>
        <w:t xml:space="preserve"> Core target information and binding energy</w:t>
      </w:r>
    </w:p>
    <w:p w14:paraId="6F3CEA4F">
      <w:pPr>
        <w:rPr>
          <w:rFonts w:hint="eastAsia" w:ascii="Times New Roman" w:hAnsi="Times New Roman" w:eastAsia="宋体" w:cs="Times New Roman"/>
          <w:szCs w:val="21"/>
        </w:rPr>
      </w:pPr>
    </w:p>
    <w:p w14:paraId="0EF5CC9E">
      <w:pPr>
        <w:rPr>
          <w:rFonts w:hint="eastAsia" w:ascii="Times New Roman" w:hAnsi="Times New Roman" w:eastAsia="宋体" w:cs="Times New Roman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zCs w:val="21"/>
          <w:lang w:eastAsia="zh-CN"/>
        </w:rPr>
        <w:drawing>
          <wp:inline distT="0" distB="0" distL="114300" distR="114300">
            <wp:extent cx="5271135" cy="4305935"/>
            <wp:effectExtent l="0" t="0" r="5715" b="18415"/>
            <wp:docPr id="3" name="图片 3" descr="SF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F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30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77CE1">
      <w:pPr>
        <w:widowControl/>
        <w:jc w:val="center"/>
        <w:rPr>
          <w:rFonts w:hint="eastAsia" w:ascii="Times New Roman" w:hAnsi="Times New Roman" w:eastAsia="宋体" w:cs="Times New Roman"/>
          <w:color w:val="1A171B"/>
          <w:kern w:val="0"/>
          <w:szCs w:val="21"/>
          <w:lang w:val="en-US" w:eastAsia="zh-CN" w:bidi="ar"/>
        </w:rPr>
      </w:pPr>
      <w:r>
        <w:rPr>
          <w:rFonts w:ascii="Times New Roman" w:hAnsi="Times New Roman" w:eastAsia="宋体" w:cs="Times New Roman"/>
          <w:color w:val="1A171B"/>
          <w:kern w:val="0"/>
          <w:szCs w:val="21"/>
          <w:lang w:bidi="ar"/>
        </w:rPr>
        <w:t>Fig</w:t>
      </w:r>
      <w:r>
        <w:rPr>
          <w:rFonts w:hint="eastAsia" w:ascii="Times New Roman" w:hAnsi="Times New Roman" w:eastAsia="宋体" w:cs="Times New Roman"/>
          <w:color w:val="1A171B"/>
          <w:kern w:val="0"/>
          <w:szCs w:val="21"/>
          <w:lang w:bidi="ar"/>
        </w:rPr>
        <w:t>ure</w:t>
      </w:r>
      <w:r>
        <w:rPr>
          <w:rFonts w:ascii="Times New Roman" w:hAnsi="Times New Roman" w:eastAsia="宋体" w:cs="Times New Roman"/>
          <w:color w:val="1A171B"/>
          <w:kern w:val="0"/>
          <w:szCs w:val="21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1A171B"/>
          <w:kern w:val="0"/>
          <w:szCs w:val="21"/>
          <w:lang w:bidi="ar"/>
        </w:rPr>
        <w:t>1</w:t>
      </w:r>
      <w:r>
        <w:rPr>
          <w:rFonts w:ascii="Times New Roman" w:hAnsi="Times New Roman" w:eastAsia="宋体" w:cs="Times New Roman"/>
          <w:color w:val="1A171B"/>
          <w:kern w:val="0"/>
          <w:szCs w:val="21"/>
          <w:lang w:bidi="ar"/>
        </w:rPr>
        <w:t>. Effects of AS and BMP2</w:t>
      </w:r>
      <w:r>
        <w:rPr>
          <w:rFonts w:hint="eastAsia" w:ascii="Times New Roman" w:hAnsi="Times New Roman" w:eastAsia="宋体" w:cs="Times New Roman"/>
          <w:color w:val="1A171B"/>
          <w:kern w:val="0"/>
          <w:szCs w:val="21"/>
          <w:lang w:bidi="ar"/>
        </w:rPr>
        <w:t xml:space="preserve"> on</w:t>
      </w:r>
      <w:r>
        <w:rPr>
          <w:rFonts w:ascii="Times New Roman" w:hAnsi="Times New Roman" w:eastAsia="宋体" w:cs="Times New Roman"/>
          <w:color w:val="1A171B"/>
          <w:kern w:val="0"/>
          <w:szCs w:val="21"/>
          <w:lang w:bidi="ar"/>
        </w:rPr>
        <w:t xml:space="preserve"> the osteogenic potential of</w:t>
      </w:r>
      <w:r>
        <w:rPr>
          <w:rFonts w:hint="eastAsia" w:ascii="Times New Roman" w:hAnsi="Times New Roman" w:eastAsia="宋体" w:cs="Times New Roman"/>
          <w:color w:val="1A171B"/>
          <w:kern w:val="0"/>
          <w:szCs w:val="21"/>
          <w:lang w:bidi="ar"/>
        </w:rPr>
        <w:t xml:space="preserve"> </w:t>
      </w:r>
      <w:r>
        <w:rPr>
          <w:rFonts w:ascii="Times New Roman" w:hAnsi="Times New Roman" w:eastAsia="宋体" w:cs="Times New Roman"/>
          <w:color w:val="1A171B"/>
          <w:kern w:val="0"/>
          <w:szCs w:val="21"/>
          <w:lang w:bidi="ar"/>
        </w:rPr>
        <w:t xml:space="preserve">PDLSCs. (A) PDLSCs were cultured in osteogenic induction medium with varying concentrations of AS for 7 days, and images of ALP activity staining were acquired using a scanner and microscope (Scale bar = 100 µm). (B) After culturing PDLSCs in osteogenic induction medium containing 200 ng/mL rhBMP2 for 7 days, images of ALP activity staining were obtained using a scanner and microscope (Scale bar = 100 µm). (C) Images of mineralized nodules stained with </w:t>
      </w:r>
      <w:r>
        <w:rPr>
          <w:rFonts w:hint="eastAsia" w:ascii="Times New Roman" w:hAnsi="Times New Roman" w:eastAsia="宋体" w:cs="Times New Roman"/>
          <w:color w:val="1A171B"/>
          <w:kern w:val="0"/>
          <w:szCs w:val="21"/>
          <w:lang w:bidi="ar"/>
        </w:rPr>
        <w:t>ARS</w:t>
      </w:r>
      <w:r>
        <w:rPr>
          <w:rFonts w:ascii="Times New Roman" w:hAnsi="Times New Roman" w:eastAsia="宋体" w:cs="Times New Roman"/>
          <w:color w:val="1A171B"/>
          <w:kern w:val="0"/>
          <w:szCs w:val="21"/>
          <w:lang w:bidi="ar"/>
        </w:rPr>
        <w:t xml:space="preserve"> were acquired using a scanner and microscope after culturing PDLSCs in osteogenic induction medium containing 200 ng/mL rhBMP2 for 1</w:t>
      </w:r>
      <w:r>
        <w:rPr>
          <w:rFonts w:hint="eastAsia" w:ascii="Times New Roman" w:hAnsi="Times New Roman" w:eastAsia="宋体" w:cs="Times New Roman"/>
          <w:color w:val="1A171B"/>
          <w:kern w:val="0"/>
          <w:szCs w:val="21"/>
          <w:lang w:bidi="ar"/>
        </w:rPr>
        <w:t>2</w:t>
      </w:r>
      <w:r>
        <w:rPr>
          <w:rFonts w:ascii="Times New Roman" w:hAnsi="Times New Roman" w:eastAsia="宋体" w:cs="Times New Roman"/>
          <w:color w:val="1A171B"/>
          <w:kern w:val="0"/>
          <w:szCs w:val="21"/>
          <w:lang w:bidi="ar"/>
        </w:rPr>
        <w:t xml:space="preserve"> days (Scale bar = 100 µm).</w:t>
      </w:r>
      <w:r>
        <w:rPr>
          <w:rFonts w:hint="eastAsia" w:ascii="Times New Roman" w:hAnsi="Times New Roman" w:eastAsia="宋体" w:cs="Times New Roman"/>
          <w:color w:val="1A171B"/>
          <w:kern w:val="0"/>
          <w:szCs w:val="21"/>
          <w:lang w:bidi="ar"/>
        </w:rPr>
        <w:t xml:space="preserve"> </w:t>
      </w:r>
      <w:bookmarkStart w:id="1" w:name="_GoBack"/>
      <w:r>
        <w:rPr>
          <w:rFonts w:hint="eastAsia" w:ascii="Times New Roman" w:hAnsi="Times New Roman" w:eastAsia="宋体" w:cs="Times New Roman"/>
          <w:color w:val="1A171B"/>
          <w:kern w:val="0"/>
          <w:szCs w:val="21"/>
          <w:lang w:val="en-US" w:eastAsia="zh-CN" w:bidi="ar"/>
        </w:rPr>
        <w:t>The o</w:t>
      </w:r>
      <w:bookmarkEnd w:id="1"/>
      <w:r>
        <w:rPr>
          <w:rFonts w:hint="eastAsia" w:ascii="Times New Roman" w:hAnsi="Times New Roman" w:eastAsia="宋体" w:cs="Times New Roman"/>
          <w:color w:val="1A171B"/>
          <w:kern w:val="0"/>
          <w:szCs w:val="21"/>
          <w:lang w:bidi="ar"/>
        </w:rPr>
        <w:t xml:space="preserve">steogenic induction medium served as </w:t>
      </w:r>
      <w:r>
        <w:rPr>
          <w:rFonts w:hint="eastAsia" w:ascii="Times New Roman" w:hAnsi="Times New Roman" w:eastAsia="宋体" w:cs="Times New Roman"/>
          <w:color w:val="1A171B"/>
          <w:kern w:val="0"/>
          <w:szCs w:val="21"/>
          <w:lang w:val="en-US" w:eastAsia="zh-CN" w:bidi="ar"/>
        </w:rPr>
        <w:t>a C</w:t>
      </w:r>
      <w:r>
        <w:rPr>
          <w:rFonts w:hint="eastAsia" w:ascii="Times New Roman" w:hAnsi="Times New Roman" w:eastAsia="宋体" w:cs="Times New Roman"/>
          <w:color w:val="1A171B"/>
          <w:kern w:val="0"/>
          <w:szCs w:val="21"/>
          <w:lang w:bidi="ar"/>
        </w:rPr>
        <w:t>ontrol</w:t>
      </w:r>
      <w:r>
        <w:rPr>
          <w:rFonts w:hint="eastAsia" w:ascii="Times New Roman" w:hAnsi="Times New Roman" w:eastAsia="宋体" w:cs="Times New Roman"/>
          <w:color w:val="1A171B"/>
          <w:kern w:val="0"/>
          <w:szCs w:val="21"/>
          <w:lang w:val="en-US" w:eastAsia="zh-CN" w:bidi="ar"/>
        </w:rPr>
        <w:t>.</w:t>
      </w:r>
    </w:p>
    <w:p w14:paraId="483E6F0C">
      <w:pPr>
        <w:rPr>
          <w:rFonts w:hint="eastAsia" w:ascii="Times New Roman" w:hAnsi="Times New Roman" w:eastAsia="宋体" w:cs="Times New Roman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zCs w:val="21"/>
          <w:lang w:eastAsia="zh-CN"/>
        </w:rPr>
        <w:drawing>
          <wp:inline distT="0" distB="0" distL="114300" distR="114300">
            <wp:extent cx="5267325" cy="4721860"/>
            <wp:effectExtent l="0" t="0" r="9525" b="2540"/>
            <wp:docPr id="1" name="图片 1" descr="SF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F-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72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6F8C0">
      <w:pPr>
        <w:widowControl/>
        <w:jc w:val="center"/>
        <w:rPr>
          <w:rFonts w:ascii="Times New Roman" w:hAnsi="Times New Roman" w:eastAsia="宋体" w:cs="Times New Roman"/>
          <w:color w:val="1A171B"/>
          <w:kern w:val="0"/>
          <w:szCs w:val="21"/>
          <w:lang w:bidi="ar"/>
        </w:rPr>
      </w:pPr>
      <w:r>
        <w:rPr>
          <w:rFonts w:ascii="Times New Roman" w:hAnsi="Times New Roman" w:eastAsia="宋体" w:cs="Times New Roman"/>
          <w:color w:val="1A171B"/>
          <w:kern w:val="0"/>
          <w:szCs w:val="21"/>
          <w:lang w:bidi="ar"/>
        </w:rPr>
        <w:t>Fig</w:t>
      </w:r>
      <w:r>
        <w:rPr>
          <w:rFonts w:hint="eastAsia" w:ascii="Times New Roman" w:hAnsi="Times New Roman" w:eastAsia="宋体" w:cs="Times New Roman"/>
          <w:color w:val="1A171B"/>
          <w:kern w:val="0"/>
          <w:szCs w:val="21"/>
          <w:lang w:bidi="ar"/>
        </w:rPr>
        <w:t>ure</w:t>
      </w:r>
      <w:r>
        <w:rPr>
          <w:rFonts w:ascii="Times New Roman" w:hAnsi="Times New Roman" w:eastAsia="宋体" w:cs="Times New Roman"/>
          <w:color w:val="1A171B"/>
          <w:kern w:val="0"/>
          <w:szCs w:val="21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1A171B"/>
          <w:kern w:val="0"/>
          <w:szCs w:val="21"/>
          <w:lang w:bidi="ar"/>
        </w:rPr>
        <w:t>2.</w:t>
      </w:r>
      <w:r>
        <w:rPr>
          <w:rFonts w:ascii="Times New Roman" w:hAnsi="Times New Roman" w:eastAsia="宋体" w:cs="Times New Roman"/>
          <w:color w:val="1A171B"/>
          <w:kern w:val="0"/>
          <w:szCs w:val="21"/>
          <w:lang w:bidi="ar"/>
        </w:rPr>
        <w:t xml:space="preserve"> The sequencing results were analyzed following the culture of PDLSCs under osteogenic induction medium (Control), 100 ng/mL rhTNF-α, and 100 ng/mL rhTNF-α+ 500 nM AS conditions for a duration of 7 days</w:t>
      </w:r>
      <w:r>
        <w:rPr>
          <w:rFonts w:hint="eastAsia" w:ascii="Times New Roman" w:hAnsi="Times New Roman" w:eastAsia="宋体" w:cs="Times New Roman"/>
          <w:color w:val="1A171B"/>
          <w:kern w:val="0"/>
          <w:szCs w:val="21"/>
          <w:lang w:bidi="ar"/>
        </w:rPr>
        <w:t xml:space="preserve">. </w:t>
      </w:r>
      <w:r>
        <w:rPr>
          <w:rFonts w:ascii="Times New Roman" w:hAnsi="Times New Roman" w:eastAsia="宋体" w:cs="Times New Roman"/>
          <w:color w:val="1A171B"/>
          <w:kern w:val="0"/>
          <w:szCs w:val="21"/>
          <w:lang w:bidi="ar"/>
        </w:rPr>
        <w:t>(</w:t>
      </w:r>
      <w:r>
        <w:rPr>
          <w:rFonts w:hint="eastAsia" w:ascii="Times New Roman" w:hAnsi="Times New Roman" w:eastAsia="宋体" w:cs="Times New Roman"/>
          <w:color w:val="1A171B"/>
          <w:kern w:val="0"/>
          <w:szCs w:val="21"/>
          <w:lang w:bidi="ar"/>
        </w:rPr>
        <w:t>A</w:t>
      </w:r>
      <w:r>
        <w:rPr>
          <w:rFonts w:ascii="Times New Roman" w:hAnsi="Times New Roman" w:eastAsia="宋体" w:cs="Times New Roman"/>
          <w:color w:val="1A171B"/>
          <w:kern w:val="0"/>
          <w:szCs w:val="21"/>
          <w:lang w:bidi="ar"/>
        </w:rPr>
        <w:t xml:space="preserve">) </w:t>
      </w:r>
      <w:r>
        <w:rPr>
          <w:rFonts w:hint="eastAsia" w:ascii="Times New Roman" w:hAnsi="Times New Roman" w:eastAsia="宋体" w:cs="Times New Roman"/>
          <w:color w:val="1A171B"/>
          <w:kern w:val="0"/>
          <w:szCs w:val="21"/>
          <w:lang w:bidi="ar"/>
        </w:rPr>
        <w:t xml:space="preserve">GO analysis was performed to analyze the data obtained from this experiment. </w:t>
      </w:r>
      <w:r>
        <w:rPr>
          <w:rFonts w:ascii="Times New Roman" w:hAnsi="Times New Roman" w:eastAsia="宋体" w:cs="Times New Roman"/>
          <w:color w:val="1A171B"/>
          <w:kern w:val="0"/>
          <w:szCs w:val="21"/>
          <w:lang w:bidi="ar"/>
        </w:rPr>
        <w:t>(</w:t>
      </w:r>
      <w:r>
        <w:rPr>
          <w:rFonts w:hint="eastAsia" w:ascii="Times New Roman" w:hAnsi="Times New Roman" w:eastAsia="宋体" w:cs="Times New Roman"/>
          <w:color w:val="1A171B"/>
          <w:kern w:val="0"/>
          <w:szCs w:val="21"/>
          <w:lang w:bidi="ar"/>
        </w:rPr>
        <w:t>B</w:t>
      </w:r>
      <w:r>
        <w:rPr>
          <w:rFonts w:ascii="Times New Roman" w:hAnsi="Times New Roman" w:eastAsia="宋体" w:cs="Times New Roman"/>
          <w:color w:val="1A171B"/>
          <w:kern w:val="0"/>
          <w:szCs w:val="21"/>
          <w:lang w:bidi="ar"/>
        </w:rPr>
        <w:t xml:space="preserve">) </w:t>
      </w:r>
      <w:r>
        <w:rPr>
          <w:rFonts w:hint="eastAsia" w:ascii="Times New Roman" w:hAnsi="Times New Roman" w:eastAsia="宋体" w:cs="Times New Roman"/>
          <w:color w:val="1A171B"/>
          <w:kern w:val="0"/>
          <w:szCs w:val="21"/>
          <w:lang w:bidi="ar"/>
        </w:rPr>
        <w:t xml:space="preserve">KEGG analysis was conducted to further investigate the pathways involved. </w:t>
      </w:r>
      <w:r>
        <w:rPr>
          <w:rFonts w:ascii="Times New Roman" w:hAnsi="Times New Roman" w:eastAsia="宋体" w:cs="Times New Roman"/>
          <w:color w:val="1A171B"/>
          <w:kern w:val="0"/>
          <w:szCs w:val="21"/>
          <w:lang w:bidi="ar"/>
        </w:rPr>
        <w:t>(</w:t>
      </w:r>
      <w:r>
        <w:rPr>
          <w:rFonts w:hint="eastAsia" w:ascii="Times New Roman" w:hAnsi="Times New Roman" w:eastAsia="宋体" w:cs="Times New Roman"/>
          <w:color w:val="1A171B"/>
          <w:kern w:val="0"/>
          <w:szCs w:val="21"/>
          <w:lang w:bidi="ar"/>
        </w:rPr>
        <w:t>C</w:t>
      </w:r>
      <w:r>
        <w:rPr>
          <w:rFonts w:ascii="Times New Roman" w:hAnsi="Times New Roman" w:eastAsia="宋体" w:cs="Times New Roman"/>
          <w:color w:val="1A171B"/>
          <w:kern w:val="0"/>
          <w:szCs w:val="21"/>
          <w:lang w:bidi="ar"/>
        </w:rPr>
        <w:t xml:space="preserve">) </w:t>
      </w:r>
      <w:r>
        <w:rPr>
          <w:rFonts w:hint="eastAsia" w:ascii="Times New Roman" w:hAnsi="Times New Roman" w:eastAsia="宋体" w:cs="Times New Roman"/>
          <w:color w:val="1A171B"/>
          <w:kern w:val="0"/>
          <w:szCs w:val="21"/>
          <w:lang w:bidi="ar"/>
        </w:rPr>
        <w:t xml:space="preserve">PPI analysis was carried out to explore potential interactions among different proteins identified in this study. </w:t>
      </w:r>
      <w:r>
        <w:rPr>
          <w:rFonts w:ascii="Times New Roman" w:hAnsi="Times New Roman" w:eastAsia="宋体" w:cs="Times New Roman"/>
          <w:color w:val="1A171B"/>
          <w:kern w:val="0"/>
          <w:szCs w:val="21"/>
          <w:lang w:bidi="ar"/>
        </w:rPr>
        <w:t>(</w:t>
      </w:r>
      <w:r>
        <w:rPr>
          <w:rFonts w:hint="eastAsia" w:ascii="Times New Roman" w:hAnsi="Times New Roman" w:eastAsia="宋体" w:cs="Times New Roman"/>
          <w:color w:val="1A171B"/>
          <w:kern w:val="0"/>
          <w:szCs w:val="21"/>
          <w:lang w:bidi="ar"/>
        </w:rPr>
        <w:t>D</w:t>
      </w:r>
      <w:r>
        <w:rPr>
          <w:rFonts w:ascii="Times New Roman" w:hAnsi="Times New Roman" w:eastAsia="宋体" w:cs="Times New Roman"/>
          <w:color w:val="1A171B"/>
          <w:kern w:val="0"/>
          <w:szCs w:val="21"/>
          <w:lang w:bidi="ar"/>
        </w:rPr>
        <w:t xml:space="preserve">) </w:t>
      </w:r>
      <w:r>
        <w:rPr>
          <w:rFonts w:hint="eastAsia" w:ascii="Times New Roman" w:hAnsi="Times New Roman" w:eastAsia="宋体" w:cs="Times New Roman"/>
          <w:color w:val="1A171B"/>
          <w:kern w:val="0"/>
          <w:szCs w:val="21"/>
          <w:lang w:bidi="ar"/>
        </w:rPr>
        <w:t>A heatmap depicting the expression patterns of target genes is provided as visual representation.</w:t>
      </w:r>
    </w:p>
    <w:p w14:paraId="3DF1ABFA">
      <w:pPr>
        <w:rPr>
          <w:rFonts w:ascii="Times New Roman" w:hAnsi="Times New Roman" w:eastAsia="宋体" w:cs="Times New Roman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lZDExYWYzYjJjNWJkMTFkNTljNjNlMTU0NTI3NTAifQ=="/>
  </w:docVars>
  <w:rsids>
    <w:rsidRoot w:val="005220CA"/>
    <w:rsid w:val="000118A6"/>
    <w:rsid w:val="005220CA"/>
    <w:rsid w:val="00A11F29"/>
    <w:rsid w:val="00BA2D78"/>
    <w:rsid w:val="00D1211D"/>
    <w:rsid w:val="00FB128B"/>
    <w:rsid w:val="065B15E4"/>
    <w:rsid w:val="08926B9E"/>
    <w:rsid w:val="089D5EE4"/>
    <w:rsid w:val="0A116C3C"/>
    <w:rsid w:val="0A8F5D00"/>
    <w:rsid w:val="0AA95014"/>
    <w:rsid w:val="0CBD0903"/>
    <w:rsid w:val="0D533015"/>
    <w:rsid w:val="0FF30ADF"/>
    <w:rsid w:val="10066A65"/>
    <w:rsid w:val="12541D09"/>
    <w:rsid w:val="12CD5618"/>
    <w:rsid w:val="12EA61CA"/>
    <w:rsid w:val="14A86898"/>
    <w:rsid w:val="191B68BE"/>
    <w:rsid w:val="193C52A5"/>
    <w:rsid w:val="1A1A27F9"/>
    <w:rsid w:val="1A6B6F42"/>
    <w:rsid w:val="1A82318C"/>
    <w:rsid w:val="1B574618"/>
    <w:rsid w:val="1E205195"/>
    <w:rsid w:val="1F9B58B9"/>
    <w:rsid w:val="20054643"/>
    <w:rsid w:val="21A659B2"/>
    <w:rsid w:val="22552F34"/>
    <w:rsid w:val="22EC3898"/>
    <w:rsid w:val="24483C7F"/>
    <w:rsid w:val="26661BB3"/>
    <w:rsid w:val="27015821"/>
    <w:rsid w:val="275163C0"/>
    <w:rsid w:val="27D25752"/>
    <w:rsid w:val="29673C78"/>
    <w:rsid w:val="2C3A450C"/>
    <w:rsid w:val="31350B00"/>
    <w:rsid w:val="31741628"/>
    <w:rsid w:val="32425283"/>
    <w:rsid w:val="326079BC"/>
    <w:rsid w:val="39E9394E"/>
    <w:rsid w:val="3A3B7A62"/>
    <w:rsid w:val="3BC60CD2"/>
    <w:rsid w:val="3EE2267C"/>
    <w:rsid w:val="3F7942AE"/>
    <w:rsid w:val="41320BB8"/>
    <w:rsid w:val="43E50164"/>
    <w:rsid w:val="44051785"/>
    <w:rsid w:val="45C85647"/>
    <w:rsid w:val="45D87F80"/>
    <w:rsid w:val="45F71FF0"/>
    <w:rsid w:val="462F1B6A"/>
    <w:rsid w:val="46362EF9"/>
    <w:rsid w:val="477358DF"/>
    <w:rsid w:val="48A9404A"/>
    <w:rsid w:val="49D15412"/>
    <w:rsid w:val="4A851D59"/>
    <w:rsid w:val="4E6C5709"/>
    <w:rsid w:val="53627B9A"/>
    <w:rsid w:val="54302D35"/>
    <w:rsid w:val="55083CB2"/>
    <w:rsid w:val="55E71B19"/>
    <w:rsid w:val="56FA587C"/>
    <w:rsid w:val="57FD03FD"/>
    <w:rsid w:val="5C207B33"/>
    <w:rsid w:val="5C936557"/>
    <w:rsid w:val="5D4D4958"/>
    <w:rsid w:val="5E3478C6"/>
    <w:rsid w:val="5EB34C8F"/>
    <w:rsid w:val="5F4A1A8C"/>
    <w:rsid w:val="60430294"/>
    <w:rsid w:val="62092E18"/>
    <w:rsid w:val="62432F86"/>
    <w:rsid w:val="65876E75"/>
    <w:rsid w:val="658D3F7E"/>
    <w:rsid w:val="66B25808"/>
    <w:rsid w:val="66D734E4"/>
    <w:rsid w:val="68422B24"/>
    <w:rsid w:val="69807E63"/>
    <w:rsid w:val="6A0171F6"/>
    <w:rsid w:val="6C81461E"/>
    <w:rsid w:val="6CBF5146"/>
    <w:rsid w:val="6E4E01BB"/>
    <w:rsid w:val="6E4E39CE"/>
    <w:rsid w:val="6F20011E"/>
    <w:rsid w:val="6FF922AC"/>
    <w:rsid w:val="70B9125A"/>
    <w:rsid w:val="724203AC"/>
    <w:rsid w:val="73497518"/>
    <w:rsid w:val="73644352"/>
    <w:rsid w:val="76DD4B47"/>
    <w:rsid w:val="76FA1255"/>
    <w:rsid w:val="770C0F88"/>
    <w:rsid w:val="77914C43"/>
    <w:rsid w:val="77A13DC6"/>
    <w:rsid w:val="79463877"/>
    <w:rsid w:val="79F309DD"/>
    <w:rsid w:val="7C873370"/>
    <w:rsid w:val="7CA67789"/>
    <w:rsid w:val="7FEE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367</Words>
  <Characters>2656</Characters>
  <Lines>22</Lines>
  <Paragraphs>6</Paragraphs>
  <TotalTime>0</TotalTime>
  <ScaleCrop>false</ScaleCrop>
  <LinksUpToDate>false</LinksUpToDate>
  <CharactersWithSpaces>2971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倔强的小强</cp:lastModifiedBy>
  <dcterms:modified xsi:type="dcterms:W3CDTF">2024-10-16T08:21:11Z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52E60F6AF1F84601BB80ACDF6FC12E31_13</vt:lpwstr>
  </property>
</Properties>
</file>