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0F2F3B" w14:textId="1B282CE4" w:rsidR="00CB47E7" w:rsidRPr="00CB47E7" w:rsidRDefault="00CB47E7" w:rsidP="00CB47E7">
      <w:pPr>
        <w:jc w:val="center"/>
        <w:rPr>
          <w:b/>
          <w:bCs/>
          <w:sz w:val="28"/>
          <w:szCs w:val="28"/>
        </w:rPr>
      </w:pPr>
      <w:r w:rsidRPr="00CB47E7">
        <w:rPr>
          <w:b/>
          <w:bCs/>
          <w:sz w:val="28"/>
          <w:szCs w:val="28"/>
        </w:rPr>
        <w:t>Supplemental Information</w:t>
      </w:r>
    </w:p>
    <w:p w14:paraId="2A5DD860" w14:textId="77777777" w:rsidR="00CB47E7" w:rsidRPr="00CB47E7" w:rsidRDefault="00CB47E7" w:rsidP="00CB47E7">
      <w:pPr>
        <w:rPr>
          <w:b/>
          <w:bCs/>
          <w:sz w:val="28"/>
          <w:szCs w:val="28"/>
        </w:rPr>
      </w:pPr>
    </w:p>
    <w:p w14:paraId="3055BE00" w14:textId="3493EFA8" w:rsidR="00CB47E7" w:rsidRDefault="00CB47E7" w:rsidP="00CB47E7">
      <w:pPr>
        <w:rPr>
          <w:b/>
          <w:bCs/>
          <w:sz w:val="28"/>
          <w:szCs w:val="28"/>
        </w:rPr>
      </w:pPr>
      <w:r w:rsidRPr="00CB47E7">
        <w:rPr>
          <w:b/>
          <w:bCs/>
          <w:sz w:val="28"/>
          <w:szCs w:val="28"/>
        </w:rPr>
        <w:t>Fabrication of Super-Lubricous Polyethylene Glycol Hydrogel Microspheres</w:t>
      </w:r>
    </w:p>
    <w:p w14:paraId="6466E335" w14:textId="77777777" w:rsidR="00CB47E7" w:rsidRPr="00DB2151" w:rsidRDefault="00CB47E7" w:rsidP="00CB47E7">
      <w:pPr>
        <w:rPr>
          <w:sz w:val="24"/>
          <w:szCs w:val="24"/>
        </w:rPr>
      </w:pPr>
      <w:r>
        <w:rPr>
          <w:sz w:val="24"/>
          <w:szCs w:val="24"/>
        </w:rPr>
        <w:t>Samuel Stealey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, Ether Dharmesh</w:t>
      </w:r>
      <w:r w:rsidRPr="00DB2151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, Maitreyi Bhagat</w:t>
      </w:r>
      <w:r w:rsidRPr="00DB2151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Abdul Malik Tyagi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, Andrew Schab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, Mellissa Hong</w:t>
      </w:r>
      <w:r w:rsidRPr="00DB2151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Damon Osbourn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Yousef Abu-Amer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, Paul A. Jelliss</w:t>
      </w:r>
      <w:r w:rsidRPr="00DB2151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Silviya Petrova Zustiak</w:t>
      </w:r>
      <w:proofErr w:type="gramStart"/>
      <w:r>
        <w:rPr>
          <w:sz w:val="24"/>
          <w:szCs w:val="24"/>
          <w:vertAlign w:val="superscript"/>
        </w:rPr>
        <w:t>1,</w:t>
      </w:r>
      <w:r>
        <w:rPr>
          <w:sz w:val="24"/>
          <w:szCs w:val="24"/>
        </w:rPr>
        <w:t>*</w:t>
      </w:r>
      <w:proofErr w:type="gramEnd"/>
    </w:p>
    <w:p w14:paraId="5A2766F5" w14:textId="77777777" w:rsidR="00CB47E7" w:rsidRPr="00DB05C4" w:rsidRDefault="00CB47E7" w:rsidP="00CB47E7">
      <w:pPr>
        <w:rPr>
          <w:sz w:val="24"/>
          <w:szCs w:val="24"/>
        </w:rPr>
      </w:pPr>
      <w:r w:rsidRPr="00DB05C4">
        <w:rPr>
          <w:sz w:val="24"/>
          <w:szCs w:val="24"/>
          <w:vertAlign w:val="superscript"/>
        </w:rPr>
        <w:t>1</w:t>
      </w:r>
      <w:r w:rsidRPr="00DB05C4">
        <w:rPr>
          <w:sz w:val="24"/>
          <w:szCs w:val="24"/>
        </w:rPr>
        <w:t xml:space="preserve"> Department of Biomedical Engineering, School of Science and Engineering, Saint Louis University, Saint Louis, MO</w:t>
      </w:r>
    </w:p>
    <w:p w14:paraId="34A5A4C3" w14:textId="77777777" w:rsidR="00CB47E7" w:rsidRDefault="00CB47E7" w:rsidP="00CB47E7">
      <w:pPr>
        <w:rPr>
          <w:sz w:val="24"/>
          <w:szCs w:val="24"/>
        </w:rPr>
      </w:pPr>
      <w:r w:rsidRPr="00BB0747">
        <w:rPr>
          <w:sz w:val="24"/>
          <w:szCs w:val="24"/>
          <w:vertAlign w:val="superscript"/>
        </w:rPr>
        <w:t>2</w:t>
      </w:r>
      <w:r w:rsidRPr="00DB05C4">
        <w:rPr>
          <w:sz w:val="24"/>
          <w:szCs w:val="24"/>
          <w:vertAlign w:val="superscript"/>
        </w:rPr>
        <w:t xml:space="preserve"> </w:t>
      </w:r>
      <w:r w:rsidRPr="00DB05C4">
        <w:rPr>
          <w:sz w:val="24"/>
          <w:szCs w:val="24"/>
        </w:rPr>
        <w:t>Department of Chemistry, School of Science and Engineering, Saint Louis University, Saint Louis, MO</w:t>
      </w:r>
    </w:p>
    <w:p w14:paraId="51AEABEC" w14:textId="77777777" w:rsidR="00CB47E7" w:rsidRPr="00BB0747" w:rsidRDefault="00CB47E7" w:rsidP="00CB47E7">
      <w:pPr>
        <w:rPr>
          <w:sz w:val="24"/>
          <w:szCs w:val="24"/>
        </w:rPr>
      </w:pP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Department of Orthopedic Surgery, Washington University in Saint Louis, Saint Louis, MO</w:t>
      </w:r>
    </w:p>
    <w:p w14:paraId="1C4255FF" w14:textId="77777777" w:rsidR="00092409" w:rsidRDefault="00092409" w:rsidP="00092409">
      <w:pPr>
        <w:spacing w:line="480" w:lineRule="auto"/>
        <w:rPr>
          <w:b/>
          <w:bCs/>
          <w:sz w:val="24"/>
          <w:szCs w:val="24"/>
        </w:rPr>
      </w:pPr>
    </w:p>
    <w:p w14:paraId="21B42B98" w14:textId="5F7A040C" w:rsidR="00092409" w:rsidRDefault="00613C03" w:rsidP="00092409">
      <w:pPr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2071C505" wp14:editId="29EEE1DF">
            <wp:extent cx="3329940" cy="2497455"/>
            <wp:effectExtent l="0" t="0" r="3810" b="0"/>
            <wp:docPr id="3903509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329940" cy="2497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CB1FC7" w14:textId="4A4FBF74" w:rsidR="00092409" w:rsidRPr="00092409" w:rsidRDefault="00092409" w:rsidP="00717B61">
      <w:pPr>
        <w:spacing w:line="48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Supplemental Figure S1</w:t>
      </w:r>
      <w:r w:rsidRPr="00B70827">
        <w:rPr>
          <w:sz w:val="24"/>
          <w:szCs w:val="24"/>
        </w:rPr>
        <w:t xml:space="preserve">. </w:t>
      </w:r>
      <w:r w:rsidR="008A76D9">
        <w:rPr>
          <w:sz w:val="24"/>
          <w:szCs w:val="24"/>
        </w:rPr>
        <w:t>Photograph of Electrospraying Setup</w:t>
      </w:r>
      <w:r w:rsidR="00613C03">
        <w:rPr>
          <w:sz w:val="24"/>
          <w:szCs w:val="24"/>
        </w:rPr>
        <w:t xml:space="preserve">. PEG is loaded into a syringe with attached blunt tip needle, which is then mounted </w:t>
      </w:r>
      <w:r w:rsidR="005E347F">
        <w:rPr>
          <w:sz w:val="24"/>
          <w:szCs w:val="24"/>
        </w:rPr>
        <w:t>on a</w:t>
      </w:r>
      <w:r w:rsidR="00613C03">
        <w:rPr>
          <w:sz w:val="24"/>
          <w:szCs w:val="24"/>
        </w:rPr>
        <w:t xml:space="preserve"> programmable syringe pump. The syringe needle tip is attached via clip to a high voltage generator. The oil collection vessel is mounted on a stir plate on top of a grounded metal sheet. Stirring rate is programmed with stir plate and stir bar within oil collection vessel. </w:t>
      </w:r>
    </w:p>
    <w:p w14:paraId="26C51097" w14:textId="5A8EC6BF" w:rsidR="00092409" w:rsidRPr="00092409" w:rsidRDefault="00092409" w:rsidP="00092409">
      <w:pPr>
        <w:spacing w:line="278" w:lineRule="auto"/>
        <w:rPr>
          <w:sz w:val="24"/>
          <w:szCs w:val="24"/>
        </w:rPr>
      </w:pPr>
    </w:p>
    <w:p w14:paraId="2CF22C0E" w14:textId="77777777" w:rsidR="00092409" w:rsidRDefault="00092409">
      <w:pPr>
        <w:rPr>
          <w:b/>
          <w:bCs/>
        </w:rPr>
      </w:pPr>
    </w:p>
    <w:p w14:paraId="4661F12C" w14:textId="77777777" w:rsidR="00CB47E7" w:rsidRPr="00B70827" w:rsidRDefault="00CB47E7" w:rsidP="00717B61">
      <w:pPr>
        <w:spacing w:line="480" w:lineRule="auto"/>
        <w:jc w:val="center"/>
        <w:rPr>
          <w:sz w:val="24"/>
          <w:szCs w:val="24"/>
        </w:rPr>
      </w:pPr>
      <w:r w:rsidRPr="00B70827">
        <w:rPr>
          <w:noProof/>
          <w:sz w:val="24"/>
          <w:szCs w:val="24"/>
        </w:rPr>
        <w:drawing>
          <wp:inline distT="0" distB="0" distL="0" distR="0" wp14:anchorId="37063D1B" wp14:editId="0563103A">
            <wp:extent cx="5645150" cy="2539485"/>
            <wp:effectExtent l="0" t="0" r="0" b="0"/>
            <wp:docPr id="52498702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987022" name="Picture 1" descr="A screenshot of a computer&#10;&#10;Description automatically generated"/>
                    <pic:cNvPicPr/>
                  </pic:nvPicPr>
                  <pic:blipFill rotWithShape="1">
                    <a:blip r:embed="rId5"/>
                    <a:srcRect l="59011" t="19628" r="16774" b="41648"/>
                    <a:stretch/>
                  </pic:blipFill>
                  <pic:spPr bwMode="auto">
                    <a:xfrm>
                      <a:off x="0" y="0"/>
                      <a:ext cx="5674654" cy="25527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6E0D6F" w14:textId="4F237D9C" w:rsidR="00717B61" w:rsidRDefault="00CB47E7" w:rsidP="00CB47E7">
      <w:pPr>
        <w:spacing w:line="48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Supplemental Figure S</w:t>
      </w:r>
      <w:r w:rsidR="008A76D9">
        <w:rPr>
          <w:b/>
          <w:bCs/>
          <w:sz w:val="24"/>
          <w:szCs w:val="24"/>
        </w:rPr>
        <w:t>2</w:t>
      </w:r>
      <w:r w:rsidRPr="00B70827">
        <w:rPr>
          <w:sz w:val="24"/>
          <w:szCs w:val="24"/>
        </w:rPr>
        <w:t xml:space="preserve">. 400 MHz NMR spectra of </w:t>
      </w:r>
      <w:proofErr w:type="gramStart"/>
      <w:r w:rsidRPr="00B70827">
        <w:rPr>
          <w:sz w:val="24"/>
          <w:szCs w:val="24"/>
        </w:rPr>
        <w:t>poly(</w:t>
      </w:r>
      <w:proofErr w:type="gramEnd"/>
      <w:r w:rsidRPr="00B70827">
        <w:rPr>
          <w:sz w:val="24"/>
          <w:szCs w:val="24"/>
        </w:rPr>
        <w:t>DMA-co-SBMA) in PBS/D</w:t>
      </w:r>
      <w:r w:rsidRPr="00B70827">
        <w:rPr>
          <w:sz w:val="24"/>
          <w:szCs w:val="24"/>
          <w:vertAlign w:val="subscript"/>
        </w:rPr>
        <w:t>2</w:t>
      </w:r>
      <w:r w:rsidRPr="00B70827">
        <w:rPr>
          <w:sz w:val="24"/>
          <w:szCs w:val="24"/>
        </w:rPr>
        <w:t>O. Products recovered by dialysis after polymerization with and without RAFT agent.</w:t>
      </w:r>
    </w:p>
    <w:p w14:paraId="1F96AEFA" w14:textId="77777777" w:rsidR="00717B61" w:rsidRDefault="00717B61">
      <w:pPr>
        <w:spacing w:line="278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11D611E" w14:textId="77777777" w:rsidR="00CB47E7" w:rsidRDefault="00CB47E7" w:rsidP="00CB47E7">
      <w:pPr>
        <w:spacing w:line="480" w:lineRule="auto"/>
        <w:rPr>
          <w:sz w:val="24"/>
          <w:szCs w:val="24"/>
        </w:rPr>
      </w:pPr>
    </w:p>
    <w:p w14:paraId="332C519A" w14:textId="77777777" w:rsidR="008A76D9" w:rsidRDefault="008A76D9" w:rsidP="008A76D9">
      <w:pPr>
        <w:spacing w:line="480" w:lineRule="auto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1CAED45B" wp14:editId="219DBBAA">
            <wp:extent cx="5243195" cy="3749675"/>
            <wp:effectExtent l="0" t="0" r="0" b="3175"/>
            <wp:docPr id="971051090" name="Picture 2" descr="A diagram of a chemical rea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051090" name="Picture 2" descr="A diagram of a chemical reactio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195" cy="374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433E03" w14:textId="049C4104" w:rsidR="008A76D9" w:rsidRDefault="008A76D9" w:rsidP="008A76D9">
      <w:pPr>
        <w:spacing w:line="480" w:lineRule="auto"/>
        <w:rPr>
          <w:sz w:val="24"/>
          <w:szCs w:val="24"/>
        </w:rPr>
      </w:pPr>
      <w:r w:rsidRPr="009A3369">
        <w:rPr>
          <w:b/>
          <w:bCs/>
          <w:sz w:val="24"/>
          <w:szCs w:val="24"/>
        </w:rPr>
        <w:t xml:space="preserve">Supplemental Figure </w:t>
      </w:r>
      <w:r>
        <w:rPr>
          <w:b/>
          <w:bCs/>
          <w:sz w:val="24"/>
          <w:szCs w:val="24"/>
        </w:rPr>
        <w:t>S3</w:t>
      </w:r>
      <w:r w:rsidRPr="009A3369">
        <w:rPr>
          <w:sz w:val="24"/>
          <w:szCs w:val="24"/>
        </w:rPr>
        <w:t xml:space="preserve">. 400 MHz NMR spectra of </w:t>
      </w:r>
      <w:proofErr w:type="gramStart"/>
      <w:r w:rsidRPr="009A3369">
        <w:rPr>
          <w:sz w:val="24"/>
          <w:szCs w:val="24"/>
        </w:rPr>
        <w:t>poly(</w:t>
      </w:r>
      <w:proofErr w:type="gramEnd"/>
      <w:r w:rsidRPr="009A3369">
        <w:rPr>
          <w:sz w:val="24"/>
          <w:szCs w:val="24"/>
        </w:rPr>
        <w:t>DMA-co-SBMA) and poly(DMA-co-SBMA-co-</w:t>
      </w:r>
      <w:proofErr w:type="spellStart"/>
      <w:r w:rsidRPr="009A3369">
        <w:rPr>
          <w:sz w:val="24"/>
          <w:szCs w:val="24"/>
        </w:rPr>
        <w:t>RhoB</w:t>
      </w:r>
      <w:proofErr w:type="spellEnd"/>
      <w:r w:rsidRPr="009A3369">
        <w:rPr>
          <w:sz w:val="24"/>
          <w:szCs w:val="24"/>
        </w:rPr>
        <w:t xml:space="preserve">) in PBS/D2O. </w:t>
      </w:r>
    </w:p>
    <w:p w14:paraId="75D623E7" w14:textId="77777777" w:rsidR="008A76D9" w:rsidRDefault="008A76D9" w:rsidP="00CB47E7">
      <w:pPr>
        <w:spacing w:line="480" w:lineRule="auto"/>
        <w:rPr>
          <w:sz w:val="24"/>
          <w:szCs w:val="24"/>
        </w:rPr>
      </w:pPr>
    </w:p>
    <w:p w14:paraId="06594296" w14:textId="77777777" w:rsidR="008A76D9" w:rsidRDefault="008A76D9" w:rsidP="008A76D9">
      <w:pPr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4D767DC9" wp14:editId="55C4660E">
            <wp:extent cx="2531745" cy="2872740"/>
            <wp:effectExtent l="0" t="0" r="1905" b="3810"/>
            <wp:docPr id="856507157" name="Picture 1" descr="A close-up of a test tub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507157" name="Picture 1" descr="A close-up of a test tub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898"/>
                    <a:stretch/>
                  </pic:blipFill>
                  <pic:spPr bwMode="auto">
                    <a:xfrm>
                      <a:off x="0" y="0"/>
                      <a:ext cx="2531745" cy="287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5C1AA2" w14:textId="0571B456" w:rsidR="00717B61" w:rsidRDefault="008A76D9" w:rsidP="008A76D9">
      <w:pPr>
        <w:spacing w:line="48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Supplemental Figure S4</w:t>
      </w:r>
      <w:r w:rsidRPr="00B70827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Macroscopic photograph of </w:t>
      </w:r>
      <w:proofErr w:type="gramStart"/>
      <w:r>
        <w:rPr>
          <w:sz w:val="24"/>
          <w:szCs w:val="24"/>
        </w:rPr>
        <w:t>poly(</w:t>
      </w:r>
      <w:proofErr w:type="gramEnd"/>
      <w:r>
        <w:rPr>
          <w:sz w:val="24"/>
          <w:szCs w:val="24"/>
        </w:rPr>
        <w:t>DMA-co-SBMA) (</w:t>
      </w:r>
      <w:r>
        <w:rPr>
          <w:b/>
          <w:bCs/>
          <w:sz w:val="24"/>
          <w:szCs w:val="24"/>
        </w:rPr>
        <w:t>Left</w:t>
      </w:r>
      <w:r>
        <w:rPr>
          <w:sz w:val="24"/>
          <w:szCs w:val="24"/>
        </w:rPr>
        <w:t>) and poly(DMA-co-SBMA-co-</w:t>
      </w:r>
      <w:proofErr w:type="spellStart"/>
      <w:r>
        <w:rPr>
          <w:sz w:val="24"/>
          <w:szCs w:val="24"/>
        </w:rPr>
        <w:t>RhoB</w:t>
      </w:r>
      <w:proofErr w:type="spellEnd"/>
      <w:r>
        <w:rPr>
          <w:sz w:val="24"/>
          <w:szCs w:val="24"/>
        </w:rPr>
        <w:t>) (</w:t>
      </w:r>
      <w:r>
        <w:rPr>
          <w:b/>
          <w:bCs/>
          <w:sz w:val="24"/>
          <w:szCs w:val="24"/>
        </w:rPr>
        <w:t>Right</w:t>
      </w:r>
      <w:r>
        <w:rPr>
          <w:sz w:val="24"/>
          <w:szCs w:val="24"/>
        </w:rPr>
        <w:t xml:space="preserve">), with the pinkish color being attributed to the incorporation of </w:t>
      </w:r>
      <w:proofErr w:type="spellStart"/>
      <w:r>
        <w:rPr>
          <w:sz w:val="24"/>
          <w:szCs w:val="24"/>
        </w:rPr>
        <w:t>RhoB</w:t>
      </w:r>
      <w:proofErr w:type="spellEnd"/>
      <w:r>
        <w:rPr>
          <w:sz w:val="24"/>
          <w:szCs w:val="24"/>
        </w:rPr>
        <w:t xml:space="preserve"> within the copolymer. </w:t>
      </w:r>
    </w:p>
    <w:p w14:paraId="7613C407" w14:textId="439A59C0" w:rsidR="00092409" w:rsidRDefault="00717B61" w:rsidP="00717B61">
      <w:pPr>
        <w:spacing w:line="278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261DE95" w14:textId="77777777" w:rsidR="006B5228" w:rsidRDefault="006B5228" w:rsidP="006B5228">
      <w:pPr>
        <w:spacing w:line="480" w:lineRule="auto"/>
        <w:rPr>
          <w:b/>
          <w:bCs/>
          <w:sz w:val="24"/>
          <w:szCs w:val="24"/>
        </w:rPr>
      </w:pPr>
      <w:r w:rsidRPr="00A14486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2ED2592D" wp14:editId="56B3EE89">
            <wp:extent cx="5593080" cy="2544971"/>
            <wp:effectExtent l="0" t="0" r="7620" b="8255"/>
            <wp:docPr id="71" name="Picture 70" descr="A diagram of ph and ph scal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B5241CFD-DC75-CF1E-A51B-E783EC46333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0" descr="A diagram of ph and ph scal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B5241CFD-DC75-CF1E-A51B-E783EC46333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04178" cy="2550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4BFF6" w14:textId="6FF30146" w:rsidR="00717B61" w:rsidRDefault="006B5228" w:rsidP="006B5228">
      <w:pPr>
        <w:spacing w:line="48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Supplemental Figure S</w:t>
      </w:r>
      <w:r w:rsidR="008A76D9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: </w:t>
      </w:r>
      <w:r>
        <w:rPr>
          <w:sz w:val="24"/>
          <w:szCs w:val="24"/>
        </w:rPr>
        <w:t>Gelation kinetics (</w:t>
      </w:r>
      <w:r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>) and calculated half-gelation time (</w:t>
      </w:r>
      <w:r>
        <w:rPr>
          <w:b/>
          <w:bCs/>
          <w:sz w:val="24"/>
          <w:szCs w:val="24"/>
        </w:rPr>
        <w:t>B</w:t>
      </w:r>
      <w:r>
        <w:rPr>
          <w:sz w:val="24"/>
          <w:szCs w:val="24"/>
        </w:rPr>
        <w:t>)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of 4-arm PEG-Ac and PEG-</w:t>
      </w:r>
      <w:proofErr w:type="spellStart"/>
      <w:r>
        <w:rPr>
          <w:sz w:val="24"/>
          <w:szCs w:val="24"/>
        </w:rPr>
        <w:t>diSH</w:t>
      </w:r>
      <w:proofErr w:type="spellEnd"/>
      <w:r>
        <w:rPr>
          <w:sz w:val="24"/>
          <w:szCs w:val="24"/>
        </w:rPr>
        <w:t xml:space="preserve"> at varying </w:t>
      </w:r>
      <w:proofErr w:type="spellStart"/>
      <w:r>
        <w:rPr>
          <w:sz w:val="24"/>
          <w:szCs w:val="24"/>
        </w:rPr>
        <w:t>pH.</w:t>
      </w:r>
      <w:proofErr w:type="spellEnd"/>
      <w:r>
        <w:rPr>
          <w:sz w:val="24"/>
          <w:szCs w:val="24"/>
        </w:rPr>
        <w:t xml:space="preserve"> Gelation kinetics w</w:t>
      </w:r>
      <w:r w:rsidR="00E73BBE">
        <w:rPr>
          <w:sz w:val="24"/>
          <w:szCs w:val="24"/>
        </w:rPr>
        <w:t>ere</w:t>
      </w:r>
      <w:r>
        <w:rPr>
          <w:sz w:val="24"/>
          <w:szCs w:val="24"/>
        </w:rPr>
        <w:t xml:space="preserve"> measured via rheology, where increase in polymer solution storage modulus, G’, was indicative of gelation. </w:t>
      </w:r>
      <w:r w:rsidR="00E64B26">
        <w:rPr>
          <w:sz w:val="24"/>
          <w:szCs w:val="24"/>
        </w:rPr>
        <w:t xml:space="preserve">* </w:t>
      </w:r>
      <w:proofErr w:type="gramStart"/>
      <w:r w:rsidR="00E64B26">
        <w:rPr>
          <w:sz w:val="24"/>
          <w:szCs w:val="24"/>
        </w:rPr>
        <w:t>indicates</w:t>
      </w:r>
      <w:proofErr w:type="gramEnd"/>
      <w:r w:rsidR="00E64B26">
        <w:rPr>
          <w:sz w:val="24"/>
          <w:szCs w:val="24"/>
        </w:rPr>
        <w:t xml:space="preserve"> </w:t>
      </w:r>
      <w:r w:rsidR="00E64B26">
        <w:rPr>
          <w:i/>
          <w:iCs/>
          <w:sz w:val="24"/>
          <w:szCs w:val="24"/>
        </w:rPr>
        <w:t xml:space="preserve">p </w:t>
      </w:r>
      <w:r w:rsidR="00E64B26">
        <w:rPr>
          <w:sz w:val="24"/>
          <w:szCs w:val="24"/>
        </w:rPr>
        <w:t xml:space="preserve">&lt; 0.05, while ** indicates </w:t>
      </w:r>
      <w:r w:rsidR="00E64B26">
        <w:rPr>
          <w:i/>
          <w:iCs/>
          <w:sz w:val="24"/>
          <w:szCs w:val="24"/>
        </w:rPr>
        <w:t>p</w:t>
      </w:r>
      <w:r w:rsidR="00E64B26">
        <w:rPr>
          <w:sz w:val="24"/>
          <w:szCs w:val="24"/>
        </w:rPr>
        <w:t xml:space="preserve"> &lt; 0.01 (</w:t>
      </w:r>
      <w:r w:rsidR="00E64B26">
        <w:rPr>
          <w:i/>
          <w:iCs/>
          <w:sz w:val="24"/>
          <w:szCs w:val="24"/>
        </w:rPr>
        <w:t xml:space="preserve">N </w:t>
      </w:r>
      <w:r w:rsidR="00E64B26">
        <w:rPr>
          <w:sz w:val="24"/>
          <w:szCs w:val="24"/>
        </w:rPr>
        <w:t xml:space="preserve">= 4). </w:t>
      </w:r>
    </w:p>
    <w:p w14:paraId="4775F8E4" w14:textId="77777777" w:rsidR="00717B61" w:rsidRDefault="00717B61">
      <w:pPr>
        <w:spacing w:line="278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3E3EC00" w14:textId="77777777" w:rsidR="006B5228" w:rsidRPr="00E64B26" w:rsidRDefault="006B5228" w:rsidP="006B5228">
      <w:pPr>
        <w:spacing w:line="480" w:lineRule="auto"/>
        <w:rPr>
          <w:sz w:val="24"/>
          <w:szCs w:val="24"/>
        </w:rPr>
      </w:pPr>
    </w:p>
    <w:p w14:paraId="1E65254C" w14:textId="12D2CBCA" w:rsidR="006B5228" w:rsidRPr="00143396" w:rsidRDefault="004D1544" w:rsidP="004D1544">
      <w:pPr>
        <w:spacing w:line="480" w:lineRule="auto"/>
        <w:jc w:val="center"/>
        <w:rPr>
          <w:b/>
          <w:bCs/>
          <w:sz w:val="24"/>
          <w:szCs w:val="24"/>
        </w:rPr>
      </w:pPr>
      <w:r w:rsidRPr="004D1544">
        <w:rPr>
          <w:b/>
          <w:bCs/>
          <w:noProof/>
          <w:sz w:val="24"/>
          <w:szCs w:val="24"/>
        </w:rPr>
        <w:drawing>
          <wp:inline distT="0" distB="0" distL="0" distR="0" wp14:anchorId="3BE0B829" wp14:editId="488CC761">
            <wp:extent cx="5943600" cy="323469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01C336A-5685-5351-0319-FE92ECC712F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001C336A-5685-5351-0319-FE92ECC712F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4A1DD" w14:textId="3FAD015A" w:rsidR="00717B61" w:rsidRDefault="006B5228" w:rsidP="006B5228">
      <w:pPr>
        <w:spacing w:line="48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Supplemental Figure S</w:t>
      </w:r>
      <w:r w:rsidR="008A76D9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 xml:space="preserve">: A. </w:t>
      </w:r>
      <w:r>
        <w:rPr>
          <w:sz w:val="24"/>
          <w:szCs w:val="24"/>
        </w:rPr>
        <w:t xml:space="preserve">Distribution of droplet diameters following electrospraying with varying needle diameter. </w:t>
      </w:r>
      <w:r>
        <w:rPr>
          <w:b/>
          <w:bCs/>
          <w:sz w:val="24"/>
          <w:szCs w:val="24"/>
        </w:rPr>
        <w:t>B.</w:t>
      </w:r>
      <w:r>
        <w:rPr>
          <w:sz w:val="24"/>
          <w:szCs w:val="24"/>
        </w:rPr>
        <w:t xml:space="preserve"> Polydispersity of droplet diameters following electrospraying with varying needle diameter. * </w:t>
      </w:r>
      <w:proofErr w:type="gramStart"/>
      <w:r>
        <w:rPr>
          <w:sz w:val="24"/>
          <w:szCs w:val="24"/>
        </w:rPr>
        <w:t>indicates</w:t>
      </w:r>
      <w:proofErr w:type="gramEnd"/>
      <w:r>
        <w:rPr>
          <w:sz w:val="24"/>
          <w:szCs w:val="24"/>
        </w:rPr>
        <w:t xml:space="preserve"> statistically significant difference (</w:t>
      </w:r>
      <w:r>
        <w:rPr>
          <w:i/>
          <w:iCs/>
          <w:sz w:val="24"/>
          <w:szCs w:val="24"/>
        </w:rPr>
        <w:t>N</w:t>
      </w:r>
      <w:r>
        <w:rPr>
          <w:sz w:val="24"/>
          <w:szCs w:val="24"/>
        </w:rPr>
        <w:t xml:space="preserve"> = 3, </w:t>
      </w:r>
      <w:r>
        <w:rPr>
          <w:i/>
          <w:iCs/>
          <w:sz w:val="24"/>
          <w:szCs w:val="24"/>
        </w:rPr>
        <w:t xml:space="preserve">p </w:t>
      </w:r>
      <w:r>
        <w:rPr>
          <w:sz w:val="24"/>
          <w:szCs w:val="24"/>
        </w:rPr>
        <w:t xml:space="preserve">&lt; 0.05). </w:t>
      </w:r>
    </w:p>
    <w:p w14:paraId="2D90149B" w14:textId="77777777" w:rsidR="00D831D0" w:rsidRDefault="00D831D0" w:rsidP="006B5228">
      <w:pPr>
        <w:spacing w:line="480" w:lineRule="auto"/>
        <w:rPr>
          <w:sz w:val="24"/>
          <w:szCs w:val="24"/>
        </w:rPr>
      </w:pPr>
    </w:p>
    <w:p w14:paraId="6AF86AF0" w14:textId="7E015C73" w:rsidR="00D831D0" w:rsidRDefault="00D831D0" w:rsidP="006B5228">
      <w:pPr>
        <w:spacing w:line="480" w:lineRule="auto"/>
        <w:rPr>
          <w:sz w:val="24"/>
          <w:szCs w:val="24"/>
        </w:rPr>
      </w:pPr>
      <w:r w:rsidRPr="00D831D0">
        <w:rPr>
          <w:noProof/>
          <w:sz w:val="24"/>
          <w:szCs w:val="24"/>
        </w:rPr>
        <w:lastRenderedPageBreak/>
        <w:drawing>
          <wp:inline distT="0" distB="0" distL="0" distR="0" wp14:anchorId="1544A296" wp14:editId="6A41016E">
            <wp:extent cx="5943600" cy="2447925"/>
            <wp:effectExtent l="0" t="0" r="0" b="0"/>
            <wp:docPr id="4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7CCF5D99-E851-13C6-1B05-481E5AB30C2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7CCF5D99-E851-13C6-1B05-481E5AB30C2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B8F2A" w14:textId="09095F15" w:rsidR="00D831D0" w:rsidRPr="00D831D0" w:rsidRDefault="00D831D0" w:rsidP="006B5228">
      <w:pPr>
        <w:spacing w:line="48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Supplemental Figure S7: A. </w:t>
      </w:r>
      <w:r>
        <w:rPr>
          <w:sz w:val="24"/>
          <w:szCs w:val="24"/>
        </w:rPr>
        <w:t xml:space="preserve">Confocal slice of </w:t>
      </w:r>
      <w:proofErr w:type="gramStart"/>
      <w:r>
        <w:rPr>
          <w:sz w:val="24"/>
          <w:szCs w:val="24"/>
        </w:rPr>
        <w:t>poly(</w:t>
      </w:r>
      <w:proofErr w:type="gramEnd"/>
      <w:r>
        <w:rPr>
          <w:sz w:val="24"/>
          <w:szCs w:val="24"/>
        </w:rPr>
        <w:t>DMA-co-SBMA-co-</w:t>
      </w:r>
      <w:proofErr w:type="spellStart"/>
      <w:r>
        <w:rPr>
          <w:sz w:val="24"/>
          <w:szCs w:val="24"/>
        </w:rPr>
        <w:t>RhoB</w:t>
      </w:r>
      <w:proofErr w:type="spellEnd"/>
      <w:r>
        <w:rPr>
          <w:sz w:val="24"/>
          <w:szCs w:val="24"/>
        </w:rPr>
        <w:t xml:space="preserve">)-coated PEG microsphere. Scale bar represents 25 µm. </w:t>
      </w:r>
      <w:r>
        <w:rPr>
          <w:b/>
          <w:bCs/>
          <w:sz w:val="24"/>
          <w:szCs w:val="24"/>
        </w:rPr>
        <w:t>B.</w:t>
      </w:r>
      <w:r>
        <w:rPr>
          <w:sz w:val="24"/>
          <w:szCs w:val="24"/>
        </w:rPr>
        <w:t xml:space="preserve"> Quantification of red color value from confocal image, where a color value of 0 represents no fluorescence, and a value of 255 represents the upper end of fluorescence. </w:t>
      </w:r>
    </w:p>
    <w:p w14:paraId="6B19B58E" w14:textId="77777777" w:rsidR="00717B61" w:rsidRDefault="00717B61">
      <w:pPr>
        <w:spacing w:line="278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0CCE654" w14:textId="77777777" w:rsidR="006B5228" w:rsidRDefault="006B5228" w:rsidP="006B5228">
      <w:pPr>
        <w:spacing w:line="480" w:lineRule="auto"/>
        <w:rPr>
          <w:sz w:val="24"/>
          <w:szCs w:val="24"/>
        </w:rPr>
      </w:pPr>
    </w:p>
    <w:p w14:paraId="6ED28378" w14:textId="749E1D54" w:rsidR="006B5228" w:rsidRDefault="008A76D9" w:rsidP="00717B61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936461E" wp14:editId="5E2A6217">
            <wp:extent cx="5223855" cy="2842260"/>
            <wp:effectExtent l="0" t="0" r="0" b="0"/>
            <wp:docPr id="5920469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942" cy="284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0A957F" w14:textId="0191940D" w:rsidR="00717B61" w:rsidRDefault="006B5228" w:rsidP="006B5228">
      <w:pPr>
        <w:spacing w:line="48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Supplemental Figure S</w:t>
      </w:r>
      <w:r w:rsidR="00D831D0">
        <w:rPr>
          <w:b/>
          <w:bCs/>
          <w:sz w:val="24"/>
          <w:szCs w:val="24"/>
        </w:rPr>
        <w:t>8:</w:t>
      </w:r>
      <w:r>
        <w:rPr>
          <w:b/>
          <w:bCs/>
          <w:sz w:val="24"/>
          <w:szCs w:val="24"/>
        </w:rPr>
        <w:t xml:space="preserve"> A. </w:t>
      </w:r>
      <w:r>
        <w:rPr>
          <w:sz w:val="24"/>
          <w:szCs w:val="24"/>
        </w:rPr>
        <w:t xml:space="preserve">Validation of rheological compression of hydrogel microspheres, where geometry gap was lowered and axial force recorded. </w:t>
      </w:r>
      <w:r>
        <w:rPr>
          <w:b/>
          <w:bCs/>
          <w:sz w:val="24"/>
          <w:szCs w:val="24"/>
        </w:rPr>
        <w:t>B.</w:t>
      </w:r>
      <w:r>
        <w:rPr>
          <w:sz w:val="24"/>
          <w:szCs w:val="24"/>
        </w:rPr>
        <w:t xml:space="preserve"> Measured axial force at a gap of 10 </w:t>
      </w:r>
      <w:r>
        <w:rPr>
          <w:rFonts w:cstheme="minorHAnsi"/>
          <w:sz w:val="24"/>
          <w:szCs w:val="24"/>
        </w:rPr>
        <w:t>µ</w:t>
      </w:r>
      <w:r>
        <w:rPr>
          <w:sz w:val="24"/>
          <w:szCs w:val="24"/>
        </w:rPr>
        <w:t>m.</w:t>
      </w:r>
    </w:p>
    <w:p w14:paraId="16692167" w14:textId="77777777" w:rsidR="00717B61" w:rsidRDefault="00717B61">
      <w:pPr>
        <w:spacing w:line="278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832D391" w14:textId="77777777" w:rsidR="006B5228" w:rsidRPr="001F41A7" w:rsidRDefault="006B5228" w:rsidP="006B5228">
      <w:pPr>
        <w:spacing w:line="480" w:lineRule="auto"/>
        <w:rPr>
          <w:sz w:val="24"/>
          <w:szCs w:val="24"/>
        </w:rPr>
      </w:pPr>
    </w:p>
    <w:p w14:paraId="3A15E933" w14:textId="1391C745" w:rsidR="006B5228" w:rsidRDefault="008A76D9" w:rsidP="00717B61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1BEFC5B" wp14:editId="41953151">
            <wp:extent cx="3856990" cy="2933065"/>
            <wp:effectExtent l="0" t="0" r="0" b="0"/>
            <wp:docPr id="3641551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990" cy="2933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A02EFA" w14:textId="3D84F93C" w:rsidR="006B5228" w:rsidRDefault="006B5228" w:rsidP="006B5228">
      <w:pPr>
        <w:spacing w:line="48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Supplemental Figure S</w:t>
      </w:r>
      <w:r w:rsidR="00D831D0">
        <w:rPr>
          <w:b/>
          <w:bCs/>
          <w:sz w:val="24"/>
          <w:szCs w:val="24"/>
        </w:rPr>
        <w:t>9</w:t>
      </w:r>
      <w:r>
        <w:rPr>
          <w:b/>
          <w:bCs/>
          <w:sz w:val="24"/>
          <w:szCs w:val="24"/>
        </w:rPr>
        <w:t xml:space="preserve">: </w:t>
      </w:r>
      <w:r>
        <w:rPr>
          <w:sz w:val="24"/>
          <w:szCs w:val="24"/>
        </w:rPr>
        <w:t xml:space="preserve">Evolution of storage modulus, </w:t>
      </w:r>
      <w:r>
        <w:rPr>
          <w:i/>
          <w:iCs/>
          <w:sz w:val="24"/>
          <w:szCs w:val="24"/>
        </w:rPr>
        <w:t>G’</w:t>
      </w:r>
      <w:r>
        <w:rPr>
          <w:sz w:val="24"/>
          <w:szCs w:val="24"/>
        </w:rPr>
        <w:t xml:space="preserve">, and loss modulus, </w:t>
      </w:r>
      <w:r w:rsidRPr="00035A14">
        <w:rPr>
          <w:i/>
          <w:iCs/>
          <w:sz w:val="24"/>
          <w:szCs w:val="24"/>
        </w:rPr>
        <w:t>G”</w:t>
      </w:r>
      <w:r>
        <w:rPr>
          <w:sz w:val="24"/>
          <w:szCs w:val="24"/>
        </w:rPr>
        <w:t xml:space="preserve">, as a function of angular frequency. </w:t>
      </w:r>
    </w:p>
    <w:p w14:paraId="0E16B335" w14:textId="77777777" w:rsidR="00092409" w:rsidRPr="00B70827" w:rsidRDefault="00092409" w:rsidP="00CB47E7">
      <w:pPr>
        <w:spacing w:line="480" w:lineRule="auto"/>
        <w:rPr>
          <w:sz w:val="24"/>
          <w:szCs w:val="24"/>
        </w:rPr>
      </w:pPr>
    </w:p>
    <w:p w14:paraId="1C993F4F" w14:textId="77777777" w:rsidR="00CB47E7" w:rsidRPr="00CB47E7" w:rsidRDefault="00CB47E7">
      <w:pPr>
        <w:rPr>
          <w:b/>
          <w:bCs/>
        </w:rPr>
      </w:pPr>
    </w:p>
    <w:sectPr w:rsidR="00CB47E7" w:rsidRPr="00CB47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7E7"/>
    <w:rsid w:val="00002652"/>
    <w:rsid w:val="00092409"/>
    <w:rsid w:val="003070B3"/>
    <w:rsid w:val="004D1544"/>
    <w:rsid w:val="004F04B8"/>
    <w:rsid w:val="005E347F"/>
    <w:rsid w:val="00613C03"/>
    <w:rsid w:val="006B5228"/>
    <w:rsid w:val="006F6DD6"/>
    <w:rsid w:val="00717B61"/>
    <w:rsid w:val="008A76D9"/>
    <w:rsid w:val="008D10C0"/>
    <w:rsid w:val="00A66913"/>
    <w:rsid w:val="00CB47E7"/>
    <w:rsid w:val="00D72C80"/>
    <w:rsid w:val="00D7662D"/>
    <w:rsid w:val="00D831D0"/>
    <w:rsid w:val="00E64B26"/>
    <w:rsid w:val="00E73BBE"/>
    <w:rsid w:val="00F10DDB"/>
    <w:rsid w:val="00FF4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F3746"/>
  <w15:chartTrackingRefBased/>
  <w15:docId w15:val="{25DB35BA-147D-4055-AE42-B1D20651F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47E7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7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47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47E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47E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47E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47E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47E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47E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47E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7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47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47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47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47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47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47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47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47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47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47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47E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47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47E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B47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47E7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B47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47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47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47E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B47E7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B47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B47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B47E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emf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6.emf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406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Stealey</dc:creator>
  <cp:keywords/>
  <dc:description/>
  <cp:lastModifiedBy>Sam Stealey</cp:lastModifiedBy>
  <cp:revision>2</cp:revision>
  <dcterms:created xsi:type="dcterms:W3CDTF">2024-10-14T18:22:00Z</dcterms:created>
  <dcterms:modified xsi:type="dcterms:W3CDTF">2024-10-14T18:22:00Z</dcterms:modified>
</cp:coreProperties>
</file>