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8ED04" w14:textId="77777777" w:rsidR="008D60E9" w:rsidRDefault="008D60E9" w:rsidP="008D60E9">
      <w:pPr>
        <w:rPr>
          <w:rFonts w:ascii="Arial" w:hAnsi="Arial" w:cs="Arial"/>
          <w:szCs w:val="24"/>
        </w:rPr>
      </w:pPr>
    </w:p>
    <w:p w14:paraId="6389BE58" w14:textId="77777777" w:rsidR="008D60E9" w:rsidRPr="001E16C3" w:rsidRDefault="008D60E9" w:rsidP="008D60E9">
      <w:pPr>
        <w:rPr>
          <w:rFonts w:ascii="Arial" w:hAnsi="Arial" w:cs="Arial"/>
          <w:b/>
          <w:bCs/>
          <w:sz w:val="20"/>
          <w:szCs w:val="20"/>
        </w:rPr>
      </w:pPr>
      <w:r w:rsidRPr="001E16C3">
        <w:rPr>
          <w:rFonts w:ascii="Arial" w:hAnsi="Arial" w:cs="Arial" w:hint="eastAsia"/>
          <w:b/>
          <w:bCs/>
          <w:sz w:val="20"/>
          <w:szCs w:val="20"/>
        </w:rPr>
        <w:t xml:space="preserve">Table 1. </w:t>
      </w:r>
      <w:r>
        <w:rPr>
          <w:rFonts w:ascii="Arial" w:hAnsi="Arial" w:cs="Arial"/>
          <w:b/>
          <w:bCs/>
          <w:sz w:val="20"/>
          <w:szCs w:val="20"/>
        </w:rPr>
        <w:t>C</w:t>
      </w:r>
      <w:r w:rsidRPr="001E16C3">
        <w:rPr>
          <w:rFonts w:ascii="Arial" w:hAnsi="Arial" w:cs="Arial"/>
          <w:b/>
          <w:bCs/>
          <w:sz w:val="20"/>
          <w:szCs w:val="20"/>
        </w:rPr>
        <w:t>linical practice recommendation</w:t>
      </w:r>
      <w:r>
        <w:rPr>
          <w:rFonts w:ascii="Arial" w:hAnsi="Arial" w:cs="Arial"/>
          <w:b/>
          <w:bCs/>
          <w:sz w:val="20"/>
          <w:szCs w:val="20"/>
        </w:rPr>
        <w:t>s for the TPMI participants who took the drug based on their PGx phenotype</w:t>
      </w:r>
      <w:r w:rsidRPr="001E16C3">
        <w:rPr>
          <w:rFonts w:ascii="Arial" w:hAnsi="Arial" w:cs="Arial"/>
          <w:b/>
          <w:bCs/>
          <w:sz w:val="20"/>
          <w:szCs w:val="20"/>
        </w:rPr>
        <w:t>.</w:t>
      </w:r>
    </w:p>
    <w:p w14:paraId="0EAAFB8F" w14:textId="5E2E3741" w:rsidR="00755780" w:rsidRPr="008D60E9" w:rsidRDefault="008D60E9">
      <w:pPr>
        <w:rPr>
          <w:rFonts w:ascii="Arial" w:hAnsi="Arial" w:cs="Arial"/>
          <w:szCs w:val="24"/>
        </w:rPr>
      </w:pPr>
      <w:r w:rsidRPr="001E16C3">
        <w:rPr>
          <w:noProof/>
        </w:rPr>
        <w:lastRenderedPageBreak/>
        <w:drawing>
          <wp:inline distT="0" distB="0" distL="0" distR="0" wp14:anchorId="6CB04267" wp14:editId="40F04FB2">
            <wp:extent cx="5227320" cy="8863330"/>
            <wp:effectExtent l="19050" t="19050" r="11430" b="13970"/>
            <wp:docPr id="60867490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8863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755780" w:rsidRPr="008D60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0E9"/>
    <w:rsid w:val="00331A6B"/>
    <w:rsid w:val="00755780"/>
    <w:rsid w:val="00857596"/>
    <w:rsid w:val="008D60E9"/>
    <w:rsid w:val="00A9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C739C"/>
  <w15:chartTrackingRefBased/>
  <w15:docId w15:val="{E1F9CDC5-7DCD-4231-93DE-3811B341A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0E9"/>
    <w:pPr>
      <w:widowControl w:val="0"/>
      <w:spacing w:after="0" w:line="240" w:lineRule="auto"/>
    </w:pPr>
    <w:rPr>
      <w:rFonts w:eastAsiaTheme="minorEastAsia"/>
      <w:sz w:val="24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60E9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0E9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0E9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0E9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0E9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0E9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0E9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0E9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0E9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0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0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0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0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0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0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0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0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0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0E9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60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0E9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60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0E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60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0E9"/>
    <w:pPr>
      <w:widowControl/>
      <w:spacing w:after="160" w:line="259" w:lineRule="auto"/>
      <w:ind w:left="720"/>
      <w:contextualSpacing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60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0E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0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0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103</Characters>
  <Application>Microsoft Office Word</Application>
  <DocSecurity>0</DocSecurity>
  <Lines>1</Lines>
  <Paragraphs>1</Paragraphs>
  <ScaleCrop>false</ScaleCrop>
  <Company>Springer Nature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2024-10-30T12:14:00Z</dcterms:created>
  <dcterms:modified xsi:type="dcterms:W3CDTF">2024-10-30T12:14:00Z</dcterms:modified>
</cp:coreProperties>
</file>