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656A31" w14:textId="77777777" w:rsidR="006F1B9D" w:rsidRDefault="006F1B9D" w:rsidP="006F1B9D">
      <w:pPr>
        <w:adjustRightInd w:val="0"/>
        <w:spacing w:line="360" w:lineRule="auto"/>
        <w:ind w:left="420" w:hanging="420"/>
        <w:contextualSpacing/>
        <w:outlineLvl w:val="0"/>
        <w:rPr>
          <w:rFonts w:ascii="Times New Roman" w:hAnsi="Times New Roman" w:cs="Times New Roman"/>
          <w:b/>
          <w:color w:val="000000" w:themeColor="text1"/>
          <w:kern w:val="0"/>
          <w:sz w:val="22"/>
        </w:rPr>
      </w:pPr>
      <w:r>
        <w:rPr>
          <w:rFonts w:ascii="Times New Roman" w:eastAsia="宋体" w:hAnsi="Times New Roman" w:cs="Times New Roman"/>
          <w:b/>
          <w:color w:val="000000"/>
          <w:kern w:val="0"/>
          <w:sz w:val="22"/>
        </w:rPr>
        <w:t>Figure captions</w:t>
      </w:r>
    </w:p>
    <w:p w14:paraId="77A79AC3" w14:textId="0D0E1632" w:rsidR="003E0C18" w:rsidRPr="00DB06E3" w:rsidRDefault="00614D86" w:rsidP="00DB06E3">
      <w:pPr>
        <w:adjustRightInd w:val="0"/>
        <w:snapToGrid w:val="0"/>
        <w:spacing w:line="360" w:lineRule="auto"/>
        <w:rPr>
          <w:rFonts w:ascii="Times New Roman" w:hAnsi="Times New Roman" w:cs="Times New Roman"/>
          <w:color w:val="000000" w:themeColor="text1"/>
          <w:szCs w:val="21"/>
        </w:rPr>
      </w:pPr>
      <w:r w:rsidRPr="00DB06E3">
        <w:rPr>
          <w:rStyle w:val="a7"/>
          <w:rFonts w:ascii="Times New Roman" w:hAnsi="Times New Roman" w:cs="Times New Roman"/>
          <w:szCs w:val="21"/>
        </w:rPr>
        <w:t>Figure 1</w:t>
      </w:r>
      <w:r w:rsidRPr="00DB06E3">
        <w:rPr>
          <w:rFonts w:ascii="Times New Roman" w:hAnsi="Times New Roman" w:cs="Times New Roman"/>
          <w:szCs w:val="21"/>
        </w:rPr>
        <w:t xml:space="preserve">: </w:t>
      </w:r>
      <w:r w:rsidR="003C4E30" w:rsidRPr="003C4E30">
        <w:rPr>
          <w:rFonts w:ascii="Times New Roman" w:hAnsi="Times New Roman" w:cs="Times New Roman"/>
          <w:szCs w:val="21"/>
        </w:rPr>
        <w:t xml:space="preserve">Location of the </w:t>
      </w:r>
      <w:proofErr w:type="spellStart"/>
      <w:r w:rsidR="003C4E30" w:rsidRPr="003C4E30">
        <w:rPr>
          <w:rFonts w:ascii="Times New Roman" w:hAnsi="Times New Roman" w:cs="Times New Roman"/>
          <w:szCs w:val="21"/>
        </w:rPr>
        <w:t>Changxu</w:t>
      </w:r>
      <w:proofErr w:type="spellEnd"/>
      <w:r w:rsidR="003C4E30" w:rsidRPr="003C4E30">
        <w:rPr>
          <w:rFonts w:ascii="Times New Roman" w:hAnsi="Times New Roman" w:cs="Times New Roman"/>
          <w:szCs w:val="21"/>
        </w:rPr>
        <w:t xml:space="preserve"> (CX) sampling point in the lower reaches of the Yellow River</w:t>
      </w:r>
    </w:p>
    <w:p w14:paraId="73E9172F" w14:textId="027A89D1" w:rsidR="00B72264" w:rsidRDefault="00614D86" w:rsidP="00DB06E3">
      <w:pPr>
        <w:autoSpaceDE w:val="0"/>
        <w:autoSpaceDN w:val="0"/>
        <w:adjustRightInd w:val="0"/>
        <w:snapToGrid w:val="0"/>
        <w:spacing w:line="360" w:lineRule="auto"/>
        <w:rPr>
          <w:rFonts w:ascii="Times New Roman" w:hAnsi="Times New Roman" w:cs="Times New Roman"/>
          <w:szCs w:val="21"/>
        </w:rPr>
      </w:pPr>
      <w:r w:rsidRPr="00DB06E3">
        <w:rPr>
          <w:rStyle w:val="a7"/>
          <w:rFonts w:ascii="Times New Roman" w:hAnsi="Times New Roman" w:cs="Times New Roman"/>
          <w:szCs w:val="21"/>
        </w:rPr>
        <w:t>Figure 2</w:t>
      </w:r>
      <w:r w:rsidRPr="00DB06E3">
        <w:rPr>
          <w:rFonts w:ascii="Times New Roman" w:hAnsi="Times New Roman" w:cs="Times New Roman"/>
          <w:szCs w:val="21"/>
        </w:rPr>
        <w:t xml:space="preserve">: </w:t>
      </w:r>
      <w:r w:rsidR="00D35596" w:rsidRPr="00D35596">
        <w:rPr>
          <w:rFonts w:ascii="Times New Roman" w:hAnsi="Times New Roman" w:cs="Times New Roman"/>
          <w:szCs w:val="21"/>
        </w:rPr>
        <w:t xml:space="preserve">OSL dating ages versus sediment depth from the </w:t>
      </w:r>
      <w:proofErr w:type="spellStart"/>
      <w:r w:rsidR="00D35596" w:rsidRPr="00D35596">
        <w:rPr>
          <w:rFonts w:ascii="Times New Roman" w:hAnsi="Times New Roman" w:cs="Times New Roman"/>
          <w:szCs w:val="21"/>
        </w:rPr>
        <w:t>Chang</w:t>
      </w:r>
      <w:r w:rsidR="008165E7">
        <w:rPr>
          <w:rFonts w:ascii="Times New Roman" w:hAnsi="Times New Roman" w:cs="Times New Roman" w:hint="eastAsia"/>
          <w:szCs w:val="21"/>
        </w:rPr>
        <w:t>xu</w:t>
      </w:r>
      <w:proofErr w:type="spellEnd"/>
      <w:r w:rsidR="00D35596" w:rsidRPr="00D35596">
        <w:rPr>
          <w:rFonts w:ascii="Times New Roman" w:hAnsi="Times New Roman" w:cs="Times New Roman"/>
          <w:szCs w:val="21"/>
        </w:rPr>
        <w:t xml:space="preserve"> section in the middle and lower reaches of the Yellow River.</w:t>
      </w:r>
      <w:r w:rsidR="0056471A" w:rsidRPr="0056471A">
        <w:rPr>
          <w:rFonts w:cs="Times New Roman"/>
          <w:szCs w:val="21"/>
        </w:rPr>
        <w:t xml:space="preserve"> </w:t>
      </w:r>
      <w:r w:rsidR="009235DD" w:rsidRPr="009235DD">
        <w:rPr>
          <w:rFonts w:ascii="Times New Roman" w:hAnsi="Times New Roman" w:cs="Times New Roman"/>
          <w:szCs w:val="21"/>
        </w:rPr>
        <w:t>Notably,</w:t>
      </w:r>
      <w:r w:rsidR="009235DD" w:rsidRPr="009235DD">
        <w:rPr>
          <w:rFonts w:ascii="Times New Roman" w:hAnsi="Times New Roman" w:cs="Times New Roman" w:hint="eastAsia"/>
          <w:szCs w:val="21"/>
        </w:rPr>
        <w:t xml:space="preserve"> </w:t>
      </w:r>
      <w:r w:rsidR="0056471A" w:rsidRPr="009235DD">
        <w:rPr>
          <w:rFonts w:ascii="Times New Roman" w:hAnsi="Times New Roman" w:cs="Times New Roman"/>
          <w:szCs w:val="21"/>
        </w:rPr>
        <w:t xml:space="preserve">two paleo-flood </w:t>
      </w:r>
      <w:proofErr w:type="spellStart"/>
      <w:r w:rsidR="0056471A" w:rsidRPr="009235DD">
        <w:rPr>
          <w:rFonts w:ascii="Times New Roman" w:hAnsi="Times New Roman" w:cs="Times New Roman"/>
          <w:szCs w:val="21"/>
        </w:rPr>
        <w:t>slackwater</w:t>
      </w:r>
      <w:proofErr w:type="spellEnd"/>
      <w:r w:rsidR="0056471A" w:rsidRPr="009235DD">
        <w:rPr>
          <w:rFonts w:ascii="Times New Roman" w:hAnsi="Times New Roman" w:cs="Times New Roman"/>
          <w:szCs w:val="21"/>
        </w:rPr>
        <w:t xml:space="preserve"> deposits were identified within the pedogenic layer at a depth of 235-205cm.</w:t>
      </w:r>
    </w:p>
    <w:p w14:paraId="210EE807" w14:textId="593A4EFA" w:rsidR="003427D4" w:rsidRPr="003427D4" w:rsidRDefault="003427D4" w:rsidP="003427D4">
      <w:pPr>
        <w:tabs>
          <w:tab w:val="left" w:pos="870"/>
        </w:tabs>
        <w:adjustRightInd w:val="0"/>
        <w:snapToGrid w:val="0"/>
        <w:spacing w:line="360" w:lineRule="auto"/>
        <w:rPr>
          <w:rFonts w:ascii="Times New Roman" w:hAnsi="Times New Roman" w:cs="Times New Roman"/>
          <w:szCs w:val="21"/>
        </w:rPr>
      </w:pPr>
      <w:r w:rsidRPr="003427D4">
        <w:rPr>
          <w:rFonts w:ascii="Times New Roman" w:hAnsi="Times New Roman" w:cs="Times New Roman"/>
          <w:b/>
          <w:bCs/>
          <w:szCs w:val="21"/>
        </w:rPr>
        <w:t xml:space="preserve">Figure </w:t>
      </w:r>
      <w:r>
        <w:rPr>
          <w:rFonts w:ascii="Times New Roman" w:hAnsi="Times New Roman" w:cs="Times New Roman" w:hint="eastAsia"/>
          <w:b/>
          <w:bCs/>
          <w:szCs w:val="21"/>
        </w:rPr>
        <w:t>3</w:t>
      </w:r>
      <w:r w:rsidRPr="003427D4">
        <w:rPr>
          <w:rFonts w:ascii="Times New Roman" w:hAnsi="Times New Roman" w:cs="Times New Roman"/>
          <w:b/>
          <w:bCs/>
          <w:szCs w:val="21"/>
        </w:rPr>
        <w:t xml:space="preserve">: </w:t>
      </w:r>
      <w:r w:rsidRPr="003427D4">
        <w:rPr>
          <w:rFonts w:ascii="Times New Roman" w:hAnsi="Times New Roman" w:cs="Times New Roman"/>
          <w:szCs w:val="21"/>
        </w:rPr>
        <w:t>Comparison of Multi-Prox</w:t>
      </w:r>
      <w:r w:rsidR="006B7015">
        <w:rPr>
          <w:rFonts w:ascii="Times New Roman" w:hAnsi="Times New Roman" w:cs="Times New Roman" w:hint="eastAsia"/>
          <w:szCs w:val="21"/>
        </w:rPr>
        <w:t xml:space="preserve">ies </w:t>
      </w:r>
      <w:r w:rsidR="0003782A">
        <w:rPr>
          <w:rFonts w:ascii="Times New Roman" w:hAnsi="Times New Roman" w:cs="Times New Roman" w:hint="eastAsia"/>
          <w:szCs w:val="21"/>
        </w:rPr>
        <w:t xml:space="preserve">for fire </w:t>
      </w:r>
      <w:r w:rsidRPr="003427D4">
        <w:rPr>
          <w:rFonts w:ascii="Times New Roman" w:hAnsi="Times New Roman" w:cs="Times New Roman"/>
          <w:szCs w:val="21"/>
        </w:rPr>
        <w:t>over the Past 5000 Years from the CX Profile</w:t>
      </w:r>
      <w:r w:rsidRPr="003427D4">
        <w:rPr>
          <w:rFonts w:ascii="Times New Roman" w:hAnsi="Times New Roman" w:cs="Times New Roman" w:hint="eastAsia"/>
          <w:szCs w:val="21"/>
        </w:rPr>
        <w:t>.</w:t>
      </w:r>
      <w:r w:rsidRPr="003427D4">
        <w:rPr>
          <w:rFonts w:ascii="Times New Roman" w:hAnsi="Times New Roman" w:cs="Times New Roman"/>
          <w:szCs w:val="21"/>
        </w:rPr>
        <w:t xml:space="preserve">(a) Char flux trends from the CX site </w:t>
      </w:r>
      <w:r w:rsidRPr="007C55CD">
        <w:rPr>
          <w:rFonts w:ascii="Times New Roman" w:hAnsi="Times New Roman" w:cs="Times New Roman"/>
          <w:color w:val="0070C0"/>
          <w:szCs w:val="21"/>
        </w:rPr>
        <w:t>(Wang et al., 2023)</w:t>
      </w:r>
      <w:r w:rsidRPr="003427D4">
        <w:rPr>
          <w:rFonts w:ascii="Times New Roman" w:hAnsi="Times New Roman" w:cs="Times New Roman"/>
          <w:szCs w:val="21"/>
        </w:rPr>
        <w:t xml:space="preserve">;(b) Soot flux trends from the CX site </w:t>
      </w:r>
      <w:r w:rsidRPr="007C55CD">
        <w:rPr>
          <w:rFonts w:ascii="Times New Roman" w:hAnsi="Times New Roman" w:cs="Times New Roman"/>
          <w:color w:val="0070C0"/>
          <w:szCs w:val="21"/>
        </w:rPr>
        <w:t>(Wang et al., 2023)</w:t>
      </w:r>
      <w:r w:rsidRPr="003427D4">
        <w:rPr>
          <w:rFonts w:ascii="Times New Roman" w:hAnsi="Times New Roman" w:cs="Times New Roman"/>
          <w:szCs w:val="21"/>
        </w:rPr>
        <w:t xml:space="preserve">;(c) Ratio of char to soot concentrations from the CX site </w:t>
      </w:r>
      <w:r w:rsidRPr="0068550B">
        <w:rPr>
          <w:rFonts w:ascii="Times New Roman" w:hAnsi="Times New Roman" w:cs="Times New Roman"/>
          <w:color w:val="0070C0"/>
          <w:szCs w:val="21"/>
        </w:rPr>
        <w:t>(Wang et al., 2023)</w:t>
      </w:r>
      <w:r w:rsidRPr="003427D4">
        <w:rPr>
          <w:rFonts w:ascii="Times New Roman" w:hAnsi="Times New Roman" w:cs="Times New Roman"/>
          <w:szCs w:val="21"/>
        </w:rPr>
        <w:t>;(d) Ratio of low-molecular-weight PAHs (less than 4 rings) to total PAHs (∑PAHs) from the CX site;(e) Trends in 3-ring PAH concentrations from the CX site;(f) Trends in 5-ring PAH concentrations from the CX site;(g) Ratio of (C25 + C27 + C29)to (C29 + C31) from the CX site;(h) Pb concentration values from the CX site</w:t>
      </w:r>
      <w:r w:rsidRPr="007C55CD">
        <w:rPr>
          <w:rFonts w:ascii="Times New Roman" w:hAnsi="Times New Roman" w:cs="Times New Roman"/>
          <w:color w:val="0070C0"/>
          <w:szCs w:val="21"/>
        </w:rPr>
        <w:t xml:space="preserve"> (Wang et al., 2023)</w:t>
      </w:r>
      <w:r w:rsidRPr="003427D4">
        <w:rPr>
          <w:rFonts w:ascii="Times New Roman" w:hAnsi="Times New Roman" w:cs="Times New Roman"/>
          <w:szCs w:val="21"/>
        </w:rPr>
        <w:t>;(</w:t>
      </w:r>
      <w:proofErr w:type="spellStart"/>
      <w:r w:rsidRPr="003427D4">
        <w:rPr>
          <w:rFonts w:ascii="Times New Roman" w:hAnsi="Times New Roman" w:cs="Times New Roman"/>
          <w:szCs w:val="21"/>
        </w:rPr>
        <w:t>i</w:t>
      </w:r>
      <w:proofErr w:type="spellEnd"/>
      <w:r w:rsidRPr="003427D4">
        <w:rPr>
          <w:rFonts w:ascii="Times New Roman" w:hAnsi="Times New Roman" w:cs="Times New Roman"/>
          <w:szCs w:val="21"/>
        </w:rPr>
        <w:t xml:space="preserve">) Loss on ignition (LOI) data from the CX site </w:t>
      </w:r>
      <w:r w:rsidRPr="007C55CD">
        <w:rPr>
          <w:rFonts w:ascii="Times New Roman" w:hAnsi="Times New Roman" w:cs="Times New Roman"/>
          <w:color w:val="0070C0"/>
          <w:szCs w:val="21"/>
        </w:rPr>
        <w:t>(Wang et al., 2023)</w:t>
      </w:r>
      <w:r w:rsidRPr="003427D4">
        <w:rPr>
          <w:rFonts w:ascii="Times New Roman" w:hAnsi="Times New Roman" w:cs="Times New Roman"/>
          <w:szCs w:val="21"/>
        </w:rPr>
        <w:t xml:space="preserve">;(j) Tree vegetation composition in the Bohai Sea region over the past 10,000 years </w:t>
      </w:r>
      <w:r w:rsidRPr="007C55CD">
        <w:rPr>
          <w:rFonts w:ascii="Times New Roman" w:hAnsi="Times New Roman" w:cs="Times New Roman"/>
          <w:color w:val="0070C0"/>
          <w:szCs w:val="21"/>
        </w:rPr>
        <w:t>(Yang et al., 2019)</w:t>
      </w:r>
      <w:r w:rsidRPr="003427D4">
        <w:rPr>
          <w:rFonts w:ascii="Times New Roman" w:hAnsi="Times New Roman" w:cs="Times New Roman"/>
          <w:szCs w:val="21"/>
        </w:rPr>
        <w:t xml:space="preserve">;(k) δ18O data from the Dome Fuji ice core </w:t>
      </w:r>
      <w:r w:rsidRPr="007C55CD">
        <w:rPr>
          <w:rFonts w:ascii="Times New Roman" w:hAnsi="Times New Roman" w:cs="Times New Roman"/>
          <w:color w:val="0070C0"/>
          <w:szCs w:val="21"/>
        </w:rPr>
        <w:t>(Kawamura et al., 2007)</w:t>
      </w:r>
      <w:r w:rsidRPr="003427D4">
        <w:rPr>
          <w:rFonts w:ascii="Times New Roman" w:hAnsi="Times New Roman" w:cs="Times New Roman"/>
          <w:szCs w:val="21"/>
        </w:rPr>
        <w:t xml:space="preserve">;(l) Ratio of Rb/Sr concentrations from the CX site;(m) δ18O data from speleothems in Shandong Cave </w:t>
      </w:r>
      <w:r w:rsidRPr="007C55CD">
        <w:rPr>
          <w:rFonts w:ascii="Times New Roman" w:hAnsi="Times New Roman" w:cs="Times New Roman"/>
          <w:color w:val="0070C0"/>
          <w:szCs w:val="21"/>
        </w:rPr>
        <w:t>(Dong et al., 2</w:t>
      </w:r>
      <w:r w:rsidR="003A24F4" w:rsidRPr="003A24F4">
        <w:rPr>
          <w:rFonts w:ascii="Times New Roman" w:hAnsi="Times New Roman" w:cs="Times New Roman"/>
          <w:noProof/>
          <w:color w:val="0070C0"/>
          <w:szCs w:val="21"/>
          <w:vertAlign w:val="superscript"/>
        </w:rPr>
        <w:t>1-8</w:t>
      </w:r>
      <w:r w:rsidRPr="007C55CD">
        <w:rPr>
          <w:rFonts w:ascii="Times New Roman" w:hAnsi="Times New Roman" w:cs="Times New Roman"/>
          <w:color w:val="0070C0"/>
          <w:szCs w:val="21"/>
        </w:rPr>
        <w:t>010)</w:t>
      </w:r>
      <w:r w:rsidRPr="003427D4">
        <w:rPr>
          <w:rFonts w:ascii="Times New Roman" w:hAnsi="Times New Roman" w:cs="Times New Roman"/>
          <w:szCs w:val="21"/>
        </w:rPr>
        <w:t xml:space="preserve">;(n) Temperature index based on phytolith records from a core near </w:t>
      </w:r>
      <w:proofErr w:type="spellStart"/>
      <w:r w:rsidRPr="003427D4">
        <w:rPr>
          <w:rFonts w:ascii="Times New Roman" w:hAnsi="Times New Roman" w:cs="Times New Roman"/>
          <w:szCs w:val="21"/>
        </w:rPr>
        <w:t>Dongying</w:t>
      </w:r>
      <w:proofErr w:type="spellEnd"/>
      <w:r w:rsidRPr="003427D4">
        <w:rPr>
          <w:rFonts w:ascii="Times New Roman" w:hAnsi="Times New Roman" w:cs="Times New Roman"/>
          <w:szCs w:val="21"/>
        </w:rPr>
        <w:t xml:space="preserve"> Harbor </w:t>
      </w:r>
      <w:r w:rsidRPr="0068550B">
        <w:rPr>
          <w:rFonts w:ascii="Times New Roman" w:hAnsi="Times New Roman" w:cs="Times New Roman"/>
          <w:color w:val="0070C0"/>
          <w:szCs w:val="21"/>
        </w:rPr>
        <w:t>(Nan et al., 2015)</w:t>
      </w:r>
      <w:r w:rsidRPr="003427D4">
        <w:rPr>
          <w:rFonts w:ascii="Times New Roman" w:hAnsi="Times New Roman" w:cs="Times New Roman"/>
          <w:szCs w:val="21"/>
        </w:rPr>
        <w:t xml:space="preserve">;(o) Event time series constructed using the event model, illustrating the number of events in 100-year overlapping windows </w:t>
      </w:r>
      <w:r w:rsidRPr="0068550B">
        <w:rPr>
          <w:rFonts w:ascii="Times New Roman" w:hAnsi="Times New Roman" w:cs="Times New Roman"/>
          <w:color w:val="0070C0"/>
          <w:szCs w:val="21"/>
        </w:rPr>
        <w:t>(Moy et al., 2002)</w:t>
      </w:r>
      <w:r w:rsidRPr="003427D4">
        <w:rPr>
          <w:rFonts w:ascii="Times New Roman" w:hAnsi="Times New Roman" w:cs="Times New Roman"/>
          <w:szCs w:val="21"/>
        </w:rPr>
        <w:t xml:space="preserve">;(p) Historical population of the study area </w:t>
      </w:r>
      <w:r w:rsidRPr="0068550B">
        <w:rPr>
          <w:rFonts w:ascii="Times New Roman" w:hAnsi="Times New Roman" w:cs="Times New Roman"/>
          <w:color w:val="0070C0"/>
          <w:szCs w:val="21"/>
        </w:rPr>
        <w:t>(Wang et al., 2005)</w:t>
      </w:r>
      <w:r w:rsidRPr="003427D4">
        <w:rPr>
          <w:rFonts w:ascii="Times New Roman" w:hAnsi="Times New Roman" w:cs="Times New Roman"/>
          <w:szCs w:val="21"/>
        </w:rPr>
        <w:t>;(q) Variations in fire factor scores across different depths, with green representing humidity-related fire activity and red representing anthropogenic fire events.</w:t>
      </w:r>
    </w:p>
    <w:p w14:paraId="5694E75A" w14:textId="77777777" w:rsidR="00C22DD0" w:rsidRDefault="00C22DD0" w:rsidP="00DB06E3">
      <w:pPr>
        <w:autoSpaceDE w:val="0"/>
        <w:autoSpaceDN w:val="0"/>
        <w:adjustRightInd w:val="0"/>
        <w:snapToGrid w:val="0"/>
        <w:spacing w:line="360" w:lineRule="auto"/>
        <w:rPr>
          <w:rFonts w:ascii="Times New Roman" w:hAnsi="Times New Roman" w:cs="Times New Roman"/>
          <w:szCs w:val="21"/>
        </w:rPr>
      </w:pPr>
      <w:r w:rsidRPr="00C22DD0">
        <w:rPr>
          <w:rFonts w:ascii="Times New Roman" w:hAnsi="Times New Roman" w:cs="Times New Roman"/>
          <w:b/>
          <w:bCs/>
          <w:szCs w:val="21"/>
        </w:rPr>
        <w:t xml:space="preserve">Figure 4: </w:t>
      </w:r>
      <w:r w:rsidRPr="00C22DD0">
        <w:rPr>
          <w:rFonts w:ascii="Times New Roman" w:hAnsi="Times New Roman" w:cs="Times New Roman"/>
          <w:szCs w:val="21"/>
        </w:rPr>
        <w:t>Accumulation diagram of PAH rings across three distinct time periods: 5000–3500 yr BP, 3500–1000 yr BP, and 1000 yr BP to the present.</w:t>
      </w:r>
      <w:r w:rsidRPr="00C22DD0">
        <w:rPr>
          <w:rFonts w:ascii="Times New Roman" w:hAnsi="Times New Roman" w:cs="Times New Roman"/>
          <w:szCs w:val="21"/>
        </w:rPr>
        <w:br/>
      </w:r>
      <w:r w:rsidRPr="00C22DD0">
        <w:rPr>
          <w:rFonts w:ascii="Times New Roman" w:hAnsi="Times New Roman" w:cs="Times New Roman"/>
          <w:b/>
          <w:bCs/>
          <w:szCs w:val="21"/>
        </w:rPr>
        <w:t xml:space="preserve">Figure 5: </w:t>
      </w:r>
      <w:r w:rsidRPr="00C22DD0">
        <w:rPr>
          <w:rFonts w:ascii="Times New Roman" w:hAnsi="Times New Roman" w:cs="Times New Roman"/>
          <w:szCs w:val="21"/>
        </w:rPr>
        <w:t>Cross-plot of polycyclic aromatic hydrocarbons (PAHs) in CX sediments. Blue triangles represent data from the last 1000 years, black squares indicate the period from 3500 to 1000 years BP, and green circles correspond to 5000 to 3500 years BP.</w:t>
      </w:r>
      <w:r w:rsidRPr="00C22DD0">
        <w:rPr>
          <w:rFonts w:ascii="Times New Roman" w:hAnsi="Times New Roman" w:cs="Times New Roman"/>
          <w:szCs w:val="21"/>
        </w:rPr>
        <w:br/>
      </w:r>
      <w:r w:rsidRPr="00C22DD0">
        <w:rPr>
          <w:rFonts w:ascii="Times New Roman" w:hAnsi="Times New Roman" w:cs="Times New Roman"/>
          <w:b/>
          <w:bCs/>
          <w:szCs w:val="21"/>
        </w:rPr>
        <w:t xml:space="preserve">Figure 6: </w:t>
      </w:r>
      <w:r w:rsidRPr="00C22DD0">
        <w:rPr>
          <w:rFonts w:ascii="Times New Roman" w:hAnsi="Times New Roman" w:cs="Times New Roman"/>
          <w:szCs w:val="21"/>
        </w:rPr>
        <w:t>Correlation between char flux, soot flux, low-molecular-weight (LMW) PAHs, high-molecular-weight (HMW) PAHs, cropland expansion, and warfare events.</w:t>
      </w:r>
      <w:r w:rsidRPr="00C22DD0">
        <w:rPr>
          <w:rFonts w:ascii="Times New Roman" w:hAnsi="Times New Roman" w:cs="Times New Roman"/>
          <w:szCs w:val="21"/>
        </w:rPr>
        <w:br/>
      </w:r>
      <w:r w:rsidRPr="00C22DD0">
        <w:rPr>
          <w:rFonts w:ascii="Times New Roman" w:hAnsi="Times New Roman" w:cs="Times New Roman"/>
          <w:b/>
          <w:bCs/>
          <w:szCs w:val="21"/>
        </w:rPr>
        <w:t xml:space="preserve">Figure 7: </w:t>
      </w:r>
      <w:r w:rsidRPr="00C22DD0">
        <w:rPr>
          <w:rFonts w:ascii="Times New Roman" w:hAnsi="Times New Roman" w:cs="Times New Roman"/>
          <w:szCs w:val="21"/>
        </w:rPr>
        <w:t xml:space="preserve">Principal component analysis (PCA) matrix of fire-related factors from the </w:t>
      </w:r>
      <w:proofErr w:type="spellStart"/>
      <w:r w:rsidRPr="00C22DD0">
        <w:rPr>
          <w:rFonts w:ascii="Times New Roman" w:hAnsi="Times New Roman" w:cs="Times New Roman"/>
          <w:szCs w:val="21"/>
        </w:rPr>
        <w:t>Changxu</w:t>
      </w:r>
      <w:proofErr w:type="spellEnd"/>
      <w:r w:rsidRPr="00C22DD0">
        <w:rPr>
          <w:rFonts w:ascii="Times New Roman" w:hAnsi="Times New Roman" w:cs="Times New Roman"/>
          <w:szCs w:val="21"/>
        </w:rPr>
        <w:t xml:space="preserve"> (CX) profiles during the Holocene. For the CX profile, PC1 corresponds to anthropogenic fire ignition, PC2 reflects humidity, and PC3 indicates fire sources related to warfare. Yellow, red, and black data points represent samples from 5000–3500 yr BP, 3500–1000 yr BP, and 1000 yr BP to the present, respectively.</w:t>
      </w:r>
      <w:r w:rsidRPr="00C22DD0">
        <w:rPr>
          <w:rFonts w:ascii="Times New Roman" w:hAnsi="Times New Roman" w:cs="Times New Roman"/>
          <w:szCs w:val="21"/>
        </w:rPr>
        <w:br/>
      </w:r>
      <w:r w:rsidRPr="00C22DD0">
        <w:rPr>
          <w:rFonts w:ascii="Times New Roman" w:hAnsi="Times New Roman" w:cs="Times New Roman"/>
          <w:b/>
          <w:bCs/>
          <w:szCs w:val="21"/>
        </w:rPr>
        <w:t xml:space="preserve">Figure 8: </w:t>
      </w:r>
      <w:r w:rsidRPr="00C22DD0">
        <w:rPr>
          <w:rFonts w:ascii="Times New Roman" w:hAnsi="Times New Roman" w:cs="Times New Roman"/>
          <w:szCs w:val="21"/>
        </w:rPr>
        <w:t xml:space="preserve">Comparison of paleo-fire history with human activities and paleo-climatic records over the past 4000 years BP.(a) Ratio of (C25 + C27 + C29) to (C29 + C31) from the CX site.(b) Ratio of LMW PAHs (less than 4 rings) to total PAHs (∑PAHs) from the CX site.(c) Aridity index for eastern China.(d) Trends in char and soot flux from the CX site.(e) Number of warfare events in eastern China </w:t>
      </w:r>
      <w:r w:rsidRPr="0068550B">
        <w:rPr>
          <w:rFonts w:ascii="Times New Roman" w:hAnsi="Times New Roman" w:cs="Times New Roman"/>
          <w:color w:val="0070C0"/>
          <w:szCs w:val="21"/>
        </w:rPr>
        <w:t>(Zhang et al., 2023)</w:t>
      </w:r>
      <w:r w:rsidRPr="00C22DD0">
        <w:rPr>
          <w:rFonts w:ascii="Times New Roman" w:hAnsi="Times New Roman" w:cs="Times New Roman"/>
          <w:szCs w:val="21"/>
        </w:rPr>
        <w:t xml:space="preserve">.(f) Reconstructed fire history based on soot flux from the CX </w:t>
      </w:r>
      <w:r w:rsidRPr="00C22DD0">
        <w:rPr>
          <w:rFonts w:ascii="Times New Roman" w:hAnsi="Times New Roman" w:cs="Times New Roman"/>
          <w:szCs w:val="21"/>
        </w:rPr>
        <w:lastRenderedPageBreak/>
        <w:t>site, with shaded areas indicating three periods of intensified fire activity.</w:t>
      </w:r>
    </w:p>
    <w:p w14:paraId="427F6812" w14:textId="77777777" w:rsidR="00CA3247" w:rsidRPr="00CA3247" w:rsidRDefault="00CA3247" w:rsidP="00CA3247">
      <w:pPr>
        <w:autoSpaceDE w:val="0"/>
        <w:autoSpaceDN w:val="0"/>
        <w:adjustRightInd w:val="0"/>
        <w:snapToGrid w:val="0"/>
        <w:spacing w:line="360" w:lineRule="auto"/>
        <w:rPr>
          <w:rFonts w:ascii="Times New Roman" w:hAnsi="Times New Roman" w:cs="Times New Roman"/>
          <w:kern w:val="24"/>
          <w:szCs w:val="21"/>
        </w:rPr>
      </w:pPr>
      <w:r w:rsidRPr="008C0F30">
        <w:rPr>
          <w:rFonts w:ascii="Times New Roman" w:hAnsi="Times New Roman" w:cs="Times New Roman"/>
          <w:b/>
          <w:bCs/>
          <w:kern w:val="24"/>
          <w:szCs w:val="21"/>
        </w:rPr>
        <w:t>Table 1:</w:t>
      </w:r>
      <w:r w:rsidRPr="00CA3247">
        <w:rPr>
          <w:rFonts w:ascii="Times New Roman" w:hAnsi="Times New Roman" w:cs="Times New Roman"/>
          <w:kern w:val="24"/>
          <w:szCs w:val="21"/>
        </w:rPr>
        <w:t xml:space="preserve"> Lithological Description of the CX Profile</w:t>
      </w:r>
    </w:p>
    <w:p w14:paraId="2CC85C19" w14:textId="77777777" w:rsidR="00CA3247" w:rsidRPr="00CA3247" w:rsidRDefault="00CA3247" w:rsidP="00CA3247">
      <w:pPr>
        <w:autoSpaceDE w:val="0"/>
        <w:autoSpaceDN w:val="0"/>
        <w:adjustRightInd w:val="0"/>
        <w:snapToGrid w:val="0"/>
        <w:spacing w:line="360" w:lineRule="auto"/>
        <w:rPr>
          <w:rFonts w:ascii="Times New Roman" w:hAnsi="Times New Roman" w:cs="Times New Roman"/>
          <w:kern w:val="24"/>
          <w:szCs w:val="21"/>
        </w:rPr>
      </w:pPr>
      <w:r w:rsidRPr="008C0F30">
        <w:rPr>
          <w:rFonts w:ascii="Times New Roman" w:hAnsi="Times New Roman" w:cs="Times New Roman"/>
          <w:b/>
          <w:bCs/>
          <w:kern w:val="24"/>
          <w:szCs w:val="21"/>
        </w:rPr>
        <w:t>Table 2:</w:t>
      </w:r>
      <w:r w:rsidRPr="00CA3247">
        <w:rPr>
          <w:rFonts w:ascii="Times New Roman" w:hAnsi="Times New Roman" w:cs="Times New Roman"/>
          <w:kern w:val="24"/>
          <w:szCs w:val="21"/>
        </w:rPr>
        <w:t xml:space="preserve"> Optically Stimulated Luminescence (OSL) Dating Data from the CX Profile</w:t>
      </w:r>
    </w:p>
    <w:p w14:paraId="1D81F198" w14:textId="77777777" w:rsidR="00CA3247" w:rsidRPr="00CA3247" w:rsidRDefault="00CA3247" w:rsidP="00CA3247">
      <w:pPr>
        <w:autoSpaceDE w:val="0"/>
        <w:autoSpaceDN w:val="0"/>
        <w:adjustRightInd w:val="0"/>
        <w:snapToGrid w:val="0"/>
        <w:spacing w:line="360" w:lineRule="auto"/>
        <w:rPr>
          <w:rFonts w:ascii="Times New Roman" w:hAnsi="Times New Roman" w:cs="Times New Roman"/>
          <w:kern w:val="24"/>
          <w:szCs w:val="21"/>
        </w:rPr>
      </w:pPr>
      <w:r w:rsidRPr="008C0F30">
        <w:rPr>
          <w:rFonts w:ascii="Times New Roman" w:hAnsi="Times New Roman" w:cs="Times New Roman"/>
          <w:b/>
          <w:bCs/>
          <w:kern w:val="24"/>
          <w:szCs w:val="21"/>
        </w:rPr>
        <w:t>Table 3:</w:t>
      </w:r>
      <w:r w:rsidRPr="00CA3247">
        <w:rPr>
          <w:rFonts w:ascii="Times New Roman" w:hAnsi="Times New Roman" w:cs="Times New Roman"/>
          <w:kern w:val="24"/>
          <w:szCs w:val="21"/>
        </w:rPr>
        <w:t xml:space="preserve"> Correlation Analysis of Char, Soot, Low Molecular Weight (LMW) Polycyclic Aromatic Hydrocarbons (PAHs), and High Molecular Weight (HMW) PAHs from the CX Profile</w:t>
      </w:r>
    </w:p>
    <w:p w14:paraId="1D1E04C6" w14:textId="77777777" w:rsidR="00CA3247" w:rsidRPr="00CA3247" w:rsidRDefault="00CA3247" w:rsidP="00CA3247">
      <w:pPr>
        <w:autoSpaceDE w:val="0"/>
        <w:autoSpaceDN w:val="0"/>
        <w:adjustRightInd w:val="0"/>
        <w:snapToGrid w:val="0"/>
        <w:spacing w:line="360" w:lineRule="auto"/>
        <w:rPr>
          <w:rFonts w:ascii="Times New Roman" w:hAnsi="Times New Roman" w:cs="Times New Roman"/>
          <w:kern w:val="24"/>
          <w:szCs w:val="21"/>
        </w:rPr>
      </w:pPr>
      <w:r w:rsidRPr="008C0F30">
        <w:rPr>
          <w:rFonts w:ascii="Times New Roman" w:hAnsi="Times New Roman" w:cs="Times New Roman"/>
          <w:b/>
          <w:bCs/>
          <w:kern w:val="24"/>
          <w:szCs w:val="21"/>
        </w:rPr>
        <w:t xml:space="preserve">Table 4: </w:t>
      </w:r>
      <w:r w:rsidRPr="00CA3247">
        <w:rPr>
          <w:rFonts w:ascii="Times New Roman" w:hAnsi="Times New Roman" w:cs="Times New Roman"/>
          <w:kern w:val="24"/>
          <w:szCs w:val="21"/>
        </w:rPr>
        <w:t>Principal Component Analysis Loadings of Fire-Related Factors from the CX Profile</w:t>
      </w:r>
    </w:p>
    <w:p w14:paraId="3EDAFD9E" w14:textId="6D6644E0" w:rsidR="00CA3247" w:rsidRDefault="00CA3247" w:rsidP="00DB06E3">
      <w:pPr>
        <w:autoSpaceDE w:val="0"/>
        <w:autoSpaceDN w:val="0"/>
        <w:adjustRightInd w:val="0"/>
        <w:snapToGrid w:val="0"/>
        <w:spacing w:line="360" w:lineRule="auto"/>
        <w:rPr>
          <w:rFonts w:ascii="Times New Roman" w:hAnsi="Times New Roman" w:cs="Times New Roman"/>
          <w:kern w:val="24"/>
          <w:szCs w:val="21"/>
        </w:rPr>
      </w:pPr>
    </w:p>
    <w:p w14:paraId="2071B752" w14:textId="77777777" w:rsidR="0068550B" w:rsidRDefault="0068550B" w:rsidP="00DB06E3">
      <w:pPr>
        <w:autoSpaceDE w:val="0"/>
        <w:autoSpaceDN w:val="0"/>
        <w:adjustRightInd w:val="0"/>
        <w:snapToGrid w:val="0"/>
        <w:spacing w:line="360" w:lineRule="auto"/>
        <w:rPr>
          <w:rFonts w:ascii="Times New Roman" w:hAnsi="Times New Roman" w:cs="Times New Roman"/>
          <w:kern w:val="24"/>
          <w:szCs w:val="21"/>
        </w:rPr>
      </w:pPr>
    </w:p>
    <w:p w14:paraId="189EB32B" w14:textId="77777777" w:rsidR="003A24F4" w:rsidRDefault="003A24F4" w:rsidP="00DB06E3">
      <w:pPr>
        <w:autoSpaceDE w:val="0"/>
        <w:autoSpaceDN w:val="0"/>
        <w:adjustRightInd w:val="0"/>
        <w:snapToGrid w:val="0"/>
        <w:spacing w:line="360" w:lineRule="auto"/>
        <w:rPr>
          <w:rFonts w:ascii="Times New Roman" w:hAnsi="Times New Roman" w:cs="Times New Roman"/>
          <w:kern w:val="24"/>
          <w:szCs w:val="21"/>
        </w:rPr>
      </w:pPr>
    </w:p>
    <w:p w14:paraId="56CB4FA8" w14:textId="77777777" w:rsidR="003A24F4" w:rsidRDefault="003A24F4" w:rsidP="00DB06E3">
      <w:pPr>
        <w:autoSpaceDE w:val="0"/>
        <w:autoSpaceDN w:val="0"/>
        <w:adjustRightInd w:val="0"/>
        <w:snapToGrid w:val="0"/>
        <w:spacing w:line="360" w:lineRule="auto"/>
        <w:rPr>
          <w:rFonts w:ascii="Times New Roman" w:hAnsi="Times New Roman" w:cs="Times New Roman"/>
          <w:kern w:val="24"/>
          <w:szCs w:val="21"/>
        </w:rPr>
      </w:pPr>
    </w:p>
    <w:p w14:paraId="03635343" w14:textId="2D141550"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1</w:t>
      </w:r>
      <w:r w:rsidRPr="00B41CC5">
        <w:rPr>
          <w:rFonts w:ascii="Times New Roman" w:hAnsi="Times New Roman" w:cs="Times New Roman"/>
          <w:sz w:val="21"/>
          <w:szCs w:val="21"/>
        </w:rPr>
        <w:tab/>
        <w:t>Dong, J. G.</w:t>
      </w:r>
      <w:r w:rsidRPr="00B41CC5">
        <w:rPr>
          <w:rFonts w:ascii="Times New Roman" w:hAnsi="Times New Roman" w:cs="Times New Roman"/>
          <w:i/>
          <w:sz w:val="21"/>
          <w:szCs w:val="21"/>
        </w:rPr>
        <w:t xml:space="preserve"> et al.</w:t>
      </w:r>
      <w:r w:rsidRPr="00B41CC5">
        <w:rPr>
          <w:rFonts w:ascii="Times New Roman" w:hAnsi="Times New Roman" w:cs="Times New Roman"/>
          <w:sz w:val="21"/>
          <w:szCs w:val="21"/>
        </w:rPr>
        <w:t xml:space="preserve"> A high-resolution stalagmite record of the Holocene East Asian monsoon from Mt Shennongjia, central China. </w:t>
      </w:r>
      <w:r w:rsidRPr="00B41CC5">
        <w:rPr>
          <w:rFonts w:ascii="Times New Roman" w:hAnsi="Times New Roman" w:cs="Times New Roman"/>
          <w:i/>
          <w:sz w:val="21"/>
          <w:szCs w:val="21"/>
        </w:rPr>
        <w:t>The Holocene</w:t>
      </w:r>
      <w:r w:rsidRPr="00B41CC5">
        <w:rPr>
          <w:rFonts w:ascii="Times New Roman" w:hAnsi="Times New Roman" w:cs="Times New Roman"/>
          <w:sz w:val="21"/>
          <w:szCs w:val="21"/>
        </w:rPr>
        <w:t xml:space="preserve"> </w:t>
      </w:r>
      <w:r w:rsidRPr="00B41CC5">
        <w:rPr>
          <w:rFonts w:ascii="Times New Roman" w:hAnsi="Times New Roman" w:cs="Times New Roman"/>
          <w:b/>
          <w:sz w:val="21"/>
          <w:szCs w:val="21"/>
        </w:rPr>
        <w:t>20</w:t>
      </w:r>
      <w:r w:rsidRPr="00B41CC5">
        <w:rPr>
          <w:rFonts w:ascii="Times New Roman" w:hAnsi="Times New Roman" w:cs="Times New Roman"/>
          <w:sz w:val="21"/>
          <w:szCs w:val="21"/>
        </w:rPr>
        <w:t>, 257-264, doi:10.1177/0959683609350393 (2010).</w:t>
      </w:r>
    </w:p>
    <w:p w14:paraId="4B2FE610" w14:textId="1A681D32"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2</w:t>
      </w:r>
      <w:r w:rsidRPr="00B41CC5">
        <w:rPr>
          <w:rFonts w:ascii="Times New Roman" w:hAnsi="Times New Roman" w:cs="Times New Roman"/>
          <w:sz w:val="21"/>
          <w:szCs w:val="21"/>
        </w:rPr>
        <w:tab/>
        <w:t>Kawamura, K.</w:t>
      </w:r>
      <w:r w:rsidRPr="00B41CC5">
        <w:rPr>
          <w:rFonts w:ascii="Times New Roman" w:hAnsi="Times New Roman" w:cs="Times New Roman"/>
          <w:i/>
          <w:sz w:val="21"/>
          <w:szCs w:val="21"/>
        </w:rPr>
        <w:t xml:space="preserve"> et al.</w:t>
      </w:r>
      <w:r w:rsidRPr="00B41CC5">
        <w:rPr>
          <w:rFonts w:ascii="Times New Roman" w:hAnsi="Times New Roman" w:cs="Times New Roman"/>
          <w:sz w:val="21"/>
          <w:szCs w:val="21"/>
        </w:rPr>
        <w:t xml:space="preserve"> Northern Hemisphere forcing of climatic cycles in Antarctica over the past 360,000 years. </w:t>
      </w:r>
      <w:r w:rsidRPr="00B41CC5">
        <w:rPr>
          <w:rFonts w:ascii="Times New Roman" w:hAnsi="Times New Roman" w:cs="Times New Roman"/>
          <w:i/>
          <w:sz w:val="21"/>
          <w:szCs w:val="21"/>
        </w:rPr>
        <w:t>Nature</w:t>
      </w:r>
      <w:r w:rsidRPr="00B41CC5">
        <w:rPr>
          <w:rFonts w:ascii="Times New Roman" w:hAnsi="Times New Roman" w:cs="Times New Roman"/>
          <w:sz w:val="21"/>
          <w:szCs w:val="21"/>
        </w:rPr>
        <w:t xml:space="preserve"> </w:t>
      </w:r>
      <w:r w:rsidRPr="00B41CC5">
        <w:rPr>
          <w:rFonts w:ascii="Times New Roman" w:hAnsi="Times New Roman" w:cs="Times New Roman"/>
          <w:b/>
          <w:sz w:val="21"/>
          <w:szCs w:val="21"/>
        </w:rPr>
        <w:t>448</w:t>
      </w:r>
      <w:r w:rsidRPr="00B41CC5">
        <w:rPr>
          <w:rFonts w:ascii="Times New Roman" w:hAnsi="Times New Roman" w:cs="Times New Roman"/>
          <w:sz w:val="21"/>
          <w:szCs w:val="21"/>
        </w:rPr>
        <w:t>, 912-916, doi:https://dx.doi.org/10.1038/nature06015 (2007).</w:t>
      </w:r>
    </w:p>
    <w:p w14:paraId="7370EF6A" w14:textId="77777777"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3</w:t>
      </w:r>
      <w:r w:rsidRPr="00B41CC5">
        <w:rPr>
          <w:rFonts w:ascii="Times New Roman" w:hAnsi="Times New Roman" w:cs="Times New Roman"/>
          <w:sz w:val="21"/>
          <w:szCs w:val="21"/>
        </w:rPr>
        <w:tab/>
        <w:t xml:space="preserve">Moy, C. M., Seltzer, G. O., Rodbell, D. T. &amp; Anderson, D. M. Variability of El Niño/Southern Oscillation activity at millennial timescales during the Holocene epoch. </w:t>
      </w:r>
      <w:r w:rsidRPr="00B41CC5">
        <w:rPr>
          <w:rFonts w:ascii="Times New Roman" w:hAnsi="Times New Roman" w:cs="Times New Roman"/>
          <w:i/>
          <w:sz w:val="21"/>
          <w:szCs w:val="21"/>
        </w:rPr>
        <w:t>Nature</w:t>
      </w:r>
      <w:r w:rsidRPr="00B41CC5">
        <w:rPr>
          <w:rFonts w:ascii="Times New Roman" w:hAnsi="Times New Roman" w:cs="Times New Roman"/>
          <w:sz w:val="21"/>
          <w:szCs w:val="21"/>
        </w:rPr>
        <w:t xml:space="preserve"> </w:t>
      </w:r>
      <w:r w:rsidRPr="00B41CC5">
        <w:rPr>
          <w:rFonts w:ascii="Times New Roman" w:hAnsi="Times New Roman" w:cs="Times New Roman"/>
          <w:b/>
          <w:sz w:val="21"/>
          <w:szCs w:val="21"/>
        </w:rPr>
        <w:t>420</w:t>
      </w:r>
      <w:r w:rsidRPr="00B41CC5">
        <w:rPr>
          <w:rFonts w:ascii="Times New Roman" w:hAnsi="Times New Roman" w:cs="Times New Roman"/>
          <w:sz w:val="21"/>
          <w:szCs w:val="21"/>
        </w:rPr>
        <w:t>, 162-165, doi:10.1038/nature01194 (2002).</w:t>
      </w:r>
    </w:p>
    <w:p w14:paraId="5B1976B2" w14:textId="441FD2CD"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4</w:t>
      </w:r>
      <w:r w:rsidRPr="00B41CC5">
        <w:rPr>
          <w:rFonts w:ascii="Times New Roman" w:hAnsi="Times New Roman" w:cs="Times New Roman"/>
          <w:sz w:val="21"/>
          <w:szCs w:val="21"/>
        </w:rPr>
        <w:tab/>
        <w:t xml:space="preserve">Nan, X. L. Characteristics of Phytoliths in a Core Near Dongying Harbor and Their Paleo-Environmental Implications. </w:t>
      </w:r>
      <w:r w:rsidRPr="00B41CC5">
        <w:rPr>
          <w:rFonts w:ascii="Times New Roman" w:hAnsi="Times New Roman" w:cs="Times New Roman"/>
          <w:i/>
          <w:sz w:val="21"/>
          <w:szCs w:val="21"/>
        </w:rPr>
        <w:t>Advances in Marine Science</w:t>
      </w:r>
      <w:r w:rsidRPr="00B41CC5">
        <w:rPr>
          <w:rFonts w:ascii="Times New Roman" w:hAnsi="Times New Roman" w:cs="Times New Roman"/>
          <w:sz w:val="21"/>
          <w:szCs w:val="21"/>
        </w:rPr>
        <w:t xml:space="preserve"> </w:t>
      </w:r>
      <w:r w:rsidRPr="00B41CC5">
        <w:rPr>
          <w:rFonts w:ascii="Times New Roman" w:hAnsi="Times New Roman" w:cs="Times New Roman"/>
          <w:b/>
          <w:sz w:val="21"/>
          <w:szCs w:val="21"/>
        </w:rPr>
        <w:t>33</w:t>
      </w:r>
      <w:r w:rsidRPr="00B41CC5">
        <w:rPr>
          <w:rFonts w:ascii="Times New Roman" w:hAnsi="Times New Roman" w:cs="Times New Roman"/>
          <w:sz w:val="21"/>
          <w:szCs w:val="21"/>
        </w:rPr>
        <w:t>, 385-393, doi:https://dx.doi.org/10.3969/j.issn.1671-6647.2015.03.013 (2015).</w:t>
      </w:r>
    </w:p>
    <w:p w14:paraId="36051D4F" w14:textId="77777777"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5</w:t>
      </w:r>
      <w:r w:rsidRPr="00B41CC5">
        <w:rPr>
          <w:rFonts w:ascii="Times New Roman" w:hAnsi="Times New Roman" w:cs="Times New Roman"/>
          <w:sz w:val="21"/>
          <w:szCs w:val="21"/>
        </w:rPr>
        <w:tab/>
        <w:t xml:space="preserve">Wang, j. H. </w:t>
      </w:r>
      <w:r w:rsidRPr="00B41CC5">
        <w:rPr>
          <w:rFonts w:ascii="Times New Roman" w:hAnsi="Times New Roman" w:cs="Times New Roman"/>
          <w:i/>
          <w:sz w:val="21"/>
          <w:szCs w:val="21"/>
        </w:rPr>
        <w:t>Study on the Prehistoric Population in the Middle and Lower Reaches of the Yellow River</w:t>
      </w:r>
      <w:r w:rsidRPr="00B41CC5">
        <w:rPr>
          <w:rFonts w:ascii="Times New Roman" w:hAnsi="Times New Roman" w:cs="Times New Roman"/>
          <w:sz w:val="21"/>
          <w:szCs w:val="21"/>
        </w:rPr>
        <w:t>, Shandong University, (2005).</w:t>
      </w:r>
    </w:p>
    <w:p w14:paraId="728F648E" w14:textId="4FFFAFD5"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6</w:t>
      </w:r>
      <w:r w:rsidRPr="00B41CC5">
        <w:rPr>
          <w:rFonts w:ascii="Times New Roman" w:hAnsi="Times New Roman" w:cs="Times New Roman"/>
          <w:sz w:val="21"/>
          <w:szCs w:val="21"/>
        </w:rPr>
        <w:tab/>
        <w:t xml:space="preserve">Wang, X. M. T., Zhi. Hai, Mao, L. J., Lei, Q. J. &amp; Yang, L. Reconstruction of ancient fires and human activities in typical section of the Lubei Plain area since nearly 4000 years. </w:t>
      </w:r>
      <w:r w:rsidRPr="00B41CC5">
        <w:rPr>
          <w:rFonts w:ascii="Times New Roman" w:hAnsi="Times New Roman" w:cs="Times New Roman"/>
          <w:i/>
          <w:sz w:val="21"/>
          <w:szCs w:val="21"/>
        </w:rPr>
        <w:t>Journal of Arid Land Resources and Environment</w:t>
      </w:r>
      <w:r w:rsidRPr="00B41CC5">
        <w:rPr>
          <w:rFonts w:ascii="Times New Roman" w:hAnsi="Times New Roman" w:cs="Times New Roman"/>
          <w:sz w:val="21"/>
          <w:szCs w:val="21"/>
        </w:rPr>
        <w:t xml:space="preserve"> </w:t>
      </w:r>
      <w:r w:rsidRPr="00B41CC5">
        <w:rPr>
          <w:rFonts w:ascii="Times New Roman" w:hAnsi="Times New Roman" w:cs="Times New Roman"/>
          <w:b/>
          <w:sz w:val="21"/>
          <w:szCs w:val="21"/>
        </w:rPr>
        <w:t>37</w:t>
      </w:r>
      <w:r w:rsidRPr="00B41CC5">
        <w:rPr>
          <w:rFonts w:ascii="Times New Roman" w:hAnsi="Times New Roman" w:cs="Times New Roman"/>
          <w:sz w:val="21"/>
          <w:szCs w:val="21"/>
        </w:rPr>
        <w:t>, 92-99, doi:https://linkingh10.13448/j.cnki.jalre.2023.260 (2023).</w:t>
      </w:r>
    </w:p>
    <w:p w14:paraId="69922FC5" w14:textId="4062964D"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7</w:t>
      </w:r>
      <w:r w:rsidRPr="00B41CC5">
        <w:rPr>
          <w:rFonts w:ascii="Times New Roman" w:hAnsi="Times New Roman" w:cs="Times New Roman"/>
          <w:sz w:val="21"/>
          <w:szCs w:val="21"/>
        </w:rPr>
        <w:tab/>
        <w:t>Yang, S. X.</w:t>
      </w:r>
      <w:r w:rsidRPr="00B41CC5">
        <w:rPr>
          <w:rFonts w:ascii="Times New Roman" w:hAnsi="Times New Roman" w:cs="Times New Roman"/>
          <w:i/>
          <w:sz w:val="21"/>
          <w:szCs w:val="21"/>
        </w:rPr>
        <w:t xml:space="preserve"> et al.</w:t>
      </w:r>
      <w:r w:rsidRPr="00B41CC5">
        <w:rPr>
          <w:rFonts w:ascii="Times New Roman" w:hAnsi="Times New Roman" w:cs="Times New Roman"/>
          <w:sz w:val="21"/>
          <w:szCs w:val="21"/>
        </w:rPr>
        <w:t xml:space="preserve"> Large-scale pollen distribution in marine surface sediments from the Bohai Sea, China: Insights into pollen provenance, transport, deposition, and coastal-shelf paleoenvironment. </w:t>
      </w:r>
      <w:r w:rsidRPr="00B41CC5">
        <w:rPr>
          <w:rFonts w:ascii="Times New Roman" w:hAnsi="Times New Roman" w:cs="Times New Roman"/>
          <w:i/>
          <w:sz w:val="21"/>
          <w:szCs w:val="21"/>
        </w:rPr>
        <w:t>Progress in Oceanography</w:t>
      </w:r>
      <w:r w:rsidRPr="00B41CC5">
        <w:rPr>
          <w:rFonts w:ascii="Times New Roman" w:hAnsi="Times New Roman" w:cs="Times New Roman"/>
          <w:sz w:val="21"/>
          <w:szCs w:val="21"/>
        </w:rPr>
        <w:t xml:space="preserve"> </w:t>
      </w:r>
      <w:r w:rsidRPr="00B41CC5">
        <w:rPr>
          <w:rFonts w:ascii="Times New Roman" w:hAnsi="Times New Roman" w:cs="Times New Roman"/>
          <w:b/>
          <w:sz w:val="21"/>
          <w:szCs w:val="21"/>
        </w:rPr>
        <w:t>178</w:t>
      </w:r>
      <w:r w:rsidRPr="00B41CC5">
        <w:rPr>
          <w:rFonts w:ascii="Times New Roman" w:hAnsi="Times New Roman" w:cs="Times New Roman"/>
          <w:sz w:val="21"/>
          <w:szCs w:val="21"/>
        </w:rPr>
        <w:t>, 102183, doi:https://doi.org/10.1016/j.pocean.2019.102183 (2019).</w:t>
      </w:r>
    </w:p>
    <w:p w14:paraId="286A8B0C" w14:textId="77777777" w:rsidR="003A24F4" w:rsidRPr="00B41CC5" w:rsidRDefault="003A24F4" w:rsidP="003A24F4">
      <w:pPr>
        <w:pStyle w:val="EndNoteBibliography"/>
        <w:ind w:left="720" w:hanging="720"/>
        <w:rPr>
          <w:rFonts w:ascii="Times New Roman" w:hAnsi="Times New Roman" w:cs="Times New Roman"/>
          <w:sz w:val="21"/>
          <w:szCs w:val="21"/>
        </w:rPr>
      </w:pPr>
      <w:r w:rsidRPr="00B41CC5">
        <w:rPr>
          <w:rFonts w:ascii="Times New Roman" w:hAnsi="Times New Roman" w:cs="Times New Roman"/>
          <w:sz w:val="21"/>
          <w:szCs w:val="21"/>
        </w:rPr>
        <w:t>8</w:t>
      </w:r>
      <w:r w:rsidRPr="00B41CC5">
        <w:rPr>
          <w:rFonts w:ascii="Times New Roman" w:hAnsi="Times New Roman" w:cs="Times New Roman"/>
          <w:sz w:val="21"/>
          <w:szCs w:val="21"/>
        </w:rPr>
        <w:tab/>
        <w:t>Zhang, S. J.</w:t>
      </w:r>
      <w:r w:rsidRPr="00B41CC5">
        <w:rPr>
          <w:rFonts w:ascii="Times New Roman" w:hAnsi="Times New Roman" w:cs="Times New Roman"/>
          <w:i/>
          <w:sz w:val="21"/>
          <w:szCs w:val="21"/>
        </w:rPr>
        <w:t xml:space="preserve"> et al.</w:t>
      </w:r>
      <w:r w:rsidRPr="00B41CC5">
        <w:rPr>
          <w:rFonts w:ascii="Times New Roman" w:hAnsi="Times New Roman" w:cs="Times New Roman"/>
          <w:sz w:val="21"/>
          <w:szCs w:val="21"/>
        </w:rPr>
        <w:t xml:space="preserve"> Warfare impact overtakes climate-controlled fires in the eastern Silk Roads since 2000 B.P. </w:t>
      </w:r>
      <w:r w:rsidRPr="00B41CC5">
        <w:rPr>
          <w:rFonts w:ascii="Times New Roman" w:hAnsi="Times New Roman" w:cs="Times New Roman"/>
          <w:i/>
          <w:sz w:val="21"/>
          <w:szCs w:val="21"/>
        </w:rPr>
        <w:t>PNAS Nexus</w:t>
      </w:r>
      <w:r w:rsidRPr="00B41CC5">
        <w:rPr>
          <w:rFonts w:ascii="Times New Roman" w:hAnsi="Times New Roman" w:cs="Times New Roman"/>
          <w:sz w:val="21"/>
          <w:szCs w:val="21"/>
        </w:rPr>
        <w:t xml:space="preserve"> </w:t>
      </w:r>
      <w:r w:rsidRPr="00B41CC5">
        <w:rPr>
          <w:rFonts w:ascii="Times New Roman" w:hAnsi="Times New Roman" w:cs="Times New Roman"/>
          <w:b/>
          <w:sz w:val="21"/>
          <w:szCs w:val="21"/>
        </w:rPr>
        <w:t>2</w:t>
      </w:r>
      <w:r w:rsidRPr="00B41CC5">
        <w:rPr>
          <w:rFonts w:ascii="Times New Roman" w:hAnsi="Times New Roman" w:cs="Times New Roman"/>
          <w:sz w:val="21"/>
          <w:szCs w:val="21"/>
        </w:rPr>
        <w:t>, pgad408, doi:10.1093/pnasnexus/pgad408 (2023).</w:t>
      </w:r>
    </w:p>
    <w:p w14:paraId="23B7DD4D" w14:textId="2734BBC4" w:rsidR="0068550B" w:rsidRPr="00CA3247" w:rsidRDefault="0068550B" w:rsidP="00DB06E3">
      <w:pPr>
        <w:autoSpaceDE w:val="0"/>
        <w:autoSpaceDN w:val="0"/>
        <w:adjustRightInd w:val="0"/>
        <w:snapToGrid w:val="0"/>
        <w:spacing w:line="360" w:lineRule="auto"/>
        <w:rPr>
          <w:rFonts w:ascii="Times New Roman" w:hAnsi="Times New Roman" w:cs="Times New Roman" w:hint="eastAsia"/>
          <w:kern w:val="24"/>
          <w:szCs w:val="21"/>
        </w:rPr>
      </w:pPr>
    </w:p>
    <w:sectPr w:rsidR="0068550B" w:rsidRPr="00CA3247" w:rsidSect="00B2690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7AD7F4" w14:textId="77777777" w:rsidR="00D27E6A" w:rsidRDefault="00D27E6A" w:rsidP="001936AA">
      <w:r>
        <w:separator/>
      </w:r>
    </w:p>
  </w:endnote>
  <w:endnote w:type="continuationSeparator" w:id="0">
    <w:p w14:paraId="090E279A" w14:textId="77777777" w:rsidR="00D27E6A" w:rsidRDefault="00D27E6A" w:rsidP="00193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176C01" w14:textId="77777777" w:rsidR="00D27E6A" w:rsidRDefault="00D27E6A" w:rsidP="001936AA">
      <w:r>
        <w:separator/>
      </w:r>
    </w:p>
  </w:footnote>
  <w:footnote w:type="continuationSeparator" w:id="0">
    <w:p w14:paraId="123B879B" w14:textId="77777777" w:rsidR="00D27E6A" w:rsidRDefault="00D27E6A" w:rsidP="001936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ature Scientific Reports 复制&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wwsvdee4sff5se9w5hpzvwqf90pww9vwfps&quot;&gt;My EndNote Library1&lt;record-ids&gt;&lt;item&gt;83&lt;/item&gt;&lt;item&gt;143&lt;/item&gt;&lt;item&gt;146&lt;/item&gt;&lt;item&gt;147&lt;/item&gt;&lt;item&gt;148&lt;/item&gt;&lt;item&gt;149&lt;/item&gt;&lt;item&gt;150&lt;/item&gt;&lt;item&gt;151&lt;/item&gt;&lt;/record-ids&gt;&lt;/item&gt;&lt;/Libraries&gt;"/>
  </w:docVars>
  <w:rsids>
    <w:rsidRoot w:val="006F1B9D"/>
    <w:rsid w:val="0001280D"/>
    <w:rsid w:val="0003226A"/>
    <w:rsid w:val="0003782A"/>
    <w:rsid w:val="0004417D"/>
    <w:rsid w:val="000A0A92"/>
    <w:rsid w:val="000D0960"/>
    <w:rsid w:val="000D5887"/>
    <w:rsid w:val="000E5CBE"/>
    <w:rsid w:val="00103F25"/>
    <w:rsid w:val="00107A81"/>
    <w:rsid w:val="00111268"/>
    <w:rsid w:val="00113928"/>
    <w:rsid w:val="00126A57"/>
    <w:rsid w:val="00147990"/>
    <w:rsid w:val="00150C52"/>
    <w:rsid w:val="00156E68"/>
    <w:rsid w:val="00190E37"/>
    <w:rsid w:val="001936AA"/>
    <w:rsid w:val="001A0E12"/>
    <w:rsid w:val="001D7A56"/>
    <w:rsid w:val="001F3072"/>
    <w:rsid w:val="001F33E4"/>
    <w:rsid w:val="001F7300"/>
    <w:rsid w:val="00207606"/>
    <w:rsid w:val="002132FA"/>
    <w:rsid w:val="0023654F"/>
    <w:rsid w:val="00242DCF"/>
    <w:rsid w:val="002431F6"/>
    <w:rsid w:val="002515CD"/>
    <w:rsid w:val="002B17A0"/>
    <w:rsid w:val="002C16DD"/>
    <w:rsid w:val="002E3AA9"/>
    <w:rsid w:val="003043A3"/>
    <w:rsid w:val="00311106"/>
    <w:rsid w:val="00331EA5"/>
    <w:rsid w:val="003427D4"/>
    <w:rsid w:val="00371649"/>
    <w:rsid w:val="00390836"/>
    <w:rsid w:val="003A24F4"/>
    <w:rsid w:val="003A6536"/>
    <w:rsid w:val="003C4E30"/>
    <w:rsid w:val="003E0C18"/>
    <w:rsid w:val="003E4B33"/>
    <w:rsid w:val="00413B11"/>
    <w:rsid w:val="0043748F"/>
    <w:rsid w:val="00472702"/>
    <w:rsid w:val="004D2A17"/>
    <w:rsid w:val="005221FC"/>
    <w:rsid w:val="005341D2"/>
    <w:rsid w:val="00542D88"/>
    <w:rsid w:val="00550563"/>
    <w:rsid w:val="00555A4E"/>
    <w:rsid w:val="00557A72"/>
    <w:rsid w:val="00563E73"/>
    <w:rsid w:val="0056471A"/>
    <w:rsid w:val="005760E6"/>
    <w:rsid w:val="005937A5"/>
    <w:rsid w:val="005A70CB"/>
    <w:rsid w:val="005D42E1"/>
    <w:rsid w:val="005D52AA"/>
    <w:rsid w:val="005E1EFA"/>
    <w:rsid w:val="005F00D9"/>
    <w:rsid w:val="00610201"/>
    <w:rsid w:val="00614D86"/>
    <w:rsid w:val="006202F7"/>
    <w:rsid w:val="00627939"/>
    <w:rsid w:val="00646767"/>
    <w:rsid w:val="006620B2"/>
    <w:rsid w:val="0066390F"/>
    <w:rsid w:val="00664ACF"/>
    <w:rsid w:val="00673022"/>
    <w:rsid w:val="00681200"/>
    <w:rsid w:val="0068550B"/>
    <w:rsid w:val="0069559B"/>
    <w:rsid w:val="006B100E"/>
    <w:rsid w:val="006B7015"/>
    <w:rsid w:val="006C077B"/>
    <w:rsid w:val="006D3B57"/>
    <w:rsid w:val="006E5C5A"/>
    <w:rsid w:val="006F1B9D"/>
    <w:rsid w:val="0070172E"/>
    <w:rsid w:val="00716268"/>
    <w:rsid w:val="00724582"/>
    <w:rsid w:val="0072680D"/>
    <w:rsid w:val="00726F3E"/>
    <w:rsid w:val="007311B7"/>
    <w:rsid w:val="00763AFF"/>
    <w:rsid w:val="00764C3D"/>
    <w:rsid w:val="00786406"/>
    <w:rsid w:val="0079468D"/>
    <w:rsid w:val="007A40A0"/>
    <w:rsid w:val="007A4208"/>
    <w:rsid w:val="007B04BA"/>
    <w:rsid w:val="007B6526"/>
    <w:rsid w:val="007C321A"/>
    <w:rsid w:val="007C42FE"/>
    <w:rsid w:val="007C55CD"/>
    <w:rsid w:val="007E2A53"/>
    <w:rsid w:val="007F4C76"/>
    <w:rsid w:val="00805B32"/>
    <w:rsid w:val="008165E7"/>
    <w:rsid w:val="008337E7"/>
    <w:rsid w:val="008350DD"/>
    <w:rsid w:val="008427AA"/>
    <w:rsid w:val="008649F0"/>
    <w:rsid w:val="00866FBE"/>
    <w:rsid w:val="008718FB"/>
    <w:rsid w:val="00880732"/>
    <w:rsid w:val="008859D6"/>
    <w:rsid w:val="008A0E1D"/>
    <w:rsid w:val="008B3CB9"/>
    <w:rsid w:val="008B446D"/>
    <w:rsid w:val="008B5214"/>
    <w:rsid w:val="008B7C94"/>
    <w:rsid w:val="008C0F30"/>
    <w:rsid w:val="008C49A4"/>
    <w:rsid w:val="008D0AC9"/>
    <w:rsid w:val="008E4E94"/>
    <w:rsid w:val="008F041A"/>
    <w:rsid w:val="009037DF"/>
    <w:rsid w:val="009058E0"/>
    <w:rsid w:val="00921B08"/>
    <w:rsid w:val="009235DD"/>
    <w:rsid w:val="0093168E"/>
    <w:rsid w:val="00946F83"/>
    <w:rsid w:val="0095422E"/>
    <w:rsid w:val="009641A1"/>
    <w:rsid w:val="0098707A"/>
    <w:rsid w:val="009870B9"/>
    <w:rsid w:val="009A5EB2"/>
    <w:rsid w:val="009B0887"/>
    <w:rsid w:val="009D2711"/>
    <w:rsid w:val="009E6AF1"/>
    <w:rsid w:val="009F61B0"/>
    <w:rsid w:val="009F7968"/>
    <w:rsid w:val="00A2535C"/>
    <w:rsid w:val="00A3337B"/>
    <w:rsid w:val="00A37B48"/>
    <w:rsid w:val="00A50DBB"/>
    <w:rsid w:val="00A633D4"/>
    <w:rsid w:val="00A93537"/>
    <w:rsid w:val="00AC239C"/>
    <w:rsid w:val="00AC5860"/>
    <w:rsid w:val="00B00689"/>
    <w:rsid w:val="00B02E45"/>
    <w:rsid w:val="00B2203B"/>
    <w:rsid w:val="00B2690D"/>
    <w:rsid w:val="00B41CC5"/>
    <w:rsid w:val="00B6245B"/>
    <w:rsid w:val="00B67D01"/>
    <w:rsid w:val="00B72264"/>
    <w:rsid w:val="00B8141D"/>
    <w:rsid w:val="00BC4174"/>
    <w:rsid w:val="00BC47F5"/>
    <w:rsid w:val="00C14ABF"/>
    <w:rsid w:val="00C22DD0"/>
    <w:rsid w:val="00C36B52"/>
    <w:rsid w:val="00C47395"/>
    <w:rsid w:val="00C506CB"/>
    <w:rsid w:val="00C5468C"/>
    <w:rsid w:val="00C71597"/>
    <w:rsid w:val="00C772AA"/>
    <w:rsid w:val="00CA0F16"/>
    <w:rsid w:val="00CA3247"/>
    <w:rsid w:val="00CA3515"/>
    <w:rsid w:val="00CB15CC"/>
    <w:rsid w:val="00CB660D"/>
    <w:rsid w:val="00CE1A2A"/>
    <w:rsid w:val="00CE78C9"/>
    <w:rsid w:val="00D04F1F"/>
    <w:rsid w:val="00D122E0"/>
    <w:rsid w:val="00D206EC"/>
    <w:rsid w:val="00D27E6A"/>
    <w:rsid w:val="00D35596"/>
    <w:rsid w:val="00D56AE8"/>
    <w:rsid w:val="00D63DEE"/>
    <w:rsid w:val="00D71863"/>
    <w:rsid w:val="00D80287"/>
    <w:rsid w:val="00DB06E3"/>
    <w:rsid w:val="00DB408E"/>
    <w:rsid w:val="00DB4E82"/>
    <w:rsid w:val="00DB65B7"/>
    <w:rsid w:val="00DF224D"/>
    <w:rsid w:val="00DF6AB6"/>
    <w:rsid w:val="00E020BE"/>
    <w:rsid w:val="00E21345"/>
    <w:rsid w:val="00E30EA4"/>
    <w:rsid w:val="00E70AEA"/>
    <w:rsid w:val="00EA39DF"/>
    <w:rsid w:val="00EC4847"/>
    <w:rsid w:val="00EC6E65"/>
    <w:rsid w:val="00EF7B76"/>
    <w:rsid w:val="00F11D47"/>
    <w:rsid w:val="00F15D0D"/>
    <w:rsid w:val="00F204E5"/>
    <w:rsid w:val="00F23275"/>
    <w:rsid w:val="00F2367A"/>
    <w:rsid w:val="00F31780"/>
    <w:rsid w:val="00F36B5B"/>
    <w:rsid w:val="00FB519A"/>
    <w:rsid w:val="00FC1C29"/>
    <w:rsid w:val="00FF4718"/>
    <w:rsid w:val="00FF6E7D"/>
    <w:rsid w:val="00FF72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BDCD9"/>
  <w15:docId w15:val="{F12BCAD5-5655-43EB-B036-9E8D62218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B9D"/>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gt1">
    <w:name w:val="tgt1"/>
    <w:basedOn w:val="a0"/>
    <w:rsid w:val="00921B08"/>
  </w:style>
  <w:style w:type="paragraph" w:styleId="a3">
    <w:name w:val="header"/>
    <w:basedOn w:val="a"/>
    <w:link w:val="a4"/>
    <w:uiPriority w:val="99"/>
    <w:unhideWhenUsed/>
    <w:rsid w:val="001936AA"/>
    <w:pPr>
      <w:tabs>
        <w:tab w:val="center" w:pos="4153"/>
        <w:tab w:val="right" w:pos="8306"/>
      </w:tabs>
      <w:snapToGrid w:val="0"/>
      <w:jc w:val="center"/>
    </w:pPr>
    <w:rPr>
      <w:sz w:val="18"/>
      <w:szCs w:val="18"/>
    </w:rPr>
  </w:style>
  <w:style w:type="character" w:customStyle="1" w:styleId="a4">
    <w:name w:val="页眉 字符"/>
    <w:basedOn w:val="a0"/>
    <w:link w:val="a3"/>
    <w:uiPriority w:val="99"/>
    <w:rsid w:val="001936AA"/>
    <w:rPr>
      <w:sz w:val="18"/>
      <w:szCs w:val="18"/>
    </w:rPr>
  </w:style>
  <w:style w:type="paragraph" w:styleId="a5">
    <w:name w:val="footer"/>
    <w:basedOn w:val="a"/>
    <w:link w:val="a6"/>
    <w:uiPriority w:val="99"/>
    <w:unhideWhenUsed/>
    <w:rsid w:val="001936AA"/>
    <w:pPr>
      <w:tabs>
        <w:tab w:val="center" w:pos="4153"/>
        <w:tab w:val="right" w:pos="8306"/>
      </w:tabs>
      <w:snapToGrid w:val="0"/>
      <w:jc w:val="left"/>
    </w:pPr>
    <w:rPr>
      <w:sz w:val="18"/>
      <w:szCs w:val="18"/>
    </w:rPr>
  </w:style>
  <w:style w:type="character" w:customStyle="1" w:styleId="a6">
    <w:name w:val="页脚 字符"/>
    <w:basedOn w:val="a0"/>
    <w:link w:val="a5"/>
    <w:uiPriority w:val="99"/>
    <w:rsid w:val="001936AA"/>
    <w:rPr>
      <w:sz w:val="18"/>
      <w:szCs w:val="18"/>
    </w:rPr>
  </w:style>
  <w:style w:type="character" w:styleId="a7">
    <w:name w:val="Strong"/>
    <w:basedOn w:val="a0"/>
    <w:uiPriority w:val="22"/>
    <w:qFormat/>
    <w:rsid w:val="00614D86"/>
    <w:rPr>
      <w:b/>
      <w:bCs/>
    </w:rPr>
  </w:style>
  <w:style w:type="paragraph" w:styleId="a8">
    <w:name w:val="Normal (Web)"/>
    <w:basedOn w:val="a"/>
    <w:uiPriority w:val="99"/>
    <w:semiHidden/>
    <w:unhideWhenUsed/>
    <w:rsid w:val="00DF224D"/>
    <w:pPr>
      <w:widowControl/>
      <w:spacing w:before="100" w:beforeAutospacing="1" w:after="100" w:afterAutospacing="1"/>
      <w:jc w:val="left"/>
    </w:pPr>
    <w:rPr>
      <w:rFonts w:ascii="宋体" w:eastAsia="宋体" w:hAnsi="宋体" w:cs="宋体"/>
      <w:kern w:val="0"/>
      <w:sz w:val="24"/>
      <w:szCs w:val="24"/>
    </w:rPr>
  </w:style>
  <w:style w:type="paragraph" w:customStyle="1" w:styleId="EndNoteBibliographyTitle">
    <w:name w:val="EndNote Bibliography Title"/>
    <w:basedOn w:val="a"/>
    <w:link w:val="EndNoteBibliographyTitle0"/>
    <w:rsid w:val="003A24F4"/>
    <w:pPr>
      <w:jc w:val="center"/>
    </w:pPr>
    <w:rPr>
      <w:rFonts w:ascii="Calibri" w:hAnsi="Calibri" w:cs="Calibri"/>
      <w:noProof/>
      <w:sz w:val="20"/>
    </w:rPr>
  </w:style>
  <w:style w:type="character" w:customStyle="1" w:styleId="EndNoteBibliographyTitle0">
    <w:name w:val="EndNote Bibliography Title 字符"/>
    <w:basedOn w:val="a0"/>
    <w:link w:val="EndNoteBibliographyTitle"/>
    <w:rsid w:val="003A24F4"/>
    <w:rPr>
      <w:rFonts w:ascii="Calibri" w:hAnsi="Calibri" w:cs="Calibri"/>
      <w:noProof/>
      <w:sz w:val="20"/>
    </w:rPr>
  </w:style>
  <w:style w:type="paragraph" w:customStyle="1" w:styleId="EndNoteBibliography">
    <w:name w:val="EndNote Bibliography"/>
    <w:basedOn w:val="a"/>
    <w:link w:val="EndNoteBibliography0"/>
    <w:rsid w:val="003A24F4"/>
    <w:rPr>
      <w:rFonts w:ascii="Calibri" w:hAnsi="Calibri" w:cs="Calibri"/>
      <w:noProof/>
      <w:sz w:val="20"/>
    </w:rPr>
  </w:style>
  <w:style w:type="character" w:customStyle="1" w:styleId="EndNoteBibliography0">
    <w:name w:val="EndNote Bibliography 字符"/>
    <w:basedOn w:val="a0"/>
    <w:link w:val="EndNoteBibliography"/>
    <w:rsid w:val="003A24F4"/>
    <w:rPr>
      <w:rFonts w:ascii="Calibri" w:hAnsi="Calibri" w:cs="Calibri"/>
      <w:noProof/>
      <w:sz w:val="20"/>
    </w:rPr>
  </w:style>
  <w:style w:type="character" w:styleId="a9">
    <w:name w:val="Hyperlink"/>
    <w:basedOn w:val="a0"/>
    <w:uiPriority w:val="99"/>
    <w:unhideWhenUsed/>
    <w:rsid w:val="003A24F4"/>
    <w:rPr>
      <w:color w:val="0000FF" w:themeColor="hyperlink"/>
      <w:u w:val="single"/>
    </w:rPr>
  </w:style>
  <w:style w:type="character" w:styleId="aa">
    <w:name w:val="Unresolved Mention"/>
    <w:basedOn w:val="a0"/>
    <w:uiPriority w:val="99"/>
    <w:semiHidden/>
    <w:unhideWhenUsed/>
    <w:rsid w:val="003A24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130346">
      <w:bodyDiv w:val="1"/>
      <w:marLeft w:val="0"/>
      <w:marRight w:val="0"/>
      <w:marTop w:val="0"/>
      <w:marBottom w:val="0"/>
      <w:divBdr>
        <w:top w:val="none" w:sz="0" w:space="0" w:color="auto"/>
        <w:left w:val="none" w:sz="0" w:space="0" w:color="auto"/>
        <w:bottom w:val="none" w:sz="0" w:space="0" w:color="auto"/>
        <w:right w:val="none" w:sz="0" w:space="0" w:color="auto"/>
      </w:divBdr>
    </w:div>
    <w:div w:id="103304353">
      <w:bodyDiv w:val="1"/>
      <w:marLeft w:val="0"/>
      <w:marRight w:val="0"/>
      <w:marTop w:val="0"/>
      <w:marBottom w:val="0"/>
      <w:divBdr>
        <w:top w:val="none" w:sz="0" w:space="0" w:color="auto"/>
        <w:left w:val="none" w:sz="0" w:space="0" w:color="auto"/>
        <w:bottom w:val="none" w:sz="0" w:space="0" w:color="auto"/>
        <w:right w:val="none" w:sz="0" w:space="0" w:color="auto"/>
      </w:divBdr>
    </w:div>
    <w:div w:id="205723273">
      <w:bodyDiv w:val="1"/>
      <w:marLeft w:val="0"/>
      <w:marRight w:val="0"/>
      <w:marTop w:val="0"/>
      <w:marBottom w:val="0"/>
      <w:divBdr>
        <w:top w:val="none" w:sz="0" w:space="0" w:color="auto"/>
        <w:left w:val="none" w:sz="0" w:space="0" w:color="auto"/>
        <w:bottom w:val="none" w:sz="0" w:space="0" w:color="auto"/>
        <w:right w:val="none" w:sz="0" w:space="0" w:color="auto"/>
      </w:divBdr>
    </w:div>
    <w:div w:id="1438062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906</TotalTime>
  <Pages>2</Pages>
  <Words>813</Words>
  <Characters>4640</Characters>
  <Application>Microsoft Office Word</Application>
  <DocSecurity>0</DocSecurity>
  <Lines>38</Lines>
  <Paragraphs>10</Paragraphs>
  <ScaleCrop>false</ScaleCrop>
  <Company>Lenovo.com</Company>
  <LinksUpToDate>false</LinksUpToDate>
  <CharactersWithSpaces>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huanrong zuo</cp:lastModifiedBy>
  <cp:revision>122</cp:revision>
  <dcterms:created xsi:type="dcterms:W3CDTF">2024-02-25T13:23:00Z</dcterms:created>
  <dcterms:modified xsi:type="dcterms:W3CDTF">2024-11-06T07:01:00Z</dcterms:modified>
</cp:coreProperties>
</file>