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50340E">
      <w:r>
        <w:rPr>
          <w:rFonts w:hint="eastAsia" w:ascii="Times New Roman" w:hAnsi="Times New Roman" w:eastAsia="宋体" w:cs="Times New Roman"/>
          <w:sz w:val="22"/>
        </w:rPr>
        <w:t>Supplementary Table 1:The effect of GTVnx volume per unit increase on OS and PFS in different groups</w:t>
      </w:r>
      <w:bookmarkStart w:id="0" w:name="_GoBack"/>
      <w:bookmarkEnd w:id="0"/>
    </w:p>
    <w:tbl>
      <w:tblPr>
        <w:tblStyle w:val="2"/>
        <w:tblW w:w="8494" w:type="dxa"/>
        <w:tblInd w:w="2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4"/>
        <w:gridCol w:w="240"/>
        <w:gridCol w:w="1811"/>
        <w:gridCol w:w="1473"/>
        <w:gridCol w:w="1636"/>
        <w:gridCol w:w="257"/>
        <w:gridCol w:w="1143"/>
      </w:tblGrid>
      <w:tr w14:paraId="4C0FD5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934" w:type="dxa"/>
            <w:vMerge w:val="restart"/>
            <w:tcBorders>
              <w:top w:val="single" w:color="auto" w:sz="4" w:space="0"/>
              <w:left w:val="nil"/>
              <w:right w:val="nil"/>
            </w:tcBorders>
            <w:noWrap/>
            <w:vAlign w:val="top"/>
          </w:tcPr>
          <w:p w14:paraId="6C24C59D"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lang w:val="en-US" w:eastAsia="zh-CN"/>
              </w:rPr>
              <w:t>R</w:t>
            </w:r>
            <w:r>
              <w:rPr>
                <w:rFonts w:hint="eastAsia" w:ascii="Times New Roman" w:hAnsi="Times New Roman" w:eastAsia="宋体"/>
                <w:color w:val="000000"/>
                <w:kern w:val="0"/>
              </w:rPr>
              <w:t>isk groups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top"/>
          </w:tcPr>
          <w:p w14:paraId="566AB0E6">
            <w:pPr>
              <w:widowControl/>
              <w:jc w:val="center"/>
              <w:rPr>
                <w:rFonts w:ascii="Times New Roman" w:hAnsi="Times New Roman" w:eastAsia="宋体"/>
                <w:color w:val="000000"/>
                <w:kern w:val="0"/>
              </w:rPr>
            </w:pPr>
          </w:p>
        </w:tc>
        <w:tc>
          <w:tcPr>
            <w:tcW w:w="32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top"/>
          </w:tcPr>
          <w:p w14:paraId="55D14083">
            <w:pPr>
              <w:widowControl/>
              <w:jc w:val="center"/>
              <w:rPr>
                <w:rFonts w:hint="eastAsia" w:ascii="Times New Roman" w:hAnsi="Times New Roman" w:eastAsia="宋体"/>
                <w:color w:val="000000"/>
                <w:kern w:val="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lang w:val="en-US" w:eastAsia="zh-CN"/>
              </w:rPr>
              <w:t>OS</w:t>
            </w:r>
          </w:p>
        </w:tc>
        <w:tc>
          <w:tcPr>
            <w:tcW w:w="30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top"/>
          </w:tcPr>
          <w:p w14:paraId="56D89478">
            <w:pPr>
              <w:widowControl/>
              <w:jc w:val="center"/>
              <w:rPr>
                <w:rFonts w:hint="eastAsia" w:ascii="Times New Roman" w:hAnsi="Times New Roman" w:eastAsia="宋体"/>
                <w:color w:val="000000"/>
                <w:kern w:val="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lang w:val="en-US" w:eastAsia="zh-CN"/>
              </w:rPr>
              <w:t>PFS</w:t>
            </w:r>
          </w:p>
        </w:tc>
      </w:tr>
      <w:tr w14:paraId="453B78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934" w:type="dxa"/>
            <w:vMerge w:val="continue"/>
            <w:tcBorders>
              <w:left w:val="nil"/>
              <w:bottom w:val="single" w:color="auto" w:sz="4" w:space="0"/>
              <w:right w:val="nil"/>
            </w:tcBorders>
            <w:noWrap/>
            <w:vAlign w:val="top"/>
          </w:tcPr>
          <w:p w14:paraId="18C2B5BA">
            <w:pPr>
              <w:widowControl/>
              <w:jc w:val="both"/>
              <w:rPr>
                <w:rFonts w:hint="eastAsia" w:ascii="Times New Roman" w:hAnsi="Times New Roman" w:eastAsia="宋体"/>
                <w:color w:val="000000"/>
                <w:kern w:val="0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top"/>
          </w:tcPr>
          <w:p w14:paraId="2752A9AA">
            <w:pPr>
              <w:widowControl/>
              <w:jc w:val="both"/>
              <w:rPr>
                <w:rFonts w:ascii="Times New Roman" w:hAnsi="Times New Roman" w:eastAsia="宋体"/>
                <w:color w:val="000000"/>
                <w:kern w:val="0"/>
              </w:rPr>
            </w:pPr>
          </w:p>
        </w:tc>
        <w:tc>
          <w:tcPr>
            <w:tcW w:w="181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top"/>
          </w:tcPr>
          <w:p w14:paraId="766A8580">
            <w:pPr>
              <w:widowControl/>
              <w:jc w:val="both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HR (95% CI)</w:t>
            </w:r>
          </w:p>
        </w:tc>
        <w:tc>
          <w:tcPr>
            <w:tcW w:w="147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top"/>
          </w:tcPr>
          <w:p w14:paraId="4FE1D53F">
            <w:pPr>
              <w:widowControl/>
              <w:jc w:val="both"/>
              <w:rPr>
                <w:rFonts w:ascii="Times New Roman" w:hAnsi="Times New Roman" w:eastAsia="宋体"/>
                <w:color w:val="000000"/>
                <w:kern w:val="0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</w:rPr>
              <w:t>P</w:t>
            </w:r>
          </w:p>
        </w:tc>
        <w:tc>
          <w:tcPr>
            <w:tcW w:w="18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top"/>
          </w:tcPr>
          <w:p w14:paraId="21B8DF9A">
            <w:pPr>
              <w:widowControl/>
              <w:jc w:val="both"/>
              <w:rPr>
                <w:rFonts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HR (95% CI)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top"/>
          </w:tcPr>
          <w:p w14:paraId="0C165C56">
            <w:pPr>
              <w:widowControl/>
              <w:jc w:val="both"/>
              <w:rPr>
                <w:rFonts w:ascii="Times New Roman" w:hAnsi="Times New Roman" w:eastAsia="宋体" w:cstheme="minorBidi"/>
                <w:color w:val="000000"/>
                <w:kern w:val="0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  <w:kern w:val="0"/>
              </w:rPr>
              <w:t>P</w:t>
            </w:r>
          </w:p>
        </w:tc>
      </w:tr>
      <w:tr w14:paraId="4AB662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74874">
            <w:pPr>
              <w:widowControl/>
              <w:rPr>
                <w:rFonts w:hint="eastAsia" w:ascii="Times New Roman" w:hAnsi="Times New Roman" w:eastAsia="宋体" w:cstheme="minorBidi"/>
                <w:color w:val="000000"/>
                <w:kern w:val="0"/>
                <w:sz w:val="21"/>
                <w:szCs w:val="22"/>
                <w:highlight w:val="yellow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highlight w:val="none"/>
                <w:lang w:val="en-US" w:eastAsia="zh-CN"/>
              </w:rPr>
              <w:t>Monocyte-low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9A1012">
            <w:pPr>
              <w:widowControl/>
              <w:rPr>
                <w:rFonts w:ascii="Times New Roman" w:hAnsi="Times New Roman" w:eastAsia="宋体"/>
                <w:color w:val="000000"/>
                <w:kern w:val="0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B959E">
            <w:pPr>
              <w:widowControl/>
              <w:rPr>
                <w:rFonts w:hint="default" w:ascii="Times New Roman" w:hAnsi="Times New Roman" w:eastAsia="宋体"/>
                <w:color w:val="000000"/>
                <w:kern w:val="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lang w:val="en-US" w:eastAsia="zh-CN"/>
              </w:rPr>
              <w:t>1.01(1.00-1.02)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547FB9">
            <w:pPr>
              <w:widowControl/>
              <w:rPr>
                <w:rFonts w:hint="default" w:ascii="Times New Roman" w:hAnsi="Times New Roman" w:eastAsia="宋体"/>
                <w:color w:val="000000"/>
                <w:kern w:val="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lang w:val="en-US" w:eastAsia="zh-CN"/>
              </w:rPr>
              <w:t>0.029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573F4">
            <w:pPr>
              <w:widowControl/>
              <w:rPr>
                <w:rFonts w:hint="default" w:ascii="Times New Roman" w:hAnsi="Times New Roman" w:eastAsia="宋体"/>
                <w:color w:val="000000"/>
                <w:kern w:val="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lang w:val="en-US" w:eastAsia="zh-CN"/>
              </w:rPr>
              <w:t>1.01(1.00-1.02)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DC78B">
            <w:pPr>
              <w:widowControl/>
              <w:rPr>
                <w:rFonts w:hint="default" w:ascii="Times New Roman" w:hAnsi="Times New Roman" w:eastAsia="宋体"/>
                <w:color w:val="000000"/>
                <w:kern w:val="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lang w:val="en-US" w:eastAsia="zh-CN"/>
              </w:rPr>
              <w:t>0.000</w:t>
            </w:r>
          </w:p>
        </w:tc>
      </w:tr>
      <w:tr w14:paraId="13EFA6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3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67A159D1">
            <w:pPr>
              <w:widowControl/>
              <w:rPr>
                <w:rFonts w:hint="eastAsia" w:ascii="Times New Roman" w:hAnsi="Times New Roman" w:eastAsia="宋体" w:cstheme="minorBidi"/>
                <w:color w:val="000000"/>
                <w:kern w:val="0"/>
                <w:sz w:val="21"/>
                <w:szCs w:val="22"/>
                <w:highlight w:val="yellow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highlight w:val="none"/>
                <w:lang w:val="en-US" w:eastAsia="zh-CN"/>
              </w:rPr>
              <w:t>Monocyte-high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0B534CDD">
            <w:pPr>
              <w:widowControl/>
              <w:rPr>
                <w:rFonts w:ascii="Times New Roman" w:hAnsi="Times New Roman" w:eastAsia="宋体"/>
                <w:color w:val="000000"/>
                <w:kern w:val="0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0E0F447D">
            <w:pPr>
              <w:widowControl/>
              <w:rPr>
                <w:rFonts w:hint="default" w:ascii="Times New Roman" w:hAnsi="Times New Roman" w:eastAsia="宋体"/>
                <w:color w:val="000000"/>
                <w:kern w:val="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lang w:val="en-US" w:eastAsia="zh-CN"/>
              </w:rPr>
              <w:t>1.00(0.99-1.01)</w:t>
            </w:r>
          </w:p>
        </w:tc>
        <w:tc>
          <w:tcPr>
            <w:tcW w:w="147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0FC6977B">
            <w:pPr>
              <w:widowControl/>
              <w:rPr>
                <w:rFonts w:hint="default" w:ascii="Times New Roman" w:hAnsi="Times New Roman" w:eastAsia="宋体"/>
                <w:color w:val="000000"/>
                <w:kern w:val="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lang w:val="en-US" w:eastAsia="zh-CN"/>
              </w:rPr>
              <w:t>0.182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682C3B8B">
            <w:pPr>
              <w:widowControl/>
              <w:rPr>
                <w:rFonts w:hint="default" w:ascii="Times New Roman" w:hAnsi="Times New Roman" w:eastAsia="宋体"/>
                <w:color w:val="000000"/>
                <w:kern w:val="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lang w:val="en-US" w:eastAsia="zh-CN"/>
              </w:rPr>
              <w:t>1.00(1.00-1.01)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25FFF68E">
            <w:pPr>
              <w:widowControl/>
              <w:rPr>
                <w:rFonts w:hint="default" w:ascii="Times New Roman" w:hAnsi="Times New Roman" w:eastAsia="宋体"/>
                <w:color w:val="000000"/>
                <w:kern w:val="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kern w:val="0"/>
                <w:lang w:val="en-US" w:eastAsia="zh-CN"/>
              </w:rPr>
              <w:t>0.074</w:t>
            </w:r>
          </w:p>
        </w:tc>
      </w:tr>
    </w:tbl>
    <w:p w14:paraId="5875064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jMzBlN2U0N2U3MTYwMzJlNDA0MzFiZjEwYjZjOGUifQ=="/>
  </w:docVars>
  <w:rsids>
    <w:rsidRoot w:val="00000000"/>
    <w:rsid w:val="3E3F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2024-10-27T07:43:41Z</dcterms:created>
  <dc:creator>宋</dc:creator>
  <cp:lastModifiedBy>แล้ว " ความสุข</cp:lastModifiedBy>
  <dcterms:modified xsi:type="dcterms:W3CDTF">2024-10-27T07:45:22Z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BDE66C3BF09446A5AAF452B46C0B17C1_12</vt:lpwstr>
  </property>
</Properties>
</file>