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03075F" w14:textId="77777777" w:rsidR="002F6C78" w:rsidRDefault="002F6C78">
      <w:pPr>
        <w:spacing w:line="360" w:lineRule="exact"/>
        <w:rPr>
          <w:rFonts w:ascii="Times New Roman" w:hAnsi="Times New Roman" w:cs="Times New Roman"/>
          <w:b/>
          <w:bCs/>
          <w:szCs w:val="21"/>
        </w:rPr>
      </w:pPr>
    </w:p>
    <w:p w14:paraId="0D3E7E4A" w14:textId="77777777" w:rsidR="002F6C78" w:rsidRDefault="00000000">
      <w:pPr>
        <w:spacing w:line="360" w:lineRule="exact"/>
        <w:rPr>
          <w:rFonts w:ascii="Times New Roman" w:hAnsi="Times New Roman" w:cs="Times New Roman"/>
          <w:b/>
          <w:bCs/>
          <w:szCs w:val="21"/>
        </w:rPr>
      </w:pPr>
      <w:r>
        <w:rPr>
          <w:rFonts w:ascii="Times New Roman" w:hAnsi="Times New Roman" w:cs="Times New Roman" w:hint="eastAsia"/>
          <w:b/>
          <w:bCs/>
          <w:szCs w:val="21"/>
        </w:rPr>
        <w:t>Appendix</w:t>
      </w:r>
    </w:p>
    <w:p w14:paraId="317F87E5" w14:textId="77777777" w:rsidR="002F6C78" w:rsidRDefault="00000000">
      <w:pPr>
        <w:ind w:firstLineChars="200" w:firstLine="422"/>
        <w:rPr>
          <w:rFonts w:ascii="Times New Roman" w:hAnsi="Times New Roman" w:cs="Times New Roman"/>
          <w:szCs w:val="21"/>
        </w:rPr>
      </w:pPr>
      <w:r>
        <w:rPr>
          <w:rFonts w:ascii="Times New Roman" w:hAnsi="Times New Roman" w:cs="Times New Roman" w:hint="eastAsia"/>
          <w:b/>
          <w:bCs/>
          <w:szCs w:val="21"/>
        </w:rPr>
        <w:t>Appendix</w:t>
      </w:r>
      <w:r>
        <w:rPr>
          <w:rFonts w:ascii="Times New Roman" w:hAnsi="Times New Roman" w:cs="Times New Roman"/>
          <w:b/>
          <w:bCs/>
          <w:szCs w:val="21"/>
        </w:rPr>
        <w:t xml:space="preserve"> </w:t>
      </w:r>
      <w:r>
        <w:rPr>
          <w:rFonts w:ascii="Times New Roman" w:hAnsi="Times New Roman" w:cs="Times New Roman" w:hint="eastAsia"/>
          <w:b/>
          <w:bCs/>
          <w:szCs w:val="21"/>
        </w:rPr>
        <w:t>A</w:t>
      </w:r>
      <w:r>
        <w:rPr>
          <w:rFonts w:ascii="Times New Roman" w:hAnsi="Times New Roman" w:cs="Times New Roman"/>
          <w:b/>
          <w:bCs/>
          <w:szCs w:val="21"/>
        </w:rPr>
        <w:t>.</w:t>
      </w:r>
      <w:r>
        <w:rPr>
          <w:rFonts w:ascii="Times New Roman" w:hAnsi="Times New Roman" w:cs="Times New Roman"/>
          <w:szCs w:val="21"/>
        </w:rPr>
        <w:t xml:space="preserve"> Operating mileage of China's high-speed rail </w:t>
      </w:r>
      <w:r>
        <w:rPr>
          <w:rFonts w:ascii="Times New Roman" w:hAnsi="Times New Roman" w:cs="Times New Roman" w:hint="eastAsia"/>
          <w:szCs w:val="21"/>
        </w:rPr>
        <w:t xml:space="preserve">and its proportion to the total operating mileage of railways </w:t>
      </w:r>
      <w:r>
        <w:rPr>
          <w:rFonts w:ascii="Times New Roman" w:hAnsi="Times New Roman" w:cs="Times New Roman"/>
          <w:szCs w:val="21"/>
        </w:rPr>
        <w:t>from 2008 to 2022.</w:t>
      </w:r>
    </w:p>
    <w:p w14:paraId="048D19B6" w14:textId="77777777" w:rsidR="002F6C78" w:rsidRDefault="00000000">
      <w:r>
        <w:t xml:space="preserve">   </w:t>
      </w:r>
      <w:r>
        <w:rPr>
          <w:noProof/>
        </w:rPr>
        <w:drawing>
          <wp:inline distT="0" distB="0" distL="114300" distR="114300" wp14:anchorId="6DBD6676" wp14:editId="1610ADDD">
            <wp:extent cx="4909820" cy="2533015"/>
            <wp:effectExtent l="0" t="0" r="12700" b="12065"/>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4201377" w14:textId="77777777" w:rsidR="002F6C78" w:rsidRDefault="00000000">
      <w:pPr>
        <w:ind w:firstLineChars="200" w:firstLine="422"/>
        <w:rPr>
          <w:rFonts w:ascii="Times New Roman" w:hAnsi="Times New Roman" w:cs="Times New Roman"/>
          <w:szCs w:val="21"/>
        </w:rPr>
      </w:pPr>
      <w:r>
        <w:rPr>
          <w:rFonts w:ascii="Times New Roman" w:hAnsi="Times New Roman" w:cs="Times New Roman" w:hint="eastAsia"/>
          <w:b/>
          <w:bCs/>
          <w:szCs w:val="21"/>
        </w:rPr>
        <w:t>Appendix</w:t>
      </w:r>
      <w:r>
        <w:rPr>
          <w:rFonts w:ascii="Times New Roman" w:hAnsi="Times New Roman" w:cs="Times New Roman"/>
          <w:b/>
          <w:bCs/>
          <w:szCs w:val="21"/>
        </w:rPr>
        <w:t xml:space="preserve"> </w:t>
      </w:r>
      <w:r>
        <w:rPr>
          <w:rFonts w:ascii="Times New Roman" w:hAnsi="Times New Roman" w:cs="Times New Roman" w:hint="eastAsia"/>
          <w:b/>
          <w:bCs/>
          <w:szCs w:val="21"/>
        </w:rPr>
        <w:t>B</w:t>
      </w:r>
      <w:r>
        <w:rPr>
          <w:rFonts w:ascii="Times New Roman" w:hAnsi="Times New Roman" w:cs="Times New Roman"/>
          <w:b/>
          <w:bCs/>
          <w:szCs w:val="21"/>
        </w:rPr>
        <w:t>.</w:t>
      </w:r>
      <w:r>
        <w:rPr>
          <w:rFonts w:ascii="Times New Roman" w:hAnsi="Times New Roman" w:cs="Times New Roman"/>
          <w:szCs w:val="21"/>
        </w:rPr>
        <w:t xml:space="preserve"> China's high-speed rail passenger volume </w:t>
      </w:r>
      <w:r>
        <w:rPr>
          <w:rFonts w:ascii="Times New Roman" w:hAnsi="Times New Roman" w:cs="Times New Roman" w:hint="eastAsia"/>
          <w:szCs w:val="21"/>
        </w:rPr>
        <w:t xml:space="preserve">and its proportion to the total railway passenger volume </w:t>
      </w:r>
      <w:r>
        <w:rPr>
          <w:rFonts w:ascii="Times New Roman" w:hAnsi="Times New Roman" w:cs="Times New Roman"/>
          <w:szCs w:val="21"/>
        </w:rPr>
        <w:t>from 2008 to 2022.</w:t>
      </w:r>
    </w:p>
    <w:p w14:paraId="4D97867C" w14:textId="77777777" w:rsidR="002F6C78" w:rsidRDefault="00000000">
      <w:r>
        <w:rPr>
          <w:rFonts w:hint="eastAsia"/>
        </w:rPr>
        <w:t xml:space="preserve">    </w:t>
      </w:r>
      <w:r>
        <w:rPr>
          <w:noProof/>
        </w:rPr>
        <w:drawing>
          <wp:inline distT="0" distB="0" distL="114300" distR="114300" wp14:anchorId="18EAA777" wp14:editId="7D275233">
            <wp:extent cx="4732020" cy="2546985"/>
            <wp:effectExtent l="0" t="0" r="7620" b="13335"/>
            <wp:docPr id="25" name="图表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90F1D1C" w14:textId="77777777" w:rsidR="002F6C78" w:rsidRDefault="00000000">
      <w:pPr>
        <w:ind w:firstLineChars="400" w:firstLine="720"/>
        <w:rPr>
          <w:rFonts w:ascii="Times New Roman" w:hAnsi="Times New Roman" w:cs="Times New Roman"/>
          <w:sz w:val="18"/>
          <w:szCs w:val="18"/>
        </w:rPr>
      </w:pPr>
      <w:r>
        <w:rPr>
          <w:rFonts w:ascii="Times New Roman" w:hAnsi="Times New Roman" w:cs="Times New Roman"/>
          <w:sz w:val="18"/>
          <w:szCs w:val="18"/>
        </w:rPr>
        <w:t xml:space="preserve">Note: between 2020 and 2022, passenger volume fluctuated due to COVID-19. </w:t>
      </w:r>
    </w:p>
    <w:p w14:paraId="63DCA1BF" w14:textId="77777777" w:rsidR="002F6C78" w:rsidRDefault="00000000">
      <w:pPr>
        <w:spacing w:line="360" w:lineRule="exact"/>
        <w:ind w:firstLineChars="300" w:firstLine="632"/>
        <w:rPr>
          <w:rFonts w:ascii="Times New Roman" w:hAnsi="Times New Roman" w:cs="Times New Roman"/>
        </w:rPr>
      </w:pPr>
      <w:r>
        <w:rPr>
          <w:rFonts w:ascii="Times New Roman" w:hAnsi="Times New Roman" w:cs="Times New Roman" w:hint="eastAsia"/>
          <w:b/>
          <w:bCs/>
          <w:szCs w:val="21"/>
        </w:rPr>
        <w:t>Appendix</w:t>
      </w:r>
      <w:r>
        <w:rPr>
          <w:rFonts w:ascii="Times New Roman" w:hAnsi="Times New Roman" w:cs="Times New Roman"/>
          <w:b/>
          <w:bCs/>
          <w:szCs w:val="21"/>
        </w:rPr>
        <w:t xml:space="preserve"> </w:t>
      </w:r>
      <w:r>
        <w:rPr>
          <w:rFonts w:ascii="Times New Roman" w:hAnsi="Times New Roman" w:cs="Times New Roman" w:hint="eastAsia"/>
          <w:b/>
          <w:bCs/>
          <w:szCs w:val="21"/>
        </w:rPr>
        <w:t>C</w:t>
      </w:r>
      <w:r>
        <w:rPr>
          <w:rFonts w:ascii="Times New Roman" w:hAnsi="Times New Roman" w:cs="Times New Roman"/>
          <w:b/>
          <w:bCs/>
          <w:szCs w:val="21"/>
        </w:rPr>
        <w:t>.</w:t>
      </w:r>
      <w:r>
        <w:rPr>
          <w:rFonts w:ascii="Times New Roman" w:hAnsi="Times New Roman" w:cs="Times New Roman"/>
        </w:rPr>
        <w:t xml:space="preserve"> </w:t>
      </w:r>
      <w:r>
        <w:rPr>
          <w:rFonts w:ascii="Times New Roman" w:hAnsi="Times New Roman" w:cs="Times New Roman" w:hint="eastAsia"/>
        </w:rPr>
        <w:t>mobile phone base stations, length of optical cable lines, and capacity of mobile phone exchanges</w:t>
      </w:r>
      <w:r>
        <w:rPr>
          <w:rFonts w:ascii="Times New Roman" w:hAnsi="Times New Roman" w:cs="Times New Roman"/>
        </w:rPr>
        <w:t xml:space="preserve"> </w:t>
      </w:r>
      <w:r>
        <w:rPr>
          <w:rFonts w:ascii="Times New Roman" w:hAnsi="Times New Roman" w:cs="Times New Roman"/>
          <w:lang w:eastAsia="en-US"/>
        </w:rPr>
        <w:t>from</w:t>
      </w:r>
      <w:r>
        <w:rPr>
          <w:rFonts w:ascii="Times New Roman" w:hAnsi="Times New Roman" w:cs="Times New Roman"/>
        </w:rPr>
        <w:t xml:space="preserve"> 2008 to 2022.</w:t>
      </w:r>
    </w:p>
    <w:p w14:paraId="22360FC7" w14:textId="77777777" w:rsidR="002F6C78" w:rsidRDefault="00000000">
      <w:pPr>
        <w:rPr>
          <w:rFonts w:ascii="Times New Roman" w:hAnsi="Times New Roman" w:cs="Times New Roman"/>
          <w:sz w:val="24"/>
        </w:rPr>
      </w:pPr>
      <w:r>
        <w:rPr>
          <w:rFonts w:ascii="Times New Roman" w:hAnsi="Times New Roman" w:cs="Times New Roman" w:hint="eastAsia"/>
          <w:sz w:val="24"/>
        </w:rPr>
        <w:lastRenderedPageBreak/>
        <w:t xml:space="preserve">   </w:t>
      </w:r>
      <w:r>
        <w:rPr>
          <w:rFonts w:ascii="Times New Roman" w:hAnsi="Times New Roman" w:cs="Times New Roman"/>
          <w:noProof/>
          <w:sz w:val="24"/>
        </w:rPr>
        <w:drawing>
          <wp:inline distT="0" distB="0" distL="114300" distR="114300" wp14:anchorId="688963CA" wp14:editId="79C6208F">
            <wp:extent cx="4906645" cy="2639060"/>
            <wp:effectExtent l="0" t="0" r="635" b="1270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F0814A5" w14:textId="77777777" w:rsidR="002F6C78" w:rsidRDefault="00000000">
      <w:pPr>
        <w:spacing w:line="360" w:lineRule="exact"/>
        <w:ind w:firstLineChars="300" w:firstLine="632"/>
        <w:rPr>
          <w:rFonts w:ascii="Times New Roman" w:hAnsi="Times New Roman" w:cs="Times New Roman"/>
          <w:b/>
          <w:bCs/>
        </w:rPr>
      </w:pPr>
      <w:r>
        <w:rPr>
          <w:rFonts w:ascii="Times New Roman" w:hAnsi="Times New Roman" w:cs="Times New Roman" w:hint="eastAsia"/>
          <w:b/>
          <w:bCs/>
          <w:szCs w:val="21"/>
        </w:rPr>
        <w:t>Appendix</w:t>
      </w:r>
      <w:r>
        <w:rPr>
          <w:rFonts w:ascii="Times New Roman" w:hAnsi="Times New Roman" w:cs="Times New Roman"/>
          <w:b/>
          <w:bCs/>
          <w:szCs w:val="21"/>
        </w:rPr>
        <w:t xml:space="preserve"> </w:t>
      </w:r>
      <w:r>
        <w:rPr>
          <w:rFonts w:ascii="Times New Roman" w:hAnsi="Times New Roman" w:cs="Times New Roman" w:hint="eastAsia"/>
          <w:b/>
          <w:bCs/>
          <w:szCs w:val="21"/>
        </w:rPr>
        <w:t>D</w:t>
      </w:r>
      <w:r>
        <w:rPr>
          <w:rFonts w:ascii="Times New Roman" w:hAnsi="Times New Roman" w:cs="Times New Roman"/>
          <w:b/>
          <w:bCs/>
          <w:szCs w:val="21"/>
        </w:rPr>
        <w:t>.</w:t>
      </w:r>
      <w:r>
        <w:rPr>
          <w:rFonts w:ascii="Times New Roman" w:hAnsi="Times New Roman" w:cs="Times New Roman" w:hint="eastAsia"/>
          <w:b/>
          <w:bCs/>
        </w:rPr>
        <w:t xml:space="preserve"> </w:t>
      </w:r>
      <w:r>
        <w:rPr>
          <w:rFonts w:ascii="Times New Roman" w:hAnsi="Times New Roman" w:cs="Times New Roman" w:hint="eastAsia"/>
        </w:rPr>
        <w:t>Top Eight Countries in the 2024 Tourism Development Index.</w:t>
      </w:r>
    </w:p>
    <w:p w14:paraId="440CBF21" w14:textId="77777777" w:rsidR="002F6C78" w:rsidRDefault="00000000">
      <w:pPr>
        <w:rPr>
          <w:rFonts w:ascii="Times New Roman" w:hAnsi="Times New Roman" w:cs="Times New Roman"/>
          <w:sz w:val="24"/>
        </w:rPr>
      </w:pPr>
      <w:r>
        <w:rPr>
          <w:rFonts w:ascii="Times New Roman" w:hAnsi="Times New Roman" w:cs="Times New Roman" w:hint="eastAsia"/>
          <w:sz w:val="24"/>
        </w:rPr>
        <w:t xml:space="preserve">   </w:t>
      </w:r>
      <w:r>
        <w:rPr>
          <w:rFonts w:ascii="Times New Roman" w:hAnsi="Times New Roman" w:cs="Times New Roman" w:hint="eastAsia"/>
          <w:noProof/>
          <w:sz w:val="24"/>
        </w:rPr>
        <w:drawing>
          <wp:inline distT="0" distB="0" distL="114300" distR="114300" wp14:anchorId="40DC0888" wp14:editId="5440298A">
            <wp:extent cx="4657725" cy="2411730"/>
            <wp:effectExtent l="0" t="0" r="5715" b="11430"/>
            <wp:docPr id="36"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80D2FE1" w14:textId="77777777" w:rsidR="002F6C78" w:rsidRDefault="00000000">
      <w:pPr>
        <w:ind w:firstLineChars="200" w:firstLine="422"/>
      </w:pPr>
      <w:r>
        <w:rPr>
          <w:rFonts w:ascii="Times New Roman" w:hAnsi="Times New Roman" w:cs="Times New Roman" w:hint="eastAsia"/>
          <w:b/>
          <w:bCs/>
          <w:szCs w:val="21"/>
        </w:rPr>
        <w:t>Appendix</w:t>
      </w:r>
      <w:r>
        <w:rPr>
          <w:rFonts w:ascii="Times New Roman" w:hAnsi="Times New Roman" w:cs="Times New Roman"/>
          <w:b/>
          <w:bCs/>
          <w:szCs w:val="21"/>
        </w:rPr>
        <w:t xml:space="preserve"> </w:t>
      </w:r>
      <w:r>
        <w:rPr>
          <w:rFonts w:ascii="Times New Roman" w:hAnsi="Times New Roman" w:cs="Times New Roman" w:hint="eastAsia"/>
          <w:b/>
          <w:bCs/>
          <w:szCs w:val="21"/>
        </w:rPr>
        <w:t>E</w:t>
      </w:r>
      <w:r>
        <w:rPr>
          <w:rFonts w:ascii="Times New Roman" w:hAnsi="Times New Roman" w:cs="Times New Roman"/>
          <w:b/>
          <w:bCs/>
        </w:rPr>
        <w:t>.</w:t>
      </w:r>
      <w:r>
        <w:rPr>
          <w:rFonts w:ascii="Times New Roman" w:hAnsi="Times New Roman" w:cs="Times New Roman"/>
        </w:rPr>
        <w:t xml:space="preserve"> Map of China's four major regions.</w:t>
      </w:r>
    </w:p>
    <w:p w14:paraId="6CF28AE0" w14:textId="77777777" w:rsidR="002F6C78" w:rsidRDefault="00000000">
      <w:pPr>
        <w:jc w:val="center"/>
        <w:rPr>
          <w:rFonts w:ascii="Times New Roman" w:hAnsi="Times New Roman" w:cs="Times New Roman"/>
          <w:b/>
          <w:bCs/>
          <w:sz w:val="24"/>
        </w:rPr>
      </w:pPr>
      <w:r>
        <w:rPr>
          <w:noProof/>
        </w:rPr>
        <w:lastRenderedPageBreak/>
        <w:drawing>
          <wp:inline distT="0" distB="0" distL="114300" distR="114300" wp14:anchorId="3C866EB2" wp14:editId="0C517B28">
            <wp:extent cx="5056505" cy="4041140"/>
            <wp:effectExtent l="0" t="0" r="3175" b="12700"/>
            <wp:docPr id="34" name="图片 34" descr="无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无标题1"/>
                    <pic:cNvPicPr>
                      <a:picLocks noChangeAspect="1"/>
                    </pic:cNvPicPr>
                  </pic:nvPicPr>
                  <pic:blipFill>
                    <a:blip r:embed="rId12"/>
                    <a:stretch>
                      <a:fillRect/>
                    </a:stretch>
                  </pic:blipFill>
                  <pic:spPr>
                    <a:xfrm>
                      <a:off x="0" y="0"/>
                      <a:ext cx="5056505" cy="4041140"/>
                    </a:xfrm>
                    <a:prstGeom prst="rect">
                      <a:avLst/>
                    </a:prstGeom>
                  </pic:spPr>
                </pic:pic>
              </a:graphicData>
            </a:graphic>
          </wp:inline>
        </w:drawing>
      </w:r>
    </w:p>
    <w:p w14:paraId="2FC69FCC" w14:textId="77777777" w:rsidR="002F6C78" w:rsidRDefault="00000000">
      <w:pPr>
        <w:ind w:firstLineChars="200" w:firstLine="360"/>
        <w:rPr>
          <w:rFonts w:ascii="Times New Roman" w:hAnsi="Times New Roman" w:cs="Times New Roman"/>
          <w:sz w:val="18"/>
          <w:szCs w:val="18"/>
        </w:rPr>
      </w:pPr>
      <w:r>
        <w:rPr>
          <w:rFonts w:ascii="Times New Roman" w:hAnsi="Times New Roman" w:cs="Times New Roman"/>
          <w:sz w:val="18"/>
          <w:szCs w:val="18"/>
        </w:rPr>
        <w:t>Note: The administrative units on the map are ranked in numerical order as follows: Beijing, Tianjin, Hebei, Shanxi, Inner Mongolia, Liaoning, Jilin, Heilongjiang, Shanghai, Jiangsu, Zhejiang, Anhui, Fujian, Jiangxi, Shandong, Henan, Hubei, Hunan, Guangdong, Guangxi, Hainan, Chongqing, Sichuan, Guizhou, Yunnan, Xizang, Shaanxi, Gansu, Qinghai, Ningxia, and Xinjiang. Other administrative units in China include Hong Kong, Macao, and Taiwan.</w:t>
      </w:r>
    </w:p>
    <w:p w14:paraId="71ED28A7" w14:textId="77777777" w:rsidR="002F6C78" w:rsidRDefault="002F6C78">
      <w:pPr>
        <w:spacing w:line="360" w:lineRule="exact"/>
        <w:rPr>
          <w:rFonts w:ascii="Times New Roman" w:hAnsi="Times New Roman" w:cs="Times New Roman"/>
          <w:b/>
          <w:bCs/>
          <w:szCs w:val="21"/>
        </w:rPr>
      </w:pPr>
    </w:p>
    <w:sectPr w:rsidR="002F6C78">
      <w:footnotePr>
        <w:numRestart w:val="eachPage"/>
      </w:footnotePr>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4B0DAF" w14:textId="77777777" w:rsidR="005D0865" w:rsidRDefault="005D0865">
      <w:r>
        <w:separator/>
      </w:r>
    </w:p>
  </w:endnote>
  <w:endnote w:type="continuationSeparator" w:id="0">
    <w:p w14:paraId="10B6DED6" w14:textId="77777777" w:rsidR="005D0865" w:rsidRDefault="005D0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389051" w14:textId="77777777" w:rsidR="005D0865" w:rsidRDefault="005D0865">
      <w:r>
        <w:separator/>
      </w:r>
    </w:p>
  </w:footnote>
  <w:footnote w:type="continuationSeparator" w:id="0">
    <w:p w14:paraId="0DA8EFF1" w14:textId="77777777" w:rsidR="005D0865" w:rsidRDefault="005D08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905E54E"/>
    <w:multiLevelType w:val="singleLevel"/>
    <w:tmpl w:val="8905E54E"/>
    <w:lvl w:ilvl="0">
      <w:start w:val="1"/>
      <w:numFmt w:val="lowerLetter"/>
      <w:suff w:val="space"/>
      <w:lvlText w:val="(%1)"/>
      <w:lvlJc w:val="left"/>
    </w:lvl>
  </w:abstractNum>
  <w:abstractNum w:abstractNumId="1" w15:restartNumberingAfterBreak="0">
    <w:nsid w:val="FEDD7D42"/>
    <w:multiLevelType w:val="singleLevel"/>
    <w:tmpl w:val="FEDD7D42"/>
    <w:lvl w:ilvl="0">
      <w:start w:val="1"/>
      <w:numFmt w:val="decimal"/>
      <w:suff w:val="space"/>
      <w:lvlText w:val="(%1)"/>
      <w:lvlJc w:val="left"/>
    </w:lvl>
  </w:abstractNum>
  <w:abstractNum w:abstractNumId="2" w15:restartNumberingAfterBreak="0">
    <w:nsid w:val="FF379C1A"/>
    <w:multiLevelType w:val="singleLevel"/>
    <w:tmpl w:val="FF379C1A"/>
    <w:lvl w:ilvl="0">
      <w:start w:val="1"/>
      <w:numFmt w:val="decimal"/>
      <w:suff w:val="space"/>
      <w:lvlText w:val="%1."/>
      <w:lvlJc w:val="left"/>
    </w:lvl>
  </w:abstractNum>
  <w:abstractNum w:abstractNumId="3" w15:restartNumberingAfterBreak="0">
    <w:nsid w:val="5A6FAEC4"/>
    <w:multiLevelType w:val="singleLevel"/>
    <w:tmpl w:val="5A6FAEC4"/>
    <w:lvl w:ilvl="0">
      <w:start w:val="4"/>
      <w:numFmt w:val="decimal"/>
      <w:suff w:val="space"/>
      <w:lvlText w:val="%1."/>
      <w:lvlJc w:val="left"/>
    </w:lvl>
  </w:abstractNum>
  <w:num w:numId="1" w16cid:durableId="1956715849">
    <w:abstractNumId w:val="2"/>
  </w:num>
  <w:num w:numId="2" w16cid:durableId="121851593">
    <w:abstractNumId w:val="1"/>
  </w:num>
  <w:num w:numId="3" w16cid:durableId="2137943798">
    <w:abstractNumId w:val="3"/>
  </w:num>
  <w:num w:numId="4" w16cid:durableId="1339691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defaultTabStop w:val="420"/>
  <w:drawingGridVerticalSpacing w:val="156"/>
  <w:noPunctuationKerning/>
  <w:characterSpacingControl w:val="compressPunctuation"/>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U1ZjA0NDgzY2QzZTg0MjZhYWY0M2MwMTUyMTNlZDQifQ=="/>
  </w:docVars>
  <w:rsids>
    <w:rsidRoot w:val="002E2E7E"/>
    <w:rsid w:val="000451E5"/>
    <w:rsid w:val="00052A18"/>
    <w:rsid w:val="00060C6A"/>
    <w:rsid w:val="00061587"/>
    <w:rsid w:val="00075D7D"/>
    <w:rsid w:val="00075DE1"/>
    <w:rsid w:val="000A2C13"/>
    <w:rsid w:val="000B0186"/>
    <w:rsid w:val="000B360D"/>
    <w:rsid w:val="000D511D"/>
    <w:rsid w:val="000E2C1C"/>
    <w:rsid w:val="00126D81"/>
    <w:rsid w:val="00157FB5"/>
    <w:rsid w:val="00167972"/>
    <w:rsid w:val="0019453A"/>
    <w:rsid w:val="001C34B5"/>
    <w:rsid w:val="001C665A"/>
    <w:rsid w:val="001D0E7A"/>
    <w:rsid w:val="001D2752"/>
    <w:rsid w:val="001E2DD4"/>
    <w:rsid w:val="001F182E"/>
    <w:rsid w:val="001F2EA5"/>
    <w:rsid w:val="002205F4"/>
    <w:rsid w:val="002768FA"/>
    <w:rsid w:val="0028411E"/>
    <w:rsid w:val="002A7D11"/>
    <w:rsid w:val="002D1D00"/>
    <w:rsid w:val="002E2E7E"/>
    <w:rsid w:val="002E6352"/>
    <w:rsid w:val="002F6C78"/>
    <w:rsid w:val="00301AF8"/>
    <w:rsid w:val="003118F4"/>
    <w:rsid w:val="003256B4"/>
    <w:rsid w:val="00340A7A"/>
    <w:rsid w:val="003415CB"/>
    <w:rsid w:val="00362358"/>
    <w:rsid w:val="003910A7"/>
    <w:rsid w:val="003934FF"/>
    <w:rsid w:val="003B5743"/>
    <w:rsid w:val="003D21B2"/>
    <w:rsid w:val="00410050"/>
    <w:rsid w:val="00442ACF"/>
    <w:rsid w:val="004441B4"/>
    <w:rsid w:val="004B0AE6"/>
    <w:rsid w:val="004B63EB"/>
    <w:rsid w:val="0053147E"/>
    <w:rsid w:val="005442F5"/>
    <w:rsid w:val="005770E5"/>
    <w:rsid w:val="005B1624"/>
    <w:rsid w:val="005B402C"/>
    <w:rsid w:val="005C602D"/>
    <w:rsid w:val="005D0865"/>
    <w:rsid w:val="005F693C"/>
    <w:rsid w:val="00603A60"/>
    <w:rsid w:val="006A31AF"/>
    <w:rsid w:val="006C749C"/>
    <w:rsid w:val="006F0AB7"/>
    <w:rsid w:val="007A4300"/>
    <w:rsid w:val="007C3A84"/>
    <w:rsid w:val="007C6941"/>
    <w:rsid w:val="007D2A0F"/>
    <w:rsid w:val="008045C6"/>
    <w:rsid w:val="00842252"/>
    <w:rsid w:val="00845E19"/>
    <w:rsid w:val="0086055C"/>
    <w:rsid w:val="00865541"/>
    <w:rsid w:val="00902944"/>
    <w:rsid w:val="009053A8"/>
    <w:rsid w:val="0093017F"/>
    <w:rsid w:val="00930726"/>
    <w:rsid w:val="00951FEE"/>
    <w:rsid w:val="009675A4"/>
    <w:rsid w:val="009722F8"/>
    <w:rsid w:val="00985840"/>
    <w:rsid w:val="00990ABB"/>
    <w:rsid w:val="009D006B"/>
    <w:rsid w:val="00A1246E"/>
    <w:rsid w:val="00A33FBF"/>
    <w:rsid w:val="00A352A4"/>
    <w:rsid w:val="00A41227"/>
    <w:rsid w:val="00B14D52"/>
    <w:rsid w:val="00B607B0"/>
    <w:rsid w:val="00B62883"/>
    <w:rsid w:val="00B63944"/>
    <w:rsid w:val="00B83B7F"/>
    <w:rsid w:val="00BA0788"/>
    <w:rsid w:val="00BC3863"/>
    <w:rsid w:val="00BE6345"/>
    <w:rsid w:val="00C15321"/>
    <w:rsid w:val="00C528D4"/>
    <w:rsid w:val="00C90166"/>
    <w:rsid w:val="00C92A1E"/>
    <w:rsid w:val="00CA5218"/>
    <w:rsid w:val="00D060A6"/>
    <w:rsid w:val="00D207DB"/>
    <w:rsid w:val="00D40B67"/>
    <w:rsid w:val="00DB2CD4"/>
    <w:rsid w:val="00DE6217"/>
    <w:rsid w:val="00DF5C18"/>
    <w:rsid w:val="00E24F1F"/>
    <w:rsid w:val="00E25CE2"/>
    <w:rsid w:val="00E3599E"/>
    <w:rsid w:val="00E63CC6"/>
    <w:rsid w:val="00E93123"/>
    <w:rsid w:val="00E93D00"/>
    <w:rsid w:val="00ED25FC"/>
    <w:rsid w:val="00ED33C1"/>
    <w:rsid w:val="00ED6BC8"/>
    <w:rsid w:val="00EE1C29"/>
    <w:rsid w:val="00F0378E"/>
    <w:rsid w:val="00F11A3A"/>
    <w:rsid w:val="00F16A3A"/>
    <w:rsid w:val="00F1760B"/>
    <w:rsid w:val="00F32F26"/>
    <w:rsid w:val="00F41C76"/>
    <w:rsid w:val="00F6329D"/>
    <w:rsid w:val="00F71132"/>
    <w:rsid w:val="00FA49E1"/>
    <w:rsid w:val="00FC0807"/>
    <w:rsid w:val="0100390C"/>
    <w:rsid w:val="01543C57"/>
    <w:rsid w:val="017B5688"/>
    <w:rsid w:val="01AB7E6D"/>
    <w:rsid w:val="01AE3368"/>
    <w:rsid w:val="01C71945"/>
    <w:rsid w:val="01C761D7"/>
    <w:rsid w:val="01CF1E11"/>
    <w:rsid w:val="01F64D0F"/>
    <w:rsid w:val="02051AE6"/>
    <w:rsid w:val="022E26FA"/>
    <w:rsid w:val="02444E5B"/>
    <w:rsid w:val="02555CA0"/>
    <w:rsid w:val="025B2DC4"/>
    <w:rsid w:val="025D4D8E"/>
    <w:rsid w:val="028C11CF"/>
    <w:rsid w:val="02987B74"/>
    <w:rsid w:val="02A209F3"/>
    <w:rsid w:val="02A5704E"/>
    <w:rsid w:val="02D037B2"/>
    <w:rsid w:val="032B6C3A"/>
    <w:rsid w:val="033A6D09"/>
    <w:rsid w:val="035166A0"/>
    <w:rsid w:val="039313C3"/>
    <w:rsid w:val="039D4942"/>
    <w:rsid w:val="03B22EB7"/>
    <w:rsid w:val="03BA61F3"/>
    <w:rsid w:val="03CA0201"/>
    <w:rsid w:val="03DE3CAC"/>
    <w:rsid w:val="03EC461B"/>
    <w:rsid w:val="040807DF"/>
    <w:rsid w:val="040A2CF3"/>
    <w:rsid w:val="04194CE4"/>
    <w:rsid w:val="04221DEB"/>
    <w:rsid w:val="04390A47"/>
    <w:rsid w:val="04567CE7"/>
    <w:rsid w:val="04877EA0"/>
    <w:rsid w:val="04D255BF"/>
    <w:rsid w:val="04D72BD5"/>
    <w:rsid w:val="050339CA"/>
    <w:rsid w:val="050D22F6"/>
    <w:rsid w:val="05137986"/>
    <w:rsid w:val="0568338C"/>
    <w:rsid w:val="05C84C14"/>
    <w:rsid w:val="05EC445F"/>
    <w:rsid w:val="06043E9E"/>
    <w:rsid w:val="064E336B"/>
    <w:rsid w:val="0687687D"/>
    <w:rsid w:val="068E3768"/>
    <w:rsid w:val="06B036DE"/>
    <w:rsid w:val="06DA4BFF"/>
    <w:rsid w:val="0704265D"/>
    <w:rsid w:val="07092259"/>
    <w:rsid w:val="070B4DB8"/>
    <w:rsid w:val="074958E1"/>
    <w:rsid w:val="07A8437E"/>
    <w:rsid w:val="07C338E5"/>
    <w:rsid w:val="07C5140B"/>
    <w:rsid w:val="07CD62D1"/>
    <w:rsid w:val="07EF2B48"/>
    <w:rsid w:val="08114650"/>
    <w:rsid w:val="087370B9"/>
    <w:rsid w:val="087B7D1C"/>
    <w:rsid w:val="08836BD0"/>
    <w:rsid w:val="089D379E"/>
    <w:rsid w:val="08A13C26"/>
    <w:rsid w:val="08D37B58"/>
    <w:rsid w:val="09025C73"/>
    <w:rsid w:val="090715AF"/>
    <w:rsid w:val="096864F2"/>
    <w:rsid w:val="09CD45A7"/>
    <w:rsid w:val="0A36039E"/>
    <w:rsid w:val="0A895F5A"/>
    <w:rsid w:val="0AB15C77"/>
    <w:rsid w:val="0B100BEF"/>
    <w:rsid w:val="0B3F14D4"/>
    <w:rsid w:val="0B7D7BCE"/>
    <w:rsid w:val="0BCC11C3"/>
    <w:rsid w:val="0C0A7D34"/>
    <w:rsid w:val="0C0B585A"/>
    <w:rsid w:val="0C48260B"/>
    <w:rsid w:val="0C653D96"/>
    <w:rsid w:val="0C760F26"/>
    <w:rsid w:val="0C915D60"/>
    <w:rsid w:val="0C9413AC"/>
    <w:rsid w:val="0CA27F6D"/>
    <w:rsid w:val="0CE42333"/>
    <w:rsid w:val="0CEE6D0E"/>
    <w:rsid w:val="0D0F0D82"/>
    <w:rsid w:val="0D156991"/>
    <w:rsid w:val="0D244E26"/>
    <w:rsid w:val="0D383FF8"/>
    <w:rsid w:val="0D72066F"/>
    <w:rsid w:val="0D7A4A46"/>
    <w:rsid w:val="0D7D62E4"/>
    <w:rsid w:val="0D7F3E0A"/>
    <w:rsid w:val="0DAC4BAD"/>
    <w:rsid w:val="0DC42165"/>
    <w:rsid w:val="0DC87621"/>
    <w:rsid w:val="0DD203DE"/>
    <w:rsid w:val="0E0013EF"/>
    <w:rsid w:val="0E0734C9"/>
    <w:rsid w:val="0E1F1160"/>
    <w:rsid w:val="0E484B44"/>
    <w:rsid w:val="0E4A266A"/>
    <w:rsid w:val="0E6D6359"/>
    <w:rsid w:val="0E8A0CB9"/>
    <w:rsid w:val="0E9E29B6"/>
    <w:rsid w:val="0EC30910"/>
    <w:rsid w:val="0EED1247"/>
    <w:rsid w:val="0F006F15"/>
    <w:rsid w:val="0F292D94"/>
    <w:rsid w:val="0FD3043D"/>
    <w:rsid w:val="1112515E"/>
    <w:rsid w:val="11823EC9"/>
    <w:rsid w:val="11AA3420"/>
    <w:rsid w:val="11D15284"/>
    <w:rsid w:val="11E92D1C"/>
    <w:rsid w:val="1202325C"/>
    <w:rsid w:val="122431D2"/>
    <w:rsid w:val="124D4C3E"/>
    <w:rsid w:val="12517511"/>
    <w:rsid w:val="126006AE"/>
    <w:rsid w:val="126637EB"/>
    <w:rsid w:val="127F1BE9"/>
    <w:rsid w:val="12B509B0"/>
    <w:rsid w:val="12C42121"/>
    <w:rsid w:val="12EE333C"/>
    <w:rsid w:val="13421B62"/>
    <w:rsid w:val="13653AA2"/>
    <w:rsid w:val="13B54A2A"/>
    <w:rsid w:val="13B62550"/>
    <w:rsid w:val="13BF1404"/>
    <w:rsid w:val="13F92AC6"/>
    <w:rsid w:val="13FA068E"/>
    <w:rsid w:val="141A74A2"/>
    <w:rsid w:val="14CC3796"/>
    <w:rsid w:val="14D40EDF"/>
    <w:rsid w:val="14F43330"/>
    <w:rsid w:val="151F3D1C"/>
    <w:rsid w:val="15231C6B"/>
    <w:rsid w:val="1528122B"/>
    <w:rsid w:val="152C2AC9"/>
    <w:rsid w:val="155838BF"/>
    <w:rsid w:val="15657D89"/>
    <w:rsid w:val="15787ABD"/>
    <w:rsid w:val="159643E7"/>
    <w:rsid w:val="15C73A33"/>
    <w:rsid w:val="15D373E9"/>
    <w:rsid w:val="15EC2259"/>
    <w:rsid w:val="16070E41"/>
    <w:rsid w:val="167C538B"/>
    <w:rsid w:val="16A66ADA"/>
    <w:rsid w:val="16C81358"/>
    <w:rsid w:val="16CC753D"/>
    <w:rsid w:val="16E24AD0"/>
    <w:rsid w:val="16E66CA8"/>
    <w:rsid w:val="16F75187"/>
    <w:rsid w:val="170B670F"/>
    <w:rsid w:val="17101F77"/>
    <w:rsid w:val="175426FA"/>
    <w:rsid w:val="176127D3"/>
    <w:rsid w:val="17E20185"/>
    <w:rsid w:val="18023FB5"/>
    <w:rsid w:val="18137F71"/>
    <w:rsid w:val="18310990"/>
    <w:rsid w:val="184B14B9"/>
    <w:rsid w:val="185A794E"/>
    <w:rsid w:val="18756535"/>
    <w:rsid w:val="187D363C"/>
    <w:rsid w:val="18837AF6"/>
    <w:rsid w:val="18860743"/>
    <w:rsid w:val="18866995"/>
    <w:rsid w:val="18CC35FF"/>
    <w:rsid w:val="18E13BCB"/>
    <w:rsid w:val="18EE62E8"/>
    <w:rsid w:val="19263C32"/>
    <w:rsid w:val="198E0205"/>
    <w:rsid w:val="19924EC5"/>
    <w:rsid w:val="19B66E06"/>
    <w:rsid w:val="19C81D7F"/>
    <w:rsid w:val="19E03E83"/>
    <w:rsid w:val="1A4F2DB6"/>
    <w:rsid w:val="1A807414"/>
    <w:rsid w:val="1A8B0292"/>
    <w:rsid w:val="1AB56BDA"/>
    <w:rsid w:val="1AB772D9"/>
    <w:rsid w:val="1ACD2659"/>
    <w:rsid w:val="1AD51DB2"/>
    <w:rsid w:val="1AD5775F"/>
    <w:rsid w:val="1ADC289C"/>
    <w:rsid w:val="1AFD0A64"/>
    <w:rsid w:val="1B132036"/>
    <w:rsid w:val="1B40489A"/>
    <w:rsid w:val="1BCD21D4"/>
    <w:rsid w:val="1BF9122C"/>
    <w:rsid w:val="1C412D52"/>
    <w:rsid w:val="1C505B85"/>
    <w:rsid w:val="1C76287C"/>
    <w:rsid w:val="1C8F393E"/>
    <w:rsid w:val="1C9E725D"/>
    <w:rsid w:val="1C9F3B1D"/>
    <w:rsid w:val="1CAB69CA"/>
    <w:rsid w:val="1CB03FE0"/>
    <w:rsid w:val="1CB22D3B"/>
    <w:rsid w:val="1CBB1B1D"/>
    <w:rsid w:val="1CDF6673"/>
    <w:rsid w:val="1D0B7468"/>
    <w:rsid w:val="1D4F1C52"/>
    <w:rsid w:val="1DA63635"/>
    <w:rsid w:val="1DA84CB7"/>
    <w:rsid w:val="1DCE365C"/>
    <w:rsid w:val="1DE026A3"/>
    <w:rsid w:val="1E205195"/>
    <w:rsid w:val="1E2C3B3A"/>
    <w:rsid w:val="1E472722"/>
    <w:rsid w:val="1E600BD8"/>
    <w:rsid w:val="1E957931"/>
    <w:rsid w:val="1EE44415"/>
    <w:rsid w:val="1EEC5078"/>
    <w:rsid w:val="1F1545CE"/>
    <w:rsid w:val="1F2E5690"/>
    <w:rsid w:val="1F4858E1"/>
    <w:rsid w:val="1F5642E7"/>
    <w:rsid w:val="1F58270D"/>
    <w:rsid w:val="1F6A010B"/>
    <w:rsid w:val="1F7076AA"/>
    <w:rsid w:val="1F9E45C4"/>
    <w:rsid w:val="1FA85442"/>
    <w:rsid w:val="1FB35BE2"/>
    <w:rsid w:val="1FBE4C66"/>
    <w:rsid w:val="1FE521F3"/>
    <w:rsid w:val="1FF73CD4"/>
    <w:rsid w:val="20103CCC"/>
    <w:rsid w:val="2016181B"/>
    <w:rsid w:val="202C6073"/>
    <w:rsid w:val="203D63DC"/>
    <w:rsid w:val="20476A09"/>
    <w:rsid w:val="206D21E8"/>
    <w:rsid w:val="2081538A"/>
    <w:rsid w:val="20E73FDC"/>
    <w:rsid w:val="21442BC9"/>
    <w:rsid w:val="215D225D"/>
    <w:rsid w:val="21656B07"/>
    <w:rsid w:val="21AD6D40"/>
    <w:rsid w:val="221948AF"/>
    <w:rsid w:val="224020EA"/>
    <w:rsid w:val="22511DC1"/>
    <w:rsid w:val="2274785E"/>
    <w:rsid w:val="229E48DB"/>
    <w:rsid w:val="22B934C3"/>
    <w:rsid w:val="22C5455D"/>
    <w:rsid w:val="22E76282"/>
    <w:rsid w:val="23623B5A"/>
    <w:rsid w:val="23711FEF"/>
    <w:rsid w:val="23897339"/>
    <w:rsid w:val="23931F66"/>
    <w:rsid w:val="23EE3640"/>
    <w:rsid w:val="23FC7B0B"/>
    <w:rsid w:val="24345CF1"/>
    <w:rsid w:val="24455956"/>
    <w:rsid w:val="244C7634"/>
    <w:rsid w:val="246A0F18"/>
    <w:rsid w:val="2481372D"/>
    <w:rsid w:val="24831FDA"/>
    <w:rsid w:val="2516069D"/>
    <w:rsid w:val="253A4D8F"/>
    <w:rsid w:val="25496D80"/>
    <w:rsid w:val="255816B9"/>
    <w:rsid w:val="25B763DF"/>
    <w:rsid w:val="25BA5ED0"/>
    <w:rsid w:val="25D54AB7"/>
    <w:rsid w:val="26301CEE"/>
    <w:rsid w:val="26404627"/>
    <w:rsid w:val="265C2AE3"/>
    <w:rsid w:val="266D4CF0"/>
    <w:rsid w:val="26946721"/>
    <w:rsid w:val="26BE6E72"/>
    <w:rsid w:val="26F96584"/>
    <w:rsid w:val="272555CB"/>
    <w:rsid w:val="272730F1"/>
    <w:rsid w:val="272C0707"/>
    <w:rsid w:val="27561C28"/>
    <w:rsid w:val="2790513A"/>
    <w:rsid w:val="28333D17"/>
    <w:rsid w:val="287009AC"/>
    <w:rsid w:val="28D3286B"/>
    <w:rsid w:val="28EA0757"/>
    <w:rsid w:val="291E0523"/>
    <w:rsid w:val="292A511A"/>
    <w:rsid w:val="292F2E7A"/>
    <w:rsid w:val="297A7E50"/>
    <w:rsid w:val="29874244"/>
    <w:rsid w:val="298D0473"/>
    <w:rsid w:val="29AA0009"/>
    <w:rsid w:val="29AE7AF9"/>
    <w:rsid w:val="29BA649E"/>
    <w:rsid w:val="29D07A70"/>
    <w:rsid w:val="2A7E1274"/>
    <w:rsid w:val="2AAA4765"/>
    <w:rsid w:val="2ADE7F6A"/>
    <w:rsid w:val="2B1B11BE"/>
    <w:rsid w:val="2B380EC3"/>
    <w:rsid w:val="2B430715"/>
    <w:rsid w:val="2B5640A9"/>
    <w:rsid w:val="2B5B15BB"/>
    <w:rsid w:val="2B724B56"/>
    <w:rsid w:val="2B870602"/>
    <w:rsid w:val="2BA72A52"/>
    <w:rsid w:val="2C1D0F66"/>
    <w:rsid w:val="2C9034E6"/>
    <w:rsid w:val="2C950AFD"/>
    <w:rsid w:val="2C9A4365"/>
    <w:rsid w:val="2C9C632F"/>
    <w:rsid w:val="2D0F08AF"/>
    <w:rsid w:val="2D1E6D44"/>
    <w:rsid w:val="2D241E80"/>
    <w:rsid w:val="2D2A393B"/>
    <w:rsid w:val="2D2C42C6"/>
    <w:rsid w:val="2D314CC9"/>
    <w:rsid w:val="2D4A7B39"/>
    <w:rsid w:val="2D60735C"/>
    <w:rsid w:val="2D687FBF"/>
    <w:rsid w:val="2D7050C6"/>
    <w:rsid w:val="2D7A3A3A"/>
    <w:rsid w:val="2DBD655D"/>
    <w:rsid w:val="2DFE0923"/>
    <w:rsid w:val="2E491087"/>
    <w:rsid w:val="2E4D63C7"/>
    <w:rsid w:val="2E5549E7"/>
    <w:rsid w:val="2E59496A"/>
    <w:rsid w:val="2E89643F"/>
    <w:rsid w:val="2EA96AE1"/>
    <w:rsid w:val="2EDA3266"/>
    <w:rsid w:val="2EEE2BF6"/>
    <w:rsid w:val="2EF35FAE"/>
    <w:rsid w:val="2EFE7B1A"/>
    <w:rsid w:val="2F255896"/>
    <w:rsid w:val="2F3A662C"/>
    <w:rsid w:val="2F7B4DDE"/>
    <w:rsid w:val="2F850930"/>
    <w:rsid w:val="2FBC2844"/>
    <w:rsid w:val="2FC75471"/>
    <w:rsid w:val="2FCF2577"/>
    <w:rsid w:val="2FDD2DCB"/>
    <w:rsid w:val="2FE204FD"/>
    <w:rsid w:val="301500FE"/>
    <w:rsid w:val="308B51BC"/>
    <w:rsid w:val="30965A6E"/>
    <w:rsid w:val="309C72B7"/>
    <w:rsid w:val="30A43A04"/>
    <w:rsid w:val="30D8545C"/>
    <w:rsid w:val="30EE1123"/>
    <w:rsid w:val="31342FDA"/>
    <w:rsid w:val="31466CA2"/>
    <w:rsid w:val="31653193"/>
    <w:rsid w:val="318B0720"/>
    <w:rsid w:val="31A821CC"/>
    <w:rsid w:val="31D125D7"/>
    <w:rsid w:val="31F462C5"/>
    <w:rsid w:val="32132BEF"/>
    <w:rsid w:val="32252923"/>
    <w:rsid w:val="322C5A5F"/>
    <w:rsid w:val="32494863"/>
    <w:rsid w:val="32560D2E"/>
    <w:rsid w:val="32677044"/>
    <w:rsid w:val="3268280F"/>
    <w:rsid w:val="32AE0B6A"/>
    <w:rsid w:val="32BF4B25"/>
    <w:rsid w:val="32C4213C"/>
    <w:rsid w:val="32D00AE0"/>
    <w:rsid w:val="32D16607"/>
    <w:rsid w:val="32F21E9F"/>
    <w:rsid w:val="32FA790B"/>
    <w:rsid w:val="332E3A59"/>
    <w:rsid w:val="3333106F"/>
    <w:rsid w:val="33380434"/>
    <w:rsid w:val="336B45E5"/>
    <w:rsid w:val="337A6C9E"/>
    <w:rsid w:val="33947D60"/>
    <w:rsid w:val="33A208A5"/>
    <w:rsid w:val="33E12879"/>
    <w:rsid w:val="34050C5E"/>
    <w:rsid w:val="341B5D8B"/>
    <w:rsid w:val="342015F4"/>
    <w:rsid w:val="34232E92"/>
    <w:rsid w:val="343054E5"/>
    <w:rsid w:val="347D79F9"/>
    <w:rsid w:val="34932FAD"/>
    <w:rsid w:val="3494561D"/>
    <w:rsid w:val="350E58F0"/>
    <w:rsid w:val="35521C81"/>
    <w:rsid w:val="355C48AD"/>
    <w:rsid w:val="356078A2"/>
    <w:rsid w:val="356E2833"/>
    <w:rsid w:val="35812F5C"/>
    <w:rsid w:val="3581411C"/>
    <w:rsid w:val="36280C33"/>
    <w:rsid w:val="365732C7"/>
    <w:rsid w:val="368340BC"/>
    <w:rsid w:val="3684169B"/>
    <w:rsid w:val="36BD312A"/>
    <w:rsid w:val="36D87F64"/>
    <w:rsid w:val="36DB7A54"/>
    <w:rsid w:val="36E42408"/>
    <w:rsid w:val="3723640B"/>
    <w:rsid w:val="372A4537"/>
    <w:rsid w:val="373A0C1E"/>
    <w:rsid w:val="37727331"/>
    <w:rsid w:val="385E26EA"/>
    <w:rsid w:val="389338B6"/>
    <w:rsid w:val="389B393F"/>
    <w:rsid w:val="38A5656B"/>
    <w:rsid w:val="38B247E4"/>
    <w:rsid w:val="38C42E95"/>
    <w:rsid w:val="38E30E42"/>
    <w:rsid w:val="38E43C81"/>
    <w:rsid w:val="38F4304F"/>
    <w:rsid w:val="39524B01"/>
    <w:rsid w:val="399B0698"/>
    <w:rsid w:val="39A22AAB"/>
    <w:rsid w:val="39BE1D8D"/>
    <w:rsid w:val="39BF540B"/>
    <w:rsid w:val="39CE38A0"/>
    <w:rsid w:val="39DF5AAD"/>
    <w:rsid w:val="3A014D73"/>
    <w:rsid w:val="3A1E4827"/>
    <w:rsid w:val="3A377697"/>
    <w:rsid w:val="3A3B7187"/>
    <w:rsid w:val="3A952A7B"/>
    <w:rsid w:val="3ACD3B57"/>
    <w:rsid w:val="3B2319C9"/>
    <w:rsid w:val="3B3D3DF1"/>
    <w:rsid w:val="3B820DE6"/>
    <w:rsid w:val="3BAC19BF"/>
    <w:rsid w:val="3BFE66BE"/>
    <w:rsid w:val="3C067321"/>
    <w:rsid w:val="3C157564"/>
    <w:rsid w:val="3C3A521C"/>
    <w:rsid w:val="3C5F6722"/>
    <w:rsid w:val="3C69636B"/>
    <w:rsid w:val="3C991F43"/>
    <w:rsid w:val="3CB11983"/>
    <w:rsid w:val="3CB13731"/>
    <w:rsid w:val="3CC3119F"/>
    <w:rsid w:val="3CDE7DED"/>
    <w:rsid w:val="3CF418F1"/>
    <w:rsid w:val="3CF96E86"/>
    <w:rsid w:val="3D0808D3"/>
    <w:rsid w:val="3D202664"/>
    <w:rsid w:val="3D5C2561"/>
    <w:rsid w:val="3DD84CED"/>
    <w:rsid w:val="3DE713D4"/>
    <w:rsid w:val="3DEE6AF0"/>
    <w:rsid w:val="3E287A22"/>
    <w:rsid w:val="3E3068D7"/>
    <w:rsid w:val="3E3E7246"/>
    <w:rsid w:val="3E950E30"/>
    <w:rsid w:val="3E952BDE"/>
    <w:rsid w:val="3F065125"/>
    <w:rsid w:val="3F1237B5"/>
    <w:rsid w:val="3F19736B"/>
    <w:rsid w:val="3F4C14EF"/>
    <w:rsid w:val="3F7B1DD4"/>
    <w:rsid w:val="3FA4132B"/>
    <w:rsid w:val="3FCD7412"/>
    <w:rsid w:val="400224F5"/>
    <w:rsid w:val="40B97058"/>
    <w:rsid w:val="410F6C78"/>
    <w:rsid w:val="41466412"/>
    <w:rsid w:val="4168282C"/>
    <w:rsid w:val="416F3BBA"/>
    <w:rsid w:val="417C795B"/>
    <w:rsid w:val="42510572"/>
    <w:rsid w:val="42756FAE"/>
    <w:rsid w:val="42762F99"/>
    <w:rsid w:val="428C42F8"/>
    <w:rsid w:val="42AE426E"/>
    <w:rsid w:val="42C716E4"/>
    <w:rsid w:val="42FE0D52"/>
    <w:rsid w:val="43657023"/>
    <w:rsid w:val="43792ACE"/>
    <w:rsid w:val="439C056B"/>
    <w:rsid w:val="439E6707"/>
    <w:rsid w:val="43A0005B"/>
    <w:rsid w:val="43A4400E"/>
    <w:rsid w:val="43AA712C"/>
    <w:rsid w:val="43D67F21"/>
    <w:rsid w:val="444924A1"/>
    <w:rsid w:val="448C6831"/>
    <w:rsid w:val="44C24358"/>
    <w:rsid w:val="44E26451"/>
    <w:rsid w:val="450D7972"/>
    <w:rsid w:val="450E5498"/>
    <w:rsid w:val="456A0921"/>
    <w:rsid w:val="458D5615"/>
    <w:rsid w:val="4607616F"/>
    <w:rsid w:val="463827CD"/>
    <w:rsid w:val="46651968"/>
    <w:rsid w:val="466E61EE"/>
    <w:rsid w:val="46862D23"/>
    <w:rsid w:val="469C4149"/>
    <w:rsid w:val="46B67B95"/>
    <w:rsid w:val="46D17C31"/>
    <w:rsid w:val="46E26BDC"/>
    <w:rsid w:val="4766336A"/>
    <w:rsid w:val="47B57E4D"/>
    <w:rsid w:val="47E44E5F"/>
    <w:rsid w:val="47F36533"/>
    <w:rsid w:val="47FD5DF2"/>
    <w:rsid w:val="480A0199"/>
    <w:rsid w:val="482A4397"/>
    <w:rsid w:val="482E25FC"/>
    <w:rsid w:val="48381158"/>
    <w:rsid w:val="483B65A4"/>
    <w:rsid w:val="48627FD5"/>
    <w:rsid w:val="486C49B0"/>
    <w:rsid w:val="4880045B"/>
    <w:rsid w:val="48C90054"/>
    <w:rsid w:val="48D569F9"/>
    <w:rsid w:val="494816FA"/>
    <w:rsid w:val="49557B3A"/>
    <w:rsid w:val="4957740E"/>
    <w:rsid w:val="49B54134"/>
    <w:rsid w:val="49CB233B"/>
    <w:rsid w:val="49F25388"/>
    <w:rsid w:val="4A1C55C7"/>
    <w:rsid w:val="4A3F1EAC"/>
    <w:rsid w:val="4A425141"/>
    <w:rsid w:val="4A471230"/>
    <w:rsid w:val="4A7A1270"/>
    <w:rsid w:val="4A897A9B"/>
    <w:rsid w:val="4AA3304D"/>
    <w:rsid w:val="4AA83FBD"/>
    <w:rsid w:val="4AD36F68"/>
    <w:rsid w:val="4AFB201B"/>
    <w:rsid w:val="4B4A0B1E"/>
    <w:rsid w:val="4B5C0D0B"/>
    <w:rsid w:val="4BEA4569"/>
    <w:rsid w:val="4BF47196"/>
    <w:rsid w:val="4C196BFC"/>
    <w:rsid w:val="4C583BC9"/>
    <w:rsid w:val="4C7C718B"/>
    <w:rsid w:val="4C883D82"/>
    <w:rsid w:val="4CDC0452"/>
    <w:rsid w:val="4CFA6A2E"/>
    <w:rsid w:val="4CFE5DF2"/>
    <w:rsid w:val="4D1675E0"/>
    <w:rsid w:val="4D1C1AB9"/>
    <w:rsid w:val="4D4729C6"/>
    <w:rsid w:val="4D4B1DC0"/>
    <w:rsid w:val="4DA42E3E"/>
    <w:rsid w:val="4DAE5A6A"/>
    <w:rsid w:val="4DFC2F8F"/>
    <w:rsid w:val="4E1C29D4"/>
    <w:rsid w:val="4E683E6B"/>
    <w:rsid w:val="4E760336"/>
    <w:rsid w:val="4E802F63"/>
    <w:rsid w:val="4EC5306C"/>
    <w:rsid w:val="4EC76DE4"/>
    <w:rsid w:val="4EDD03B5"/>
    <w:rsid w:val="4EE31744"/>
    <w:rsid w:val="4F0C39F5"/>
    <w:rsid w:val="4F0F0B84"/>
    <w:rsid w:val="4F2E0C11"/>
    <w:rsid w:val="4F4A3571"/>
    <w:rsid w:val="4F4F7809"/>
    <w:rsid w:val="4F754A92"/>
    <w:rsid w:val="4F936CC6"/>
    <w:rsid w:val="4FAE58AE"/>
    <w:rsid w:val="4FBB22C3"/>
    <w:rsid w:val="500100D3"/>
    <w:rsid w:val="50395ABF"/>
    <w:rsid w:val="5066262C"/>
    <w:rsid w:val="50845C1D"/>
    <w:rsid w:val="50C51101"/>
    <w:rsid w:val="51043EAF"/>
    <w:rsid w:val="5109537F"/>
    <w:rsid w:val="510A120A"/>
    <w:rsid w:val="510A745C"/>
    <w:rsid w:val="512555A3"/>
    <w:rsid w:val="51432163"/>
    <w:rsid w:val="515B1A65"/>
    <w:rsid w:val="516C3C72"/>
    <w:rsid w:val="516C5A20"/>
    <w:rsid w:val="51701D94"/>
    <w:rsid w:val="51F17BCD"/>
    <w:rsid w:val="52067C23"/>
    <w:rsid w:val="522D1654"/>
    <w:rsid w:val="52311DDC"/>
    <w:rsid w:val="5245699D"/>
    <w:rsid w:val="52B7716F"/>
    <w:rsid w:val="52D715BF"/>
    <w:rsid w:val="532B7555"/>
    <w:rsid w:val="532C5467"/>
    <w:rsid w:val="534D068E"/>
    <w:rsid w:val="535B3F9E"/>
    <w:rsid w:val="5391176E"/>
    <w:rsid w:val="539B3B0B"/>
    <w:rsid w:val="53C51418"/>
    <w:rsid w:val="544D1B39"/>
    <w:rsid w:val="546A70A7"/>
    <w:rsid w:val="546E1AAF"/>
    <w:rsid w:val="54C55B73"/>
    <w:rsid w:val="54EB6C0B"/>
    <w:rsid w:val="54FE72D7"/>
    <w:rsid w:val="55392A77"/>
    <w:rsid w:val="558477DD"/>
    <w:rsid w:val="55913CA7"/>
    <w:rsid w:val="55CE0A58"/>
    <w:rsid w:val="56424FA2"/>
    <w:rsid w:val="56717635"/>
    <w:rsid w:val="569F0646"/>
    <w:rsid w:val="56E30533"/>
    <w:rsid w:val="56E9366F"/>
    <w:rsid w:val="570404A9"/>
    <w:rsid w:val="57123422"/>
    <w:rsid w:val="573214BA"/>
    <w:rsid w:val="5748116E"/>
    <w:rsid w:val="57563E6C"/>
    <w:rsid w:val="57A001D2"/>
    <w:rsid w:val="57A9647A"/>
    <w:rsid w:val="57AC4DC9"/>
    <w:rsid w:val="57AE7255"/>
    <w:rsid w:val="57F14ED1"/>
    <w:rsid w:val="580F5357"/>
    <w:rsid w:val="581241DA"/>
    <w:rsid w:val="58331046"/>
    <w:rsid w:val="58387355"/>
    <w:rsid w:val="586E6E66"/>
    <w:rsid w:val="58805DEC"/>
    <w:rsid w:val="589917F1"/>
    <w:rsid w:val="58A40196"/>
    <w:rsid w:val="58A837E2"/>
    <w:rsid w:val="58B2640F"/>
    <w:rsid w:val="58C13E3C"/>
    <w:rsid w:val="58F44C79"/>
    <w:rsid w:val="58FA6008"/>
    <w:rsid w:val="590F3861"/>
    <w:rsid w:val="59480B21"/>
    <w:rsid w:val="59837DAB"/>
    <w:rsid w:val="59AE494E"/>
    <w:rsid w:val="59CF2FF0"/>
    <w:rsid w:val="59E545C2"/>
    <w:rsid w:val="5A1D3D5C"/>
    <w:rsid w:val="5A380B96"/>
    <w:rsid w:val="5A4E03B9"/>
    <w:rsid w:val="5A7B0A82"/>
    <w:rsid w:val="5AA21992"/>
    <w:rsid w:val="5B0D3DD0"/>
    <w:rsid w:val="5B182775"/>
    <w:rsid w:val="5B501F0F"/>
    <w:rsid w:val="5B5437AD"/>
    <w:rsid w:val="5B9B13DC"/>
    <w:rsid w:val="5B9C45BA"/>
    <w:rsid w:val="5C237623"/>
    <w:rsid w:val="5C2921BD"/>
    <w:rsid w:val="5C341831"/>
    <w:rsid w:val="5C3830CF"/>
    <w:rsid w:val="5C7C7FD5"/>
    <w:rsid w:val="5C9D2F32"/>
    <w:rsid w:val="5CA22C3E"/>
    <w:rsid w:val="5CCE4602"/>
    <w:rsid w:val="5CE62B2B"/>
    <w:rsid w:val="5CED6182"/>
    <w:rsid w:val="5CFC40FC"/>
    <w:rsid w:val="5D213B63"/>
    <w:rsid w:val="5D3F048D"/>
    <w:rsid w:val="5D4F340A"/>
    <w:rsid w:val="5D597F43"/>
    <w:rsid w:val="5D5E6B65"/>
    <w:rsid w:val="5D605420"/>
    <w:rsid w:val="5D740137"/>
    <w:rsid w:val="5D883BE2"/>
    <w:rsid w:val="5D9702C9"/>
    <w:rsid w:val="5D9B1B67"/>
    <w:rsid w:val="5E0A2849"/>
    <w:rsid w:val="5E4B5F90"/>
    <w:rsid w:val="5EAA7B88"/>
    <w:rsid w:val="5ED05841"/>
    <w:rsid w:val="5F013C4C"/>
    <w:rsid w:val="5F196F61"/>
    <w:rsid w:val="5F5E109E"/>
    <w:rsid w:val="5F8328B3"/>
    <w:rsid w:val="5FAD7930"/>
    <w:rsid w:val="5FCB6008"/>
    <w:rsid w:val="5FE84E0C"/>
    <w:rsid w:val="601D1118"/>
    <w:rsid w:val="60453C66"/>
    <w:rsid w:val="60457B68"/>
    <w:rsid w:val="60716BAF"/>
    <w:rsid w:val="608368E3"/>
    <w:rsid w:val="608C39E9"/>
    <w:rsid w:val="60A30D33"/>
    <w:rsid w:val="60E27AAD"/>
    <w:rsid w:val="60F63558"/>
    <w:rsid w:val="61113EEE"/>
    <w:rsid w:val="611A1E36"/>
    <w:rsid w:val="61251748"/>
    <w:rsid w:val="613876CD"/>
    <w:rsid w:val="615D0EE2"/>
    <w:rsid w:val="617B356F"/>
    <w:rsid w:val="61AE5BE1"/>
    <w:rsid w:val="62361E5F"/>
    <w:rsid w:val="62372319"/>
    <w:rsid w:val="62375BD7"/>
    <w:rsid w:val="62483940"/>
    <w:rsid w:val="62497AFB"/>
    <w:rsid w:val="625A3EA4"/>
    <w:rsid w:val="629D3C8C"/>
    <w:rsid w:val="62AF1C11"/>
    <w:rsid w:val="62D13935"/>
    <w:rsid w:val="62EA0E9B"/>
    <w:rsid w:val="631A52DC"/>
    <w:rsid w:val="633914DA"/>
    <w:rsid w:val="635822A8"/>
    <w:rsid w:val="635A1B7D"/>
    <w:rsid w:val="636429FB"/>
    <w:rsid w:val="640E2967"/>
    <w:rsid w:val="641336CD"/>
    <w:rsid w:val="641E4E67"/>
    <w:rsid w:val="64294DCA"/>
    <w:rsid w:val="643A4FBB"/>
    <w:rsid w:val="64520AA6"/>
    <w:rsid w:val="64601415"/>
    <w:rsid w:val="64656A2B"/>
    <w:rsid w:val="64664551"/>
    <w:rsid w:val="648844C8"/>
    <w:rsid w:val="64970BAF"/>
    <w:rsid w:val="64A55079"/>
    <w:rsid w:val="64CE2842"/>
    <w:rsid w:val="64D4770D"/>
    <w:rsid w:val="64D771FD"/>
    <w:rsid w:val="64EF4547"/>
    <w:rsid w:val="6502427A"/>
    <w:rsid w:val="650E0E71"/>
    <w:rsid w:val="651C0BD7"/>
    <w:rsid w:val="656C5B97"/>
    <w:rsid w:val="65886F9F"/>
    <w:rsid w:val="659A2704"/>
    <w:rsid w:val="659F41BF"/>
    <w:rsid w:val="65A645AF"/>
    <w:rsid w:val="65CB4E3A"/>
    <w:rsid w:val="65D379C4"/>
    <w:rsid w:val="65E47E23"/>
    <w:rsid w:val="65EC71F6"/>
    <w:rsid w:val="65F8742B"/>
    <w:rsid w:val="65FA13F5"/>
    <w:rsid w:val="65FB7383"/>
    <w:rsid w:val="66495ED8"/>
    <w:rsid w:val="66A8796E"/>
    <w:rsid w:val="66B71094"/>
    <w:rsid w:val="66C67529"/>
    <w:rsid w:val="66D66212"/>
    <w:rsid w:val="670A34B7"/>
    <w:rsid w:val="67242135"/>
    <w:rsid w:val="67466989"/>
    <w:rsid w:val="675E59B4"/>
    <w:rsid w:val="6773320D"/>
    <w:rsid w:val="679D472E"/>
    <w:rsid w:val="67B850C4"/>
    <w:rsid w:val="67CC6DC1"/>
    <w:rsid w:val="67F02AB0"/>
    <w:rsid w:val="68112A26"/>
    <w:rsid w:val="681F5143"/>
    <w:rsid w:val="682E35D8"/>
    <w:rsid w:val="68776D2D"/>
    <w:rsid w:val="68A815DC"/>
    <w:rsid w:val="68B910F3"/>
    <w:rsid w:val="68D777CC"/>
    <w:rsid w:val="68E5013A"/>
    <w:rsid w:val="69166546"/>
    <w:rsid w:val="69831701"/>
    <w:rsid w:val="69A2427D"/>
    <w:rsid w:val="69E70363"/>
    <w:rsid w:val="6A116D0D"/>
    <w:rsid w:val="6A2475B2"/>
    <w:rsid w:val="6A786D8C"/>
    <w:rsid w:val="6ABF49BB"/>
    <w:rsid w:val="6AC82F57"/>
    <w:rsid w:val="6AC975E8"/>
    <w:rsid w:val="6AD55F8D"/>
    <w:rsid w:val="6AE54422"/>
    <w:rsid w:val="6B0D141C"/>
    <w:rsid w:val="6B15282D"/>
    <w:rsid w:val="6B3810D4"/>
    <w:rsid w:val="6B3A1470"/>
    <w:rsid w:val="6B4C26F3"/>
    <w:rsid w:val="6B5C1F4B"/>
    <w:rsid w:val="6B6E08BB"/>
    <w:rsid w:val="6B713F07"/>
    <w:rsid w:val="6B923E7E"/>
    <w:rsid w:val="6BBB5183"/>
    <w:rsid w:val="6C3513D9"/>
    <w:rsid w:val="6C467142"/>
    <w:rsid w:val="6C895281"/>
    <w:rsid w:val="6C96452E"/>
    <w:rsid w:val="6C9A56E0"/>
    <w:rsid w:val="6C9F6852"/>
    <w:rsid w:val="6CB30550"/>
    <w:rsid w:val="6CF77E48"/>
    <w:rsid w:val="6D262AD0"/>
    <w:rsid w:val="6D301BA0"/>
    <w:rsid w:val="6D57712D"/>
    <w:rsid w:val="6DCB45E0"/>
    <w:rsid w:val="6DD342AA"/>
    <w:rsid w:val="6DEB3BCA"/>
    <w:rsid w:val="6E494CC8"/>
    <w:rsid w:val="6E7156FD"/>
    <w:rsid w:val="6F6E264E"/>
    <w:rsid w:val="6F7C10CD"/>
    <w:rsid w:val="6F8561D3"/>
    <w:rsid w:val="6F865AA7"/>
    <w:rsid w:val="6FA95287"/>
    <w:rsid w:val="6FE61F3E"/>
    <w:rsid w:val="70221C74"/>
    <w:rsid w:val="70D775CB"/>
    <w:rsid w:val="70DD12E4"/>
    <w:rsid w:val="70F133F4"/>
    <w:rsid w:val="70F25A17"/>
    <w:rsid w:val="71092E34"/>
    <w:rsid w:val="712E4649"/>
    <w:rsid w:val="714660D7"/>
    <w:rsid w:val="71C01E4A"/>
    <w:rsid w:val="72181B00"/>
    <w:rsid w:val="7258197D"/>
    <w:rsid w:val="725974A3"/>
    <w:rsid w:val="72677E12"/>
    <w:rsid w:val="727E6F0A"/>
    <w:rsid w:val="72A7258E"/>
    <w:rsid w:val="72D82ABE"/>
    <w:rsid w:val="72E90827"/>
    <w:rsid w:val="72F62232"/>
    <w:rsid w:val="73127EC8"/>
    <w:rsid w:val="73133AF6"/>
    <w:rsid w:val="731C6E4F"/>
    <w:rsid w:val="731E587F"/>
    <w:rsid w:val="73353A6C"/>
    <w:rsid w:val="73440153"/>
    <w:rsid w:val="73644352"/>
    <w:rsid w:val="73654DAE"/>
    <w:rsid w:val="73905147"/>
    <w:rsid w:val="73CF4676"/>
    <w:rsid w:val="73D509D0"/>
    <w:rsid w:val="73EB1D63"/>
    <w:rsid w:val="73FB4CB6"/>
    <w:rsid w:val="74166819"/>
    <w:rsid w:val="74193F58"/>
    <w:rsid w:val="74345D8F"/>
    <w:rsid w:val="745D14CD"/>
    <w:rsid w:val="74692034"/>
    <w:rsid w:val="74AC35B3"/>
    <w:rsid w:val="74B25CE4"/>
    <w:rsid w:val="74E03EAC"/>
    <w:rsid w:val="74E12754"/>
    <w:rsid w:val="74E4574A"/>
    <w:rsid w:val="750878CB"/>
    <w:rsid w:val="753A35BC"/>
    <w:rsid w:val="75466405"/>
    <w:rsid w:val="7568637B"/>
    <w:rsid w:val="75C95155"/>
    <w:rsid w:val="75F45E61"/>
    <w:rsid w:val="76054103"/>
    <w:rsid w:val="76127132"/>
    <w:rsid w:val="7618669E"/>
    <w:rsid w:val="762A7AD4"/>
    <w:rsid w:val="763F191E"/>
    <w:rsid w:val="764A3ADC"/>
    <w:rsid w:val="764C557E"/>
    <w:rsid w:val="76CD220E"/>
    <w:rsid w:val="773A78A3"/>
    <w:rsid w:val="775A7F45"/>
    <w:rsid w:val="77737259"/>
    <w:rsid w:val="77970D62"/>
    <w:rsid w:val="77C74EAF"/>
    <w:rsid w:val="77CD40A5"/>
    <w:rsid w:val="77D23F80"/>
    <w:rsid w:val="78063C29"/>
    <w:rsid w:val="781B5F00"/>
    <w:rsid w:val="78200134"/>
    <w:rsid w:val="78202F3D"/>
    <w:rsid w:val="78281DF2"/>
    <w:rsid w:val="783E1615"/>
    <w:rsid w:val="78441036"/>
    <w:rsid w:val="789D27E0"/>
    <w:rsid w:val="78A46F32"/>
    <w:rsid w:val="78C53AE4"/>
    <w:rsid w:val="78EE4DE9"/>
    <w:rsid w:val="78F8252B"/>
    <w:rsid w:val="79246A5D"/>
    <w:rsid w:val="79260D09"/>
    <w:rsid w:val="793945B9"/>
    <w:rsid w:val="793A0AF8"/>
    <w:rsid w:val="794B3FEA"/>
    <w:rsid w:val="796E77C6"/>
    <w:rsid w:val="79752E15"/>
    <w:rsid w:val="79E54F49"/>
    <w:rsid w:val="7A3727C0"/>
    <w:rsid w:val="7A4B1DC7"/>
    <w:rsid w:val="7A681AE2"/>
    <w:rsid w:val="7A7237F8"/>
    <w:rsid w:val="7AAA2F92"/>
    <w:rsid w:val="7AB4366F"/>
    <w:rsid w:val="7AC754CB"/>
    <w:rsid w:val="7ADD5115"/>
    <w:rsid w:val="7B75534E"/>
    <w:rsid w:val="7B9D48A5"/>
    <w:rsid w:val="7BA132F5"/>
    <w:rsid w:val="7BAD6F9E"/>
    <w:rsid w:val="7BBD4F47"/>
    <w:rsid w:val="7C1475DC"/>
    <w:rsid w:val="7C20204E"/>
    <w:rsid w:val="7C662EE9"/>
    <w:rsid w:val="7CB24380"/>
    <w:rsid w:val="7CFE75C5"/>
    <w:rsid w:val="7D012C11"/>
    <w:rsid w:val="7D1E1A15"/>
    <w:rsid w:val="7D2012E9"/>
    <w:rsid w:val="7D33726F"/>
    <w:rsid w:val="7D39684F"/>
    <w:rsid w:val="7D545437"/>
    <w:rsid w:val="7D55711B"/>
    <w:rsid w:val="7D6C452F"/>
    <w:rsid w:val="7D833AFE"/>
    <w:rsid w:val="7D99109C"/>
    <w:rsid w:val="7DDB16B4"/>
    <w:rsid w:val="7E430455"/>
    <w:rsid w:val="7EDF693E"/>
    <w:rsid w:val="7EF50554"/>
    <w:rsid w:val="7F0215EE"/>
    <w:rsid w:val="7F0709B3"/>
    <w:rsid w:val="7F08297D"/>
    <w:rsid w:val="7F271055"/>
    <w:rsid w:val="7F427C3D"/>
    <w:rsid w:val="7F6C6A68"/>
    <w:rsid w:val="7FCE5462"/>
    <w:rsid w:val="7FD12D6F"/>
    <w:rsid w:val="7FF151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0894A65"/>
  <w15:docId w15:val="{BDAE2C46-23C9-4886-9505-6EE0F4ED7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annotation text" w:qFormat="1"/>
    <w:lsdException w:name="caption" w:semiHidden="1" w:unhideWhenUsed="1" w:qFormat="1"/>
    <w:lsdException w:name="footnote reference" w:qFormat="1"/>
    <w:lsdException w:name="annotation reference"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qFormat/>
    <w:rPr>
      <w:sz w:val="20"/>
      <w:szCs w:val="20"/>
    </w:rPr>
  </w:style>
  <w:style w:type="paragraph" w:styleId="BodyText">
    <w:name w:val="Body Text"/>
    <w:basedOn w:val="Normal"/>
    <w:autoRedefine/>
    <w:qFormat/>
    <w:pPr>
      <w:spacing w:line="360" w:lineRule="exact"/>
    </w:pPr>
    <w:rPr>
      <w:b/>
      <w:bCs/>
    </w:rPr>
  </w:style>
  <w:style w:type="paragraph" w:styleId="FootnoteText">
    <w:name w:val="footnote text"/>
    <w:basedOn w:val="Normal"/>
    <w:autoRedefine/>
    <w:qFormat/>
    <w:pPr>
      <w:snapToGrid w:val="0"/>
      <w:jc w:val="left"/>
    </w:pPr>
    <w:rPr>
      <w:sz w:val="18"/>
    </w:rPr>
  </w:style>
  <w:style w:type="paragraph" w:styleId="NormalWeb">
    <w:name w:val="Normal (Web)"/>
    <w:basedOn w:val="Normal"/>
    <w:autoRedefine/>
    <w:qFormat/>
    <w:pPr>
      <w:spacing w:beforeAutospacing="1" w:afterAutospacing="1"/>
      <w:jc w:val="left"/>
    </w:pPr>
    <w:rPr>
      <w:rFonts w:cs="Times New Roman"/>
      <w:kern w:val="0"/>
      <w:sz w:val="24"/>
    </w:rPr>
  </w:style>
  <w:style w:type="paragraph" w:styleId="CommentSubject">
    <w:name w:val="annotation subject"/>
    <w:basedOn w:val="CommentText"/>
    <w:next w:val="CommentText"/>
    <w:link w:val="CommentSubjectChar"/>
    <w:qFormat/>
    <w:rPr>
      <w:b/>
      <w:bCs/>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qFormat/>
    <w:rPr>
      <w:sz w:val="16"/>
      <w:szCs w:val="16"/>
    </w:rPr>
  </w:style>
  <w:style w:type="character" w:styleId="FootnoteReference">
    <w:name w:val="footnote reference"/>
    <w:basedOn w:val="DefaultParagraphFont"/>
    <w:autoRedefine/>
    <w:qFormat/>
    <w:rPr>
      <w:vertAlign w:val="superscript"/>
    </w:rPr>
  </w:style>
  <w:style w:type="paragraph" w:customStyle="1" w:styleId="Revision1">
    <w:name w:val="Revision1"/>
    <w:hidden/>
    <w:uiPriority w:val="99"/>
    <w:unhideWhenUsed/>
    <w:qFormat/>
    <w:rPr>
      <w:rFonts w:asciiTheme="minorHAnsi" w:eastAsiaTheme="minorEastAsia" w:hAnsiTheme="minorHAnsi" w:cstheme="minorBidi"/>
      <w:kern w:val="2"/>
      <w:sz w:val="21"/>
      <w:szCs w:val="24"/>
      <w:lang w:eastAsia="zh-CN"/>
    </w:rPr>
  </w:style>
  <w:style w:type="character" w:customStyle="1" w:styleId="CommentTextChar">
    <w:name w:val="Comment Text Char"/>
    <w:basedOn w:val="DefaultParagraphFont"/>
    <w:link w:val="CommentText"/>
    <w:qFormat/>
    <w:rPr>
      <w:rFonts w:asciiTheme="minorHAnsi" w:eastAsiaTheme="minorEastAsia" w:hAnsiTheme="minorHAnsi" w:cstheme="minorBidi"/>
      <w:kern w:val="2"/>
      <w:lang w:val="en-US" w:eastAsia="zh-CN"/>
    </w:rPr>
  </w:style>
  <w:style w:type="character" w:customStyle="1" w:styleId="CommentSubjectChar">
    <w:name w:val="Comment Subject Char"/>
    <w:basedOn w:val="CommentTextChar"/>
    <w:link w:val="CommentSubject"/>
    <w:qFormat/>
    <w:rPr>
      <w:rFonts w:asciiTheme="minorHAnsi" w:eastAsiaTheme="minorEastAsia" w:hAnsiTheme="minorHAnsi" w:cstheme="minorBidi"/>
      <w:b/>
      <w:bCs/>
      <w:kern w:val="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4490429384376601E-2"/>
          <c:y val="6.2672348959638996E-2"/>
          <c:w val="0.84891360579410202"/>
          <c:h val="0.67545750814740502"/>
        </c:manualLayout>
      </c:layout>
      <c:barChart>
        <c:barDir val="col"/>
        <c:grouping val="clustered"/>
        <c:varyColors val="0"/>
        <c:ser>
          <c:idx val="0"/>
          <c:order val="0"/>
          <c:tx>
            <c:strRef>
              <c:f>Sheet1!$B$1</c:f>
              <c:strCache>
                <c:ptCount val="1"/>
                <c:pt idx="0">
                  <c:v>Operating mileage of high-speed rail (kilometers)</c:v>
                </c:pt>
              </c:strCache>
            </c:strRef>
          </c:tx>
          <c:spPr>
            <a:solidFill>
              <a:schemeClr val="tx1">
                <a:lumMod val="50000"/>
                <a:lumOff val="50000"/>
              </a:schemeClr>
            </a:solidFill>
            <a:ln>
              <a:noFill/>
            </a:ln>
            <a:effectLst/>
          </c:spPr>
          <c:invertIfNegative val="0"/>
          <c:cat>
            <c:numRef>
              <c:f>Sheet1!$A$2:$A$16</c:f>
              <c:numCache>
                <c:formatCode>General</c:formatCode>
                <c:ptCount val="15"/>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numCache>
            </c:numRef>
          </c:cat>
          <c:val>
            <c:numRef>
              <c:f>Sheet1!$B$2:$B$16</c:f>
              <c:numCache>
                <c:formatCode>General</c:formatCode>
                <c:ptCount val="15"/>
                <c:pt idx="0">
                  <c:v>672</c:v>
                </c:pt>
                <c:pt idx="1">
                  <c:v>2699</c:v>
                </c:pt>
                <c:pt idx="2">
                  <c:v>5133</c:v>
                </c:pt>
                <c:pt idx="3">
                  <c:v>6601</c:v>
                </c:pt>
                <c:pt idx="4">
                  <c:v>9356</c:v>
                </c:pt>
                <c:pt idx="5">
                  <c:v>11028</c:v>
                </c:pt>
                <c:pt idx="6">
                  <c:v>16456</c:v>
                </c:pt>
                <c:pt idx="7">
                  <c:v>19838</c:v>
                </c:pt>
                <c:pt idx="8">
                  <c:v>22980</c:v>
                </c:pt>
                <c:pt idx="9">
                  <c:v>25164</c:v>
                </c:pt>
                <c:pt idx="10">
                  <c:v>29904</c:v>
                </c:pt>
                <c:pt idx="11">
                  <c:v>35388</c:v>
                </c:pt>
                <c:pt idx="12">
                  <c:v>37929</c:v>
                </c:pt>
                <c:pt idx="13">
                  <c:v>40139</c:v>
                </c:pt>
                <c:pt idx="14">
                  <c:v>42241</c:v>
                </c:pt>
              </c:numCache>
            </c:numRef>
          </c:val>
          <c:extLst>
            <c:ext xmlns:c16="http://schemas.microsoft.com/office/drawing/2014/chart" uri="{C3380CC4-5D6E-409C-BE32-E72D297353CC}">
              <c16:uniqueId val="{00000000-F361-4D5D-B0AD-5178DB58B041}"/>
            </c:ext>
          </c:extLst>
        </c:ser>
        <c:dLbls>
          <c:showLegendKey val="0"/>
          <c:showVal val="0"/>
          <c:showCatName val="0"/>
          <c:showSerName val="0"/>
          <c:showPercent val="0"/>
          <c:showBubbleSize val="0"/>
        </c:dLbls>
        <c:gapWidth val="150"/>
        <c:axId val="438372863"/>
        <c:axId val="142228886"/>
      </c:barChart>
      <c:lineChart>
        <c:grouping val="standard"/>
        <c:varyColors val="0"/>
        <c:ser>
          <c:idx val="1"/>
          <c:order val="1"/>
          <c:tx>
            <c:strRef>
              <c:f>Sheet1!$C$1</c:f>
              <c:strCache>
                <c:ptCount val="1"/>
                <c:pt idx="0">
                  <c:v>Proportion of railway operating mileage (%)</c:v>
                </c:pt>
              </c:strCache>
            </c:strRef>
          </c:tx>
          <c:spPr>
            <a:ln w="28575" cap="rnd" cmpd="sng">
              <a:solidFill>
                <a:schemeClr val="tx1"/>
              </a:solidFill>
              <a:prstDash val="sysDash"/>
              <a:round/>
            </a:ln>
            <a:effectLst/>
          </c:spPr>
          <c:marker>
            <c:symbol val="none"/>
          </c:marker>
          <c:cat>
            <c:numRef>
              <c:f>Sheet1!$A$2:$A$16</c:f>
              <c:numCache>
                <c:formatCode>General</c:formatCode>
                <c:ptCount val="15"/>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numCache>
            </c:numRef>
          </c:cat>
          <c:val>
            <c:numRef>
              <c:f>Sheet1!$C$2:$C$16</c:f>
              <c:numCache>
                <c:formatCode>General</c:formatCode>
                <c:ptCount val="15"/>
                <c:pt idx="0">
                  <c:v>0.8</c:v>
                </c:pt>
                <c:pt idx="1">
                  <c:v>3.2</c:v>
                </c:pt>
                <c:pt idx="2">
                  <c:v>5.6</c:v>
                </c:pt>
                <c:pt idx="3">
                  <c:v>7.1</c:v>
                </c:pt>
                <c:pt idx="4">
                  <c:v>9.6</c:v>
                </c:pt>
                <c:pt idx="5">
                  <c:v>10.7</c:v>
                </c:pt>
                <c:pt idx="6">
                  <c:v>14.7</c:v>
                </c:pt>
                <c:pt idx="7">
                  <c:v>16.399999999999999</c:v>
                </c:pt>
                <c:pt idx="8">
                  <c:v>18.5</c:v>
                </c:pt>
                <c:pt idx="9">
                  <c:v>19.8</c:v>
                </c:pt>
                <c:pt idx="10">
                  <c:v>22.7</c:v>
                </c:pt>
                <c:pt idx="11">
                  <c:v>25.3</c:v>
                </c:pt>
                <c:pt idx="12">
                  <c:v>25.9</c:v>
                </c:pt>
                <c:pt idx="13">
                  <c:v>26.6</c:v>
                </c:pt>
                <c:pt idx="14">
                  <c:v>27.3</c:v>
                </c:pt>
              </c:numCache>
            </c:numRef>
          </c:val>
          <c:smooth val="0"/>
          <c:extLst>
            <c:ext xmlns:c16="http://schemas.microsoft.com/office/drawing/2014/chart" uri="{C3380CC4-5D6E-409C-BE32-E72D297353CC}">
              <c16:uniqueId val="{00000001-F361-4D5D-B0AD-5178DB58B041}"/>
            </c:ext>
          </c:extLst>
        </c:ser>
        <c:dLbls>
          <c:showLegendKey val="0"/>
          <c:showVal val="0"/>
          <c:showCatName val="0"/>
          <c:showSerName val="0"/>
          <c:showPercent val="0"/>
          <c:showBubbleSize val="0"/>
        </c:dLbls>
        <c:marker val="1"/>
        <c:smooth val="0"/>
        <c:axId val="443183109"/>
        <c:axId val="474850510"/>
      </c:lineChart>
      <c:catAx>
        <c:axId val="438372863"/>
        <c:scaling>
          <c:orientation val="minMax"/>
        </c:scaling>
        <c:delete val="0"/>
        <c:axPos val="b"/>
        <c:numFmt formatCode="General" sourceLinked="0"/>
        <c:majorTickMark val="in"/>
        <c:minorTickMark val="none"/>
        <c:tickLblPos val="nextTo"/>
        <c:spPr>
          <a:noFill/>
          <a:ln w="9525" cap="flat" cmpd="sng" algn="ctr">
            <a:solidFill>
              <a:schemeClr val="tx1"/>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crossAx val="142228886"/>
        <c:crosses val="autoZero"/>
        <c:auto val="1"/>
        <c:lblAlgn val="ctr"/>
        <c:lblOffset val="100"/>
        <c:noMultiLvlLbl val="0"/>
      </c:catAx>
      <c:valAx>
        <c:axId val="142228886"/>
        <c:scaling>
          <c:orientation val="minMax"/>
        </c:scaling>
        <c:delete val="0"/>
        <c:axPos val="l"/>
        <c:majorGridlines>
          <c:spPr>
            <a:ln w="9525" cap="flat" cmpd="sng" algn="ctr">
              <a:noFill/>
              <a:round/>
            </a:ln>
            <a:effectLst/>
          </c:spPr>
        </c:majorGridlines>
        <c:numFmt formatCode="General" sourceLinked="1"/>
        <c:majorTickMark val="in"/>
        <c:minorTickMark val="none"/>
        <c:tickLblPos val="nextTo"/>
        <c:spPr>
          <a:noFill/>
          <a:ln>
            <a:solidFill>
              <a:schemeClr val="tx1"/>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crossAx val="438372863"/>
        <c:crosses val="autoZero"/>
        <c:crossBetween val="between"/>
      </c:valAx>
      <c:catAx>
        <c:axId val="443183109"/>
        <c:scaling>
          <c:orientation val="minMax"/>
        </c:scaling>
        <c:delete val="1"/>
        <c:axPos val="b"/>
        <c:numFmt formatCode="General" sourceLinked="1"/>
        <c:majorTickMark val="none"/>
        <c:minorTickMark val="none"/>
        <c:tickLblPos val="nextTo"/>
        <c:crossAx val="474850510"/>
        <c:crosses val="autoZero"/>
        <c:auto val="1"/>
        <c:lblAlgn val="ctr"/>
        <c:lblOffset val="100"/>
        <c:noMultiLvlLbl val="0"/>
      </c:catAx>
      <c:valAx>
        <c:axId val="474850510"/>
        <c:scaling>
          <c:orientation val="minMax"/>
        </c:scaling>
        <c:delete val="0"/>
        <c:axPos val="r"/>
        <c:numFmt formatCode="General" sourceLinked="1"/>
        <c:majorTickMark val="in"/>
        <c:minorTickMark val="none"/>
        <c:tickLblPos val="nextTo"/>
        <c:spPr>
          <a:noFill/>
          <a:ln>
            <a:solidFill>
              <a:schemeClr val="tx1"/>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crossAx val="443183109"/>
        <c:crosses val="max"/>
        <c:crossBetween val="between"/>
      </c:valAx>
      <c:spPr>
        <a:noFill/>
        <a:ln>
          <a:solidFill>
            <a:schemeClr val="tx1"/>
          </a:solidFill>
        </a:ln>
        <a:effectLst/>
      </c:spPr>
    </c:plotArea>
    <c:legend>
      <c:legendPos val="b"/>
      <c:layout>
        <c:manualLayout>
          <c:xMode val="edge"/>
          <c:yMode val="edge"/>
          <c:x val="0.235450077599586"/>
          <c:y val="0.83905740787164695"/>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lang="zh-CN"/>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High-speed rail passenger volume (million people)</c:v>
                </c:pt>
              </c:strCache>
            </c:strRef>
          </c:tx>
          <c:spPr>
            <a:solidFill>
              <a:schemeClr val="bg1">
                <a:lumMod val="75000"/>
              </a:schemeClr>
            </a:solidFill>
            <a:ln>
              <a:noFill/>
            </a:ln>
            <a:effectLst/>
          </c:spPr>
          <c:invertIfNegative val="0"/>
          <c:cat>
            <c:numRef>
              <c:f>Sheet1!$A$2:$A$16</c:f>
              <c:numCache>
                <c:formatCode>General</c:formatCode>
                <c:ptCount val="15"/>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numCache>
            </c:numRef>
          </c:cat>
          <c:val>
            <c:numRef>
              <c:f>Sheet1!$B$2:$B$16</c:f>
              <c:numCache>
                <c:formatCode>General</c:formatCode>
                <c:ptCount val="15"/>
                <c:pt idx="0">
                  <c:v>7.34</c:v>
                </c:pt>
                <c:pt idx="1">
                  <c:v>46.51</c:v>
                </c:pt>
                <c:pt idx="2">
                  <c:v>133.22999999999999</c:v>
                </c:pt>
                <c:pt idx="3">
                  <c:v>285.52</c:v>
                </c:pt>
                <c:pt idx="4">
                  <c:v>388.15</c:v>
                </c:pt>
                <c:pt idx="5">
                  <c:v>529.62</c:v>
                </c:pt>
                <c:pt idx="6">
                  <c:v>703.78</c:v>
                </c:pt>
                <c:pt idx="7">
                  <c:v>961.39</c:v>
                </c:pt>
                <c:pt idx="8">
                  <c:v>1221.28</c:v>
                </c:pt>
                <c:pt idx="9">
                  <c:v>1752.16</c:v>
                </c:pt>
                <c:pt idx="10">
                  <c:v>2054.3000000000002</c:v>
                </c:pt>
                <c:pt idx="11">
                  <c:v>2358.33</c:v>
                </c:pt>
                <c:pt idx="12">
                  <c:v>1557.07</c:v>
                </c:pt>
                <c:pt idx="13">
                  <c:v>1922.36</c:v>
                </c:pt>
                <c:pt idx="14">
                  <c:v>1275.33</c:v>
                </c:pt>
              </c:numCache>
            </c:numRef>
          </c:val>
          <c:extLst>
            <c:ext xmlns:c16="http://schemas.microsoft.com/office/drawing/2014/chart" uri="{C3380CC4-5D6E-409C-BE32-E72D297353CC}">
              <c16:uniqueId val="{00000000-B387-4E46-819A-6B76BE32A09D}"/>
            </c:ext>
          </c:extLst>
        </c:ser>
        <c:dLbls>
          <c:showLegendKey val="0"/>
          <c:showVal val="0"/>
          <c:showCatName val="0"/>
          <c:showSerName val="0"/>
          <c:showPercent val="0"/>
          <c:showBubbleSize val="0"/>
        </c:dLbls>
        <c:gapWidth val="150"/>
        <c:axId val="438372863"/>
        <c:axId val="142228886"/>
      </c:barChart>
      <c:lineChart>
        <c:grouping val="standard"/>
        <c:varyColors val="0"/>
        <c:ser>
          <c:idx val="1"/>
          <c:order val="1"/>
          <c:tx>
            <c:strRef>
              <c:f>Sheet1!$C$1</c:f>
              <c:strCache>
                <c:ptCount val="1"/>
                <c:pt idx="0">
                  <c:v>Proportion of railway passenger volume (%)</c:v>
                </c:pt>
              </c:strCache>
            </c:strRef>
          </c:tx>
          <c:spPr>
            <a:ln w="28575" cap="rnd" cmpd="sng">
              <a:solidFill>
                <a:schemeClr val="tx1"/>
              </a:solidFill>
              <a:prstDash val="sysDash"/>
              <a:round/>
            </a:ln>
            <a:effectLst/>
          </c:spPr>
          <c:marker>
            <c:symbol val="none"/>
          </c:marker>
          <c:cat>
            <c:numRef>
              <c:f>Sheet1!$A$2:$A$16</c:f>
              <c:numCache>
                <c:formatCode>General</c:formatCode>
                <c:ptCount val="15"/>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numCache>
            </c:numRef>
          </c:cat>
          <c:val>
            <c:numRef>
              <c:f>Sheet1!$C$2:$C$16</c:f>
              <c:numCache>
                <c:formatCode>General</c:formatCode>
                <c:ptCount val="15"/>
                <c:pt idx="0">
                  <c:v>0.5</c:v>
                </c:pt>
                <c:pt idx="1">
                  <c:v>3.1</c:v>
                </c:pt>
                <c:pt idx="2">
                  <c:v>8</c:v>
                </c:pt>
                <c:pt idx="3">
                  <c:v>15.8</c:v>
                </c:pt>
                <c:pt idx="4">
                  <c:v>20.5</c:v>
                </c:pt>
                <c:pt idx="5">
                  <c:v>25.1</c:v>
                </c:pt>
                <c:pt idx="6">
                  <c:v>30.5</c:v>
                </c:pt>
                <c:pt idx="7">
                  <c:v>37.9</c:v>
                </c:pt>
                <c:pt idx="8">
                  <c:v>43.4</c:v>
                </c:pt>
                <c:pt idx="9">
                  <c:v>56.8</c:v>
                </c:pt>
                <c:pt idx="10">
                  <c:v>60.9</c:v>
                </c:pt>
                <c:pt idx="11">
                  <c:v>64.400000000000006</c:v>
                </c:pt>
                <c:pt idx="12">
                  <c:v>70.7</c:v>
                </c:pt>
                <c:pt idx="13">
                  <c:v>73.599999999999994</c:v>
                </c:pt>
                <c:pt idx="14">
                  <c:v>76.2</c:v>
                </c:pt>
              </c:numCache>
            </c:numRef>
          </c:val>
          <c:smooth val="0"/>
          <c:extLst>
            <c:ext xmlns:c16="http://schemas.microsoft.com/office/drawing/2014/chart" uri="{C3380CC4-5D6E-409C-BE32-E72D297353CC}">
              <c16:uniqueId val="{00000001-B387-4E46-819A-6B76BE32A09D}"/>
            </c:ext>
          </c:extLst>
        </c:ser>
        <c:dLbls>
          <c:showLegendKey val="0"/>
          <c:showVal val="0"/>
          <c:showCatName val="0"/>
          <c:showSerName val="0"/>
          <c:showPercent val="0"/>
          <c:showBubbleSize val="0"/>
        </c:dLbls>
        <c:marker val="1"/>
        <c:smooth val="0"/>
        <c:axId val="443183109"/>
        <c:axId val="474850510"/>
      </c:lineChart>
      <c:catAx>
        <c:axId val="438372863"/>
        <c:scaling>
          <c:orientation val="minMax"/>
        </c:scaling>
        <c:delete val="0"/>
        <c:axPos val="b"/>
        <c:numFmt formatCode="General" sourceLinked="0"/>
        <c:majorTickMark val="in"/>
        <c:minorTickMark val="none"/>
        <c:tickLblPos val="nextTo"/>
        <c:spPr>
          <a:noFill/>
          <a:ln w="9525" cap="flat" cmpd="sng" algn="ctr">
            <a:solidFill>
              <a:schemeClr val="tx1"/>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crossAx val="142228886"/>
        <c:crosses val="autoZero"/>
        <c:auto val="1"/>
        <c:lblAlgn val="ctr"/>
        <c:lblOffset val="100"/>
        <c:noMultiLvlLbl val="0"/>
      </c:catAx>
      <c:valAx>
        <c:axId val="142228886"/>
        <c:scaling>
          <c:orientation val="minMax"/>
        </c:scaling>
        <c:delete val="0"/>
        <c:axPos val="l"/>
        <c:majorGridlines>
          <c:spPr>
            <a:ln w="9525" cap="flat" cmpd="sng" algn="ctr">
              <a:noFill/>
              <a:round/>
            </a:ln>
            <a:effectLst/>
          </c:spPr>
        </c:majorGridlines>
        <c:numFmt formatCode="General" sourceLinked="1"/>
        <c:majorTickMark val="in"/>
        <c:minorTickMark val="none"/>
        <c:tickLblPos val="nextTo"/>
        <c:spPr>
          <a:noFill/>
          <a:ln>
            <a:solidFill>
              <a:schemeClr val="tx1"/>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crossAx val="438372863"/>
        <c:crosses val="autoZero"/>
        <c:crossBetween val="between"/>
      </c:valAx>
      <c:catAx>
        <c:axId val="443183109"/>
        <c:scaling>
          <c:orientation val="minMax"/>
        </c:scaling>
        <c:delete val="1"/>
        <c:axPos val="b"/>
        <c:numFmt formatCode="General" sourceLinked="1"/>
        <c:majorTickMark val="none"/>
        <c:minorTickMark val="none"/>
        <c:tickLblPos val="nextTo"/>
        <c:crossAx val="474850510"/>
        <c:crosses val="autoZero"/>
        <c:auto val="1"/>
        <c:lblAlgn val="ctr"/>
        <c:lblOffset val="100"/>
        <c:noMultiLvlLbl val="0"/>
      </c:catAx>
      <c:valAx>
        <c:axId val="474850510"/>
        <c:scaling>
          <c:orientation val="minMax"/>
        </c:scaling>
        <c:delete val="0"/>
        <c:axPos val="r"/>
        <c:numFmt formatCode="General" sourceLinked="1"/>
        <c:majorTickMark val="in"/>
        <c:minorTickMark val="none"/>
        <c:tickLblPos val="nextTo"/>
        <c:spPr>
          <a:noFill/>
          <a:ln>
            <a:solidFill>
              <a:schemeClr val="tx1"/>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crossAx val="443183109"/>
        <c:crosses val="max"/>
        <c:crossBetween val="between"/>
      </c:valAx>
      <c:spPr>
        <a:noFill/>
        <a:ln>
          <a:solidFill>
            <a:schemeClr val="tx1"/>
          </a:solid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lang="zh-CN"/>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dLbls>
          <c:showLegendKey val="0"/>
          <c:showVal val="1"/>
          <c:showCatName val="0"/>
          <c:showSerName val="0"/>
          <c:showPercent val="0"/>
          <c:showBubbleSize val="0"/>
        </c:dLbls>
        <c:gapWidth val="219"/>
        <c:overlap val="-27"/>
        <c:axId val="482653046"/>
        <c:axId val="579934222"/>
      </c:barChart>
      <c:barChart>
        <c:barDir val="col"/>
        <c:grouping val="clustered"/>
        <c:varyColors val="0"/>
        <c:ser>
          <c:idx val="1"/>
          <c:order val="1"/>
          <c:tx>
            <c:strRef>
              <c:f>Sheet1!$C$1</c:f>
              <c:strCache>
                <c:ptCount val="1"/>
                <c:pt idx="0">
                  <c:v>Mobile phone base stations (thousands)</c:v>
                </c:pt>
              </c:strCache>
            </c:strRef>
          </c:tx>
          <c:spPr>
            <a:solidFill>
              <a:schemeClr val="tx1">
                <a:lumMod val="75000"/>
                <a:lumOff val="25000"/>
              </a:schemeClr>
            </a:solidFill>
            <a:ln>
              <a:noFill/>
            </a:ln>
            <a:effectLst/>
          </c:spPr>
          <c:invertIfNegative val="0"/>
          <c:dLbls>
            <c:delete val="1"/>
          </c:dLbls>
          <c:cat>
            <c:numRef>
              <c:f>Sheet1!$A$2:$A$14</c:f>
              <c:numCache>
                <c:formatCode>General</c:formatCod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numCache>
            </c:numRef>
          </c:cat>
          <c:val>
            <c:numRef>
              <c:f>Sheet1!$C$2:$C$14</c:f>
              <c:numCache>
                <c:formatCode>General</c:formatCode>
                <c:ptCount val="13"/>
                <c:pt idx="0">
                  <c:v>1398</c:v>
                </c:pt>
                <c:pt idx="1">
                  <c:v>1752</c:v>
                </c:pt>
                <c:pt idx="2">
                  <c:v>2066</c:v>
                </c:pt>
                <c:pt idx="3">
                  <c:v>2410</c:v>
                </c:pt>
                <c:pt idx="4">
                  <c:v>3508</c:v>
                </c:pt>
                <c:pt idx="5">
                  <c:v>4656</c:v>
                </c:pt>
                <c:pt idx="6">
                  <c:v>5594</c:v>
                </c:pt>
                <c:pt idx="7">
                  <c:v>6187</c:v>
                </c:pt>
                <c:pt idx="8">
                  <c:v>6672</c:v>
                </c:pt>
                <c:pt idx="9">
                  <c:v>8410</c:v>
                </c:pt>
                <c:pt idx="10">
                  <c:v>9310</c:v>
                </c:pt>
                <c:pt idx="11">
                  <c:v>9963</c:v>
                </c:pt>
                <c:pt idx="12">
                  <c:v>10834</c:v>
                </c:pt>
              </c:numCache>
            </c:numRef>
          </c:val>
          <c:extLst>
            <c:ext xmlns:c16="http://schemas.microsoft.com/office/drawing/2014/chart" uri="{C3380CC4-5D6E-409C-BE32-E72D297353CC}">
              <c16:uniqueId val="{00000000-814B-472F-9C8D-671896C7A958}"/>
            </c:ext>
          </c:extLst>
        </c:ser>
        <c:ser>
          <c:idx val="2"/>
          <c:order val="2"/>
          <c:tx>
            <c:strRef>
              <c:f>Sheet1!$D$1</c:f>
              <c:strCache>
                <c:ptCount val="1"/>
                <c:pt idx="0">
                  <c:v>Fiber-optic cable line length (thousands of kilometers)</c:v>
                </c:pt>
              </c:strCache>
            </c:strRef>
          </c:tx>
          <c:spPr>
            <a:solidFill>
              <a:schemeClr val="bg1">
                <a:lumMod val="75000"/>
              </a:schemeClr>
            </a:solidFill>
            <a:ln>
              <a:noFill/>
            </a:ln>
            <a:effectLst/>
          </c:spPr>
          <c:invertIfNegative val="0"/>
          <c:dPt>
            <c:idx val="12"/>
            <c:invertIfNegative val="0"/>
            <c:bubble3D val="0"/>
            <c:extLst>
              <c:ext xmlns:c16="http://schemas.microsoft.com/office/drawing/2014/chart" uri="{C3380CC4-5D6E-409C-BE32-E72D297353CC}">
                <c16:uniqueId val="{00000001-814B-472F-9C8D-671896C7A958}"/>
              </c:ext>
            </c:extLst>
          </c:dPt>
          <c:dLbls>
            <c:delete val="1"/>
          </c:dLbls>
          <c:cat>
            <c:numRef>
              <c:f>Sheet1!$A$2:$A$14</c:f>
              <c:numCache>
                <c:formatCode>General</c:formatCod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numCache>
            </c:numRef>
          </c:cat>
          <c:val>
            <c:numRef>
              <c:f>Sheet1!$D$2:$D$14</c:f>
              <c:numCache>
                <c:formatCode>General</c:formatCode>
                <c:ptCount val="13"/>
                <c:pt idx="0">
                  <c:v>9962.4670000000006</c:v>
                </c:pt>
                <c:pt idx="1">
                  <c:v>12119.303</c:v>
                </c:pt>
                <c:pt idx="2">
                  <c:v>14793.3</c:v>
                </c:pt>
                <c:pt idx="3">
                  <c:v>17453.708999999999</c:v>
                </c:pt>
                <c:pt idx="4">
                  <c:v>20612.528999999999</c:v>
                </c:pt>
                <c:pt idx="5">
                  <c:v>24863.348000000002</c:v>
                </c:pt>
                <c:pt idx="6">
                  <c:v>30420.755000000001</c:v>
                </c:pt>
                <c:pt idx="7">
                  <c:v>37801.072999999997</c:v>
                </c:pt>
                <c:pt idx="8">
                  <c:v>43167.887999999999</c:v>
                </c:pt>
                <c:pt idx="9">
                  <c:v>47412.442000000003</c:v>
                </c:pt>
                <c:pt idx="10">
                  <c:v>51692.050999999999</c:v>
                </c:pt>
                <c:pt idx="11">
                  <c:v>54808.233</c:v>
                </c:pt>
                <c:pt idx="12">
                  <c:v>59580.031999999999</c:v>
                </c:pt>
              </c:numCache>
            </c:numRef>
          </c:val>
          <c:extLst>
            <c:ext xmlns:c16="http://schemas.microsoft.com/office/drawing/2014/chart" uri="{C3380CC4-5D6E-409C-BE32-E72D297353CC}">
              <c16:uniqueId val="{00000002-814B-472F-9C8D-671896C7A958}"/>
            </c:ext>
          </c:extLst>
        </c:ser>
        <c:dLbls>
          <c:showLegendKey val="0"/>
          <c:showVal val="1"/>
          <c:showCatName val="0"/>
          <c:showSerName val="0"/>
          <c:showPercent val="0"/>
          <c:showBubbleSize val="0"/>
        </c:dLbls>
        <c:gapWidth val="150"/>
        <c:axId val="860099118"/>
        <c:axId val="762403326"/>
      </c:barChart>
      <c:lineChart>
        <c:grouping val="standard"/>
        <c:varyColors val="0"/>
        <c:ser>
          <c:idx val="0"/>
          <c:order val="0"/>
          <c:tx>
            <c:strRef>
              <c:f>Sheet1!$B$1</c:f>
              <c:strCache>
                <c:ptCount val="1"/>
                <c:pt idx="0">
                  <c:v>Mobile phone exchange capacity (million households)</c:v>
                </c:pt>
              </c:strCache>
            </c:strRef>
          </c:tx>
          <c:spPr>
            <a:ln w="28575" cap="rnd" cmpd="sng">
              <a:solidFill>
                <a:schemeClr val="tx1"/>
              </a:solidFill>
              <a:prstDash val="solid"/>
              <a:round/>
            </a:ln>
            <a:effectLst/>
          </c:spPr>
          <c:marker>
            <c:symbol val="none"/>
          </c:marker>
          <c:dLbls>
            <c:delete val="1"/>
          </c:dLbls>
          <c:cat>
            <c:numRef>
              <c:f>Sheet1!$A$2:$A$14</c:f>
              <c:numCache>
                <c:formatCode>General</c:formatCod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numCache>
            </c:numRef>
          </c:cat>
          <c:val>
            <c:numRef>
              <c:f>Sheet1!$B$2:$B$14</c:f>
              <c:numCache>
                <c:formatCode>General</c:formatCode>
                <c:ptCount val="13"/>
                <c:pt idx="0">
                  <c:v>1502.8489999999999</c:v>
                </c:pt>
                <c:pt idx="1">
                  <c:v>1716.36</c:v>
                </c:pt>
                <c:pt idx="2">
                  <c:v>1840.2380000000001</c:v>
                </c:pt>
                <c:pt idx="3">
                  <c:v>1965.5730000000001</c:v>
                </c:pt>
                <c:pt idx="4">
                  <c:v>2050.2489999999998</c:v>
                </c:pt>
                <c:pt idx="5">
                  <c:v>2181.5</c:v>
                </c:pt>
                <c:pt idx="6">
                  <c:v>2185.4</c:v>
                </c:pt>
                <c:pt idx="7">
                  <c:v>2421.8580000000002</c:v>
                </c:pt>
                <c:pt idx="8">
                  <c:v>2594.5309999999999</c:v>
                </c:pt>
                <c:pt idx="9">
                  <c:v>2725.2370000000001</c:v>
                </c:pt>
                <c:pt idx="10">
                  <c:v>2745.6709999999998</c:v>
                </c:pt>
                <c:pt idx="11">
                  <c:v>2756.9079999999999</c:v>
                </c:pt>
                <c:pt idx="12">
                  <c:v>2751.9409999999998</c:v>
                </c:pt>
              </c:numCache>
            </c:numRef>
          </c:val>
          <c:smooth val="0"/>
          <c:extLst>
            <c:ext xmlns:c16="http://schemas.microsoft.com/office/drawing/2014/chart" uri="{C3380CC4-5D6E-409C-BE32-E72D297353CC}">
              <c16:uniqueId val="{00000003-814B-472F-9C8D-671896C7A958}"/>
            </c:ext>
          </c:extLst>
        </c:ser>
        <c:dLbls>
          <c:showLegendKey val="0"/>
          <c:showVal val="1"/>
          <c:showCatName val="0"/>
          <c:showSerName val="0"/>
          <c:showPercent val="0"/>
          <c:showBubbleSize val="0"/>
        </c:dLbls>
        <c:marker val="1"/>
        <c:smooth val="0"/>
        <c:axId val="482653046"/>
        <c:axId val="579934222"/>
      </c:lineChart>
      <c:lineChart>
        <c:grouping val="standard"/>
        <c:varyColors val="0"/>
        <c:dLbls>
          <c:showLegendKey val="0"/>
          <c:showVal val="1"/>
          <c:showCatName val="0"/>
          <c:showSerName val="0"/>
          <c:showPercent val="0"/>
          <c:showBubbleSize val="0"/>
        </c:dLbls>
        <c:marker val="1"/>
        <c:smooth val="0"/>
        <c:axId val="860099118"/>
        <c:axId val="762403326"/>
      </c:lineChart>
      <c:catAx>
        <c:axId val="482653046"/>
        <c:scaling>
          <c:orientation val="minMax"/>
        </c:scaling>
        <c:delete val="0"/>
        <c:axPos val="b"/>
        <c:majorTickMark val="in"/>
        <c:minorTickMark val="none"/>
        <c:tickLblPos val="nextTo"/>
        <c:spPr>
          <a:noFill/>
          <a:ln w="9525" cap="flat" cmpd="sng" algn="ctr">
            <a:solidFill>
              <a:schemeClr val="tx1"/>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crossAx val="579934222"/>
        <c:crosses val="autoZero"/>
        <c:auto val="1"/>
        <c:lblAlgn val="ctr"/>
        <c:lblOffset val="100"/>
        <c:noMultiLvlLbl val="0"/>
      </c:catAx>
      <c:valAx>
        <c:axId val="579934222"/>
        <c:scaling>
          <c:orientation val="minMax"/>
        </c:scaling>
        <c:delete val="0"/>
        <c:axPos val="l"/>
        <c:majorGridlines>
          <c:spPr>
            <a:ln w="9525" cap="flat" cmpd="sng" algn="ctr">
              <a:noFill/>
              <a:round/>
            </a:ln>
            <a:effectLst/>
          </c:spPr>
        </c:majorGridlines>
        <c:numFmt formatCode="General" sourceLinked="1"/>
        <c:majorTickMark val="in"/>
        <c:minorTickMark val="none"/>
        <c:tickLblPos val="nextTo"/>
        <c:spPr>
          <a:noFill/>
          <a:ln>
            <a:solidFill>
              <a:schemeClr val="tx1"/>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crossAx val="482653046"/>
        <c:crosses val="autoZero"/>
        <c:crossBetween val="between"/>
      </c:valAx>
      <c:catAx>
        <c:axId val="860099118"/>
        <c:scaling>
          <c:orientation val="minMax"/>
        </c:scaling>
        <c:delete val="1"/>
        <c:axPos val="b"/>
        <c:numFmt formatCode="General" sourceLinked="1"/>
        <c:majorTickMark val="out"/>
        <c:minorTickMark val="none"/>
        <c:tickLblPos val="nextTo"/>
        <c:crossAx val="762403326"/>
        <c:crosses val="autoZero"/>
        <c:auto val="1"/>
        <c:lblAlgn val="ctr"/>
        <c:lblOffset val="100"/>
        <c:noMultiLvlLbl val="0"/>
      </c:catAx>
      <c:valAx>
        <c:axId val="762403326"/>
        <c:scaling>
          <c:orientation val="minMax"/>
        </c:scaling>
        <c:delete val="0"/>
        <c:axPos val="r"/>
        <c:numFmt formatCode="General" sourceLinked="1"/>
        <c:majorTickMark val="in"/>
        <c:minorTickMark val="none"/>
        <c:tickLblPos val="nextTo"/>
        <c:spPr>
          <a:noFill/>
          <a:ln>
            <a:solidFill>
              <a:schemeClr val="tx1"/>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crossAx val="860099118"/>
        <c:crosses val="max"/>
        <c:crossBetween val="between"/>
      </c:valAx>
      <c:spPr>
        <a:noFill/>
        <a:ln>
          <a:solidFill>
            <a:schemeClr val="tx1"/>
          </a:solidFill>
        </a:ln>
        <a:effectLst/>
      </c:spPr>
    </c:plotArea>
    <c:legend>
      <c:legendPos val="b"/>
      <c:layout>
        <c:manualLayout>
          <c:xMode val="edge"/>
          <c:yMode val="edge"/>
          <c:x val="0.15054901441989699"/>
          <c:y val="0.74073158675234796"/>
          <c:w val="0.66278608281518703"/>
          <c:h val="0.21972318339100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lang="zh-CN"/>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score</c:v>
                </c:pt>
              </c:strCache>
            </c:strRef>
          </c:tx>
          <c:spPr>
            <a:pattFill prst="wdUpDiag">
              <a:fgClr>
                <a:schemeClr val="bg1">
                  <a:lumMod val="65000"/>
                </a:schemeClr>
              </a:fgClr>
              <a:bgClr>
                <a:schemeClr val="bg1"/>
              </a:bgClr>
            </a:pattFill>
            <a:ln>
              <a:noFill/>
            </a:ln>
            <a:effectLst/>
          </c:spPr>
          <c:invertIfNegative val="0"/>
          <c:cat>
            <c:strRef>
              <c:f>Sheet1!$A$2:$A$9</c:f>
              <c:strCache>
                <c:ptCount val="8"/>
                <c:pt idx="0">
                  <c:v>USA</c:v>
                </c:pt>
                <c:pt idx="1">
                  <c:v>Spain</c:v>
                </c:pt>
                <c:pt idx="2">
                  <c:v>Japan</c:v>
                </c:pt>
                <c:pt idx="3">
                  <c:v>France</c:v>
                </c:pt>
                <c:pt idx="4">
                  <c:v>Australia</c:v>
                </c:pt>
                <c:pt idx="5">
                  <c:v>Germany</c:v>
                </c:pt>
                <c:pt idx="6">
                  <c:v>UK</c:v>
                </c:pt>
                <c:pt idx="7">
                  <c:v>China</c:v>
                </c:pt>
              </c:strCache>
            </c:strRef>
          </c:cat>
          <c:val>
            <c:numRef>
              <c:f>Sheet1!$B$2:$B$9</c:f>
              <c:numCache>
                <c:formatCode>General</c:formatCode>
                <c:ptCount val="8"/>
                <c:pt idx="0">
                  <c:v>5.24</c:v>
                </c:pt>
                <c:pt idx="1">
                  <c:v>5.18</c:v>
                </c:pt>
                <c:pt idx="2">
                  <c:v>5.09</c:v>
                </c:pt>
                <c:pt idx="3">
                  <c:v>5.07</c:v>
                </c:pt>
                <c:pt idx="4">
                  <c:v>5</c:v>
                </c:pt>
                <c:pt idx="5">
                  <c:v>5</c:v>
                </c:pt>
                <c:pt idx="6">
                  <c:v>4.96</c:v>
                </c:pt>
                <c:pt idx="7">
                  <c:v>4.9400000000000004</c:v>
                </c:pt>
              </c:numCache>
            </c:numRef>
          </c:val>
          <c:extLst>
            <c:ext xmlns:c16="http://schemas.microsoft.com/office/drawing/2014/chart" uri="{C3380CC4-5D6E-409C-BE32-E72D297353CC}">
              <c16:uniqueId val="{00000000-AE3B-4156-9A18-8CBF41084BD4}"/>
            </c:ext>
          </c:extLst>
        </c:ser>
        <c:dLbls>
          <c:showLegendKey val="0"/>
          <c:showVal val="0"/>
          <c:showCatName val="0"/>
          <c:showSerName val="0"/>
          <c:showPercent val="0"/>
          <c:showBubbleSize val="0"/>
        </c:dLbls>
        <c:gapWidth val="246"/>
        <c:overlap val="-28"/>
        <c:axId val="250926757"/>
        <c:axId val="577931141"/>
      </c:barChart>
      <c:catAx>
        <c:axId val="250926757"/>
        <c:scaling>
          <c:orientation val="minMax"/>
        </c:scaling>
        <c:delete val="0"/>
        <c:axPos val="b"/>
        <c:numFmt formatCode="General" sourceLinked="0"/>
        <c:majorTickMark val="none"/>
        <c:minorTickMark val="none"/>
        <c:tickLblPos val="nextTo"/>
        <c:spPr>
          <a:noFill/>
          <a:ln w="9525" cap="flat" cmpd="sng" algn="ctr">
            <a:solidFill>
              <a:schemeClr val="tx1"/>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crossAx val="577931141"/>
        <c:crosses val="autoZero"/>
        <c:auto val="1"/>
        <c:lblAlgn val="ctr"/>
        <c:lblOffset val="100"/>
        <c:noMultiLvlLbl val="0"/>
      </c:catAx>
      <c:valAx>
        <c:axId val="577931141"/>
        <c:scaling>
          <c:orientation val="minMax"/>
        </c:scaling>
        <c:delete val="0"/>
        <c:axPos val="l"/>
        <c:majorGridlines>
          <c:spPr>
            <a:ln w="9525" cap="flat" cmpd="sng" algn="ctr">
              <a:noFill/>
              <a:round/>
            </a:ln>
            <a:effectLst/>
          </c:spPr>
        </c:majorGridlines>
        <c:numFmt formatCode="General" sourceLinked="1"/>
        <c:majorTickMark val="none"/>
        <c:minorTickMark val="in"/>
        <c:tickLblPos val="nextTo"/>
        <c:spPr>
          <a:noFill/>
          <a:ln>
            <a:solidFill>
              <a:schemeClr val="tx1"/>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crossAx val="250926757"/>
        <c:crosses val="autoZero"/>
        <c:crossBetween val="between"/>
      </c:valAx>
      <c:spPr>
        <a:noFill/>
        <a:ln>
          <a:solidFill>
            <a:schemeClr val="tx1"/>
          </a:solid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lang="zh-CN"/>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29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159</Words>
  <Characters>907</Characters>
  <Application>Microsoft Office Word</Application>
  <DocSecurity>0</DocSecurity>
  <Lines>7</Lines>
  <Paragraphs>2</Paragraphs>
  <ScaleCrop>false</ScaleCrop>
  <Company/>
  <LinksUpToDate>false</LinksUpToDate>
  <CharactersWithSpaces>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dc:creator>
  <cp:lastModifiedBy>Trupti Sudge</cp:lastModifiedBy>
  <cp:revision>2</cp:revision>
  <dcterms:created xsi:type="dcterms:W3CDTF">2024-10-16T15:59:00Z</dcterms:created>
  <dcterms:modified xsi:type="dcterms:W3CDTF">2024-10-16T15:59:00Z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1279E9DE886D4DBD9BC561957FC12C82_12</vt:lpwstr>
  </property>
  <property fmtid="{D5CDD505-2E9C-101B-9397-08002B2CF9AE}" pid="4" name="ocProperty">
    <vt:i4>12</vt:i4>
  </property>
</Properties>
</file>