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9D0C2" w14:textId="77777777" w:rsidR="00AD65AF" w:rsidRDefault="00AD65AF" w:rsidP="00AD65AF">
      <w:pPr>
        <w:spacing w:line="4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95A59D8" wp14:editId="1A35BC97">
            <wp:simplePos x="0" y="0"/>
            <wp:positionH relativeFrom="margin">
              <wp:posOffset>211455</wp:posOffset>
            </wp:positionH>
            <wp:positionV relativeFrom="paragraph">
              <wp:posOffset>147320</wp:posOffset>
            </wp:positionV>
            <wp:extent cx="4792345" cy="4107815"/>
            <wp:effectExtent l="0" t="0" r="0" b="0"/>
            <wp:wrapTopAndBottom/>
            <wp:docPr id="1" name="图片 1" descr="45e920839538908932edff854e62a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5e920839538908932edff854e62a68"/>
                    <pic:cNvPicPr>
                      <a:picLocks noChangeAspect="1"/>
                    </pic:cNvPicPr>
                  </pic:nvPicPr>
                  <pic:blipFill>
                    <a:blip r:embed="rId4"/>
                    <a:srcRect t="3735"/>
                    <a:stretch>
                      <a:fillRect/>
                    </a:stretch>
                  </pic:blipFill>
                  <pic:spPr>
                    <a:xfrm>
                      <a:off x="0" y="0"/>
                      <a:ext cx="4792345" cy="4107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Sch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me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Illustration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electrochemical sensor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empowered by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 unique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ReS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/rGO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ano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framework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 combined with CHA-HCR double amplification strategy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for the ultrasensitive detection of miRNA-21.</w:t>
      </w:r>
    </w:p>
    <w:p w14:paraId="2D0C7617" w14:textId="77777777" w:rsidR="00D30773" w:rsidRDefault="00D30773"/>
    <w:sectPr w:rsidR="00D307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5AF"/>
    <w:rsid w:val="00854297"/>
    <w:rsid w:val="00AD65AF"/>
    <w:rsid w:val="00D30773"/>
    <w:rsid w:val="00EE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C78CB"/>
  <w15:chartTrackingRefBased/>
  <w15:docId w15:val="{D7D7AA78-35A0-4533-9615-3E5744799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5AF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65AF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65AF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65AF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65AF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65AF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65AF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65AF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65AF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65AF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65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65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65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65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65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65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65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65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65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65AF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65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65AF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65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65AF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65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65AF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65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65A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65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65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>SpringerNature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2024-10-18T08:36:00Z</dcterms:created>
  <dcterms:modified xsi:type="dcterms:W3CDTF">2024-10-18T08:36:00Z</dcterms:modified>
</cp:coreProperties>
</file>