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D5A58" w14:textId="77777777" w:rsidR="00D639FD" w:rsidRPr="0040708B" w:rsidRDefault="00D639FD" w:rsidP="00D639F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4070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Supplemental Figure 1. Mean values of creatinine-based glomerular filtration rate (</w:t>
      </w:r>
      <w:proofErr w:type="spellStart"/>
      <w:r w:rsidRPr="004070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eGFR</w:t>
      </w:r>
      <w:r w:rsidRPr="0040708B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vertAlign w:val="subscript"/>
        </w:rPr>
        <w:t>cr</w:t>
      </w:r>
      <w:proofErr w:type="spellEnd"/>
      <w:r w:rsidRPr="004070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) in postnatal mismatch subgroups.</w:t>
      </w:r>
    </w:p>
    <w:p w14:paraId="42F091FC" w14:textId="77777777" w:rsidR="00D639FD" w:rsidRPr="0040708B" w:rsidRDefault="00D639FD" w:rsidP="00D639F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21D4239" w14:textId="06B94E3E" w:rsidR="00D639FD" w:rsidRPr="0040708B" w:rsidRDefault="00322171" w:rsidP="00D639FD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0DFB5B6C" wp14:editId="2A1A6425">
            <wp:extent cx="6018028" cy="2743200"/>
            <wp:effectExtent l="0" t="0" r="14605" b="12700"/>
            <wp:docPr id="10726470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3A9DD62-429C-F29C-FA1C-1A0BC1E273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="00D639FD" w:rsidRPr="004070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textWrapping" w:clear="all"/>
      </w:r>
      <w:r w:rsidR="00D639FD" w:rsidRPr="00322171">
        <w:rPr>
          <w:rFonts w:ascii="Times New Roman" w:hAnsi="Times New Roman" w:cs="Times New Roman"/>
          <w:color w:val="000000" w:themeColor="text1"/>
          <w:sz w:val="20"/>
          <w:szCs w:val="20"/>
        </w:rPr>
        <w:t>Abbreviations</w:t>
      </w:r>
      <w:r w:rsidR="00D639FD" w:rsidRPr="0040708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  <w:proofErr w:type="spellStart"/>
      <w:r w:rsidR="00D639FD" w:rsidRPr="0040708B">
        <w:rPr>
          <w:rFonts w:ascii="Times New Roman" w:hAnsi="Times New Roman" w:cs="Times New Roman"/>
          <w:color w:val="000000" w:themeColor="text1"/>
          <w:sz w:val="20"/>
          <w:szCs w:val="20"/>
        </w:rPr>
        <w:t>eGFRcr</w:t>
      </w:r>
      <w:proofErr w:type="spellEnd"/>
      <w:r w:rsidR="00D639FD" w:rsidRPr="004070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estimated creatinine-based glomerular filtration rate; </w:t>
      </w:r>
      <w:proofErr w:type="spellStart"/>
      <w:r w:rsidR="00D639FD" w:rsidRPr="0040708B">
        <w:rPr>
          <w:rFonts w:ascii="Times New Roman" w:hAnsi="Times New Roman" w:cs="Times New Roman"/>
          <w:color w:val="000000" w:themeColor="text1"/>
          <w:sz w:val="20"/>
          <w:szCs w:val="20"/>
        </w:rPr>
        <w:t>BWz</w:t>
      </w:r>
      <w:proofErr w:type="spellEnd"/>
      <w:r w:rsidR="00D639FD" w:rsidRPr="0040708B">
        <w:rPr>
          <w:rFonts w:ascii="Times New Roman" w:hAnsi="Times New Roman" w:cs="Times New Roman"/>
          <w:color w:val="000000" w:themeColor="text1"/>
          <w:sz w:val="20"/>
          <w:szCs w:val="20"/>
        </w:rPr>
        <w:t>, birth weight z-score; FMI, fat mass index.</w:t>
      </w:r>
    </w:p>
    <w:p w14:paraId="578237BB" w14:textId="77777777" w:rsidR="00D639FD" w:rsidRPr="0040708B" w:rsidRDefault="00D639FD" w:rsidP="00D639FD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E421AE6" w14:textId="77777777" w:rsidR="00D639FD" w:rsidRPr="0040708B" w:rsidRDefault="00D639FD">
      <w:pPr>
        <w:rPr>
          <w:sz w:val="20"/>
          <w:szCs w:val="20"/>
        </w:rPr>
      </w:pPr>
    </w:p>
    <w:sectPr w:rsidR="00D639FD" w:rsidRPr="00407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FD"/>
    <w:rsid w:val="00142369"/>
    <w:rsid w:val="002F045B"/>
    <w:rsid w:val="00322171"/>
    <w:rsid w:val="00340294"/>
    <w:rsid w:val="0040708B"/>
    <w:rsid w:val="0057526C"/>
    <w:rsid w:val="00665BC6"/>
    <w:rsid w:val="00826C6B"/>
    <w:rsid w:val="00D6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809F97"/>
  <w15:chartTrackingRefBased/>
  <w15:docId w15:val="{FDD93A88-ED78-FF46-A3FD-F262A081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D639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9FD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9FD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9FD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9FD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9FD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9FD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9FD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9FD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9FD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9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9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9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9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9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9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9F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3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9FD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3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9FD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39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9FD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39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9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9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g5678la/Desktop/Projects/LifeGene/lifeGeneGraphs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Sheet1!$B$48</c:f>
              <c:strCache>
                <c:ptCount val="1"/>
                <c:pt idx="0">
                  <c:v>eGFRcr</c:v>
                </c:pt>
              </c:strCache>
            </c:strRef>
          </c:tx>
          <c:spPr>
            <a:solidFill>
              <a:schemeClr val="tx2">
                <a:lumMod val="50000"/>
                <a:lumOff val="50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Sheet1!$A$49:$A$54</c:f>
              <c:strCache>
                <c:ptCount val="6"/>
                <c:pt idx="0">
                  <c:v>6. High BWz + Higher-than-average FMI</c:v>
                </c:pt>
                <c:pt idx="1">
                  <c:v>5. Normal BWz + Higher-than-average FMI</c:v>
                </c:pt>
                <c:pt idx="2">
                  <c:v>4. Low BWz + Higher-than-average FMI</c:v>
                </c:pt>
                <c:pt idx="3">
                  <c:v>3. High BWz + Lower than average FMI</c:v>
                </c:pt>
                <c:pt idx="4">
                  <c:v>2. Normal BWz + Lower-than-average FMI</c:v>
                </c:pt>
                <c:pt idx="5">
                  <c:v>1. Low BWz + Lower-than-average FMI</c:v>
                </c:pt>
              </c:strCache>
            </c:strRef>
          </c:cat>
          <c:val>
            <c:numRef>
              <c:f>Sheet1!$B$49:$B$54</c:f>
              <c:numCache>
                <c:formatCode>General</c:formatCode>
                <c:ptCount val="6"/>
                <c:pt idx="0" formatCode="0.0">
                  <c:v>81</c:v>
                </c:pt>
                <c:pt idx="1">
                  <c:v>83.4</c:v>
                </c:pt>
                <c:pt idx="2">
                  <c:v>84.2</c:v>
                </c:pt>
                <c:pt idx="3">
                  <c:v>79.7</c:v>
                </c:pt>
                <c:pt idx="4">
                  <c:v>82.8</c:v>
                </c:pt>
                <c:pt idx="5">
                  <c:v>85.7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3-4948-A9CC-F0DFE69C947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842638143"/>
        <c:axId val="96128016"/>
      </c:barChart>
      <c:catAx>
        <c:axId val="184263814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6128016"/>
        <c:crosses val="autoZero"/>
        <c:auto val="1"/>
        <c:lblAlgn val="ctr"/>
        <c:lblOffset val="100"/>
        <c:noMultiLvlLbl val="0"/>
      </c:catAx>
      <c:valAx>
        <c:axId val="96128016"/>
        <c:scaling>
          <c:orientation val="minMax"/>
          <c:min val="77"/>
        </c:scaling>
        <c:delete val="0"/>
        <c:axPos val="b"/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426381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0.56081</cdr:x>
      <cdr:y>0.41085</cdr:y>
    </cdr:from>
    <cdr:to>
      <cdr:x>0.83774</cdr:x>
      <cdr:y>0.5155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374878" y="1127050"/>
          <a:ext cx="1666552" cy="2870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>
              <a:solidFill>
                <a:srgbClr val="C00000"/>
              </a:solidFill>
            </a:rPr>
            <a:t>Postnatal down-regulation</a:t>
          </a:r>
        </a:p>
      </cdr:txBody>
    </cdr:sp>
  </cdr:relSizeAnchor>
  <cdr:relSizeAnchor xmlns:cdr="http://schemas.openxmlformats.org/drawingml/2006/chartDrawing">
    <cdr:from>
      <cdr:x>0.78789</cdr:x>
      <cdr:y>0.5379</cdr:y>
    </cdr:from>
    <cdr:to>
      <cdr:x>0.97248</cdr:x>
      <cdr:y>0.64255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741439" y="1475562"/>
          <a:ext cx="1110822" cy="2870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>
              <a:solidFill>
                <a:srgbClr val="C00000"/>
              </a:solidFill>
            </a:rPr>
            <a:t>Postnatal catch-up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 Laucyte-Cibulskiene</dc:creator>
  <cp:keywords/>
  <dc:description/>
  <cp:lastModifiedBy>Agne Laucyte-Cibulskiene</cp:lastModifiedBy>
  <cp:revision>5</cp:revision>
  <dcterms:created xsi:type="dcterms:W3CDTF">2024-06-07T15:45:00Z</dcterms:created>
  <dcterms:modified xsi:type="dcterms:W3CDTF">2024-10-13T18:31:00Z</dcterms:modified>
</cp:coreProperties>
</file>