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1693B" w:rsidRDefault="00000000">
      <w:pPr>
        <w:spacing w:before="120" w:after="200"/>
        <w:jc w:val="center"/>
        <w:rPr>
          <w:rFonts w:ascii="Arial" w:eastAsia="Arial" w:hAnsi="Arial" w:cs="Arial"/>
          <w:sz w:val="28"/>
          <w:szCs w:val="28"/>
        </w:rPr>
      </w:pPr>
      <w:r>
        <w:rPr>
          <w:rFonts w:ascii="Arial" w:eastAsia="Arial" w:hAnsi="Arial" w:cs="Arial"/>
          <w:sz w:val="34"/>
          <w:szCs w:val="34"/>
        </w:rPr>
        <w:t>Marine Heatwaves Modulate Food Webs and Carbon Transport Processes</w:t>
      </w:r>
    </w:p>
    <w:p w:rsidR="00F131BD" w:rsidRDefault="00F131BD" w:rsidP="00F131BD">
      <w:pPr>
        <w:widowControl w:val="0"/>
        <w:rPr>
          <w:rFonts w:ascii="Arial" w:eastAsia="Arial" w:hAnsi="Arial" w:cs="Arial"/>
          <w:sz w:val="22"/>
          <w:szCs w:val="22"/>
          <w:vertAlign w:val="superscript"/>
        </w:rPr>
      </w:pPr>
      <w:r w:rsidRPr="00457D0C">
        <w:rPr>
          <w:rFonts w:ascii="Arial" w:eastAsia="Arial" w:hAnsi="Arial" w:cs="Arial"/>
          <w:sz w:val="22"/>
          <w:szCs w:val="22"/>
        </w:rPr>
        <w:t>Mariana B. Bif</w:t>
      </w:r>
      <w:r w:rsidRPr="00457D0C">
        <w:rPr>
          <w:rFonts w:ascii="Arial" w:eastAsia="Arial" w:hAnsi="Arial" w:cs="Arial"/>
          <w:sz w:val="22"/>
          <w:szCs w:val="22"/>
          <w:vertAlign w:val="superscript"/>
        </w:rPr>
        <w:t>1,2</w:t>
      </w:r>
      <w:r w:rsidRPr="00457D0C">
        <w:rPr>
          <w:rFonts w:ascii="Arial" w:eastAsia="Arial" w:hAnsi="Arial" w:cs="Arial"/>
          <w:sz w:val="22"/>
          <w:szCs w:val="22"/>
        </w:rPr>
        <w:t>, Colleen T. E. Kellogg</w:t>
      </w:r>
      <w:r w:rsidRPr="00457D0C">
        <w:rPr>
          <w:rFonts w:ascii="Arial" w:eastAsia="Arial" w:hAnsi="Arial" w:cs="Arial"/>
          <w:sz w:val="22"/>
          <w:szCs w:val="22"/>
          <w:vertAlign w:val="superscript"/>
        </w:rPr>
        <w:t>3</w:t>
      </w:r>
      <w:r w:rsidRPr="00457D0C">
        <w:rPr>
          <w:rFonts w:ascii="Arial" w:eastAsia="Arial" w:hAnsi="Arial" w:cs="Arial"/>
          <w:sz w:val="22"/>
          <w:szCs w:val="22"/>
        </w:rPr>
        <w:t xml:space="preserve">, </w:t>
      </w:r>
      <w:proofErr w:type="spellStart"/>
      <w:r w:rsidRPr="00457D0C">
        <w:rPr>
          <w:rFonts w:ascii="Arial" w:eastAsia="Arial" w:hAnsi="Arial" w:cs="Arial"/>
          <w:sz w:val="22"/>
          <w:szCs w:val="22"/>
        </w:rPr>
        <w:t>Yibin</w:t>
      </w:r>
      <w:proofErr w:type="spellEnd"/>
      <w:r w:rsidRPr="00457D0C">
        <w:rPr>
          <w:rFonts w:ascii="Arial" w:eastAsia="Arial" w:hAnsi="Arial" w:cs="Arial"/>
          <w:sz w:val="22"/>
          <w:szCs w:val="22"/>
        </w:rPr>
        <w:t xml:space="preserve"> Huang</w:t>
      </w:r>
      <w:r w:rsidRPr="00457D0C">
        <w:rPr>
          <w:rFonts w:ascii="Arial" w:eastAsia="Arial" w:hAnsi="Arial" w:cs="Arial"/>
          <w:sz w:val="22"/>
          <w:szCs w:val="22"/>
          <w:vertAlign w:val="superscript"/>
        </w:rPr>
        <w:t>4</w:t>
      </w:r>
      <w:r w:rsidRPr="00457D0C">
        <w:rPr>
          <w:rFonts w:ascii="Arial" w:eastAsia="Arial" w:hAnsi="Arial" w:cs="Arial"/>
          <w:sz w:val="22"/>
          <w:szCs w:val="22"/>
        </w:rPr>
        <w:t>, Julia Anstett</w:t>
      </w:r>
      <w:r w:rsidRPr="00457D0C">
        <w:rPr>
          <w:rFonts w:ascii="Arial" w:eastAsia="Arial" w:hAnsi="Arial" w:cs="Arial"/>
          <w:sz w:val="22"/>
          <w:szCs w:val="22"/>
          <w:vertAlign w:val="superscript"/>
        </w:rPr>
        <w:t>5,6</w:t>
      </w:r>
      <w:r w:rsidRPr="00457D0C">
        <w:rPr>
          <w:rFonts w:ascii="Arial" w:eastAsia="Arial" w:hAnsi="Arial" w:cs="Arial"/>
          <w:sz w:val="22"/>
          <w:szCs w:val="22"/>
        </w:rPr>
        <w:t xml:space="preserve">, </w:t>
      </w:r>
      <w:proofErr w:type="spellStart"/>
      <w:r w:rsidRPr="00457D0C">
        <w:rPr>
          <w:rFonts w:ascii="Arial" w:eastAsia="Arial" w:hAnsi="Arial" w:cs="Arial"/>
          <w:sz w:val="22"/>
          <w:szCs w:val="22"/>
        </w:rPr>
        <w:t>Sachia</w:t>
      </w:r>
      <w:proofErr w:type="spellEnd"/>
      <w:r w:rsidRPr="00457D0C">
        <w:rPr>
          <w:rFonts w:ascii="Arial" w:eastAsia="Arial" w:hAnsi="Arial" w:cs="Arial"/>
          <w:sz w:val="22"/>
          <w:szCs w:val="22"/>
        </w:rPr>
        <w:t xml:space="preserve"> Traving</w:t>
      </w:r>
      <w:r w:rsidRPr="00457D0C">
        <w:rPr>
          <w:rFonts w:ascii="Arial" w:eastAsia="Arial" w:hAnsi="Arial" w:cs="Arial"/>
          <w:sz w:val="22"/>
          <w:szCs w:val="22"/>
          <w:vertAlign w:val="superscript"/>
        </w:rPr>
        <w:t>7</w:t>
      </w:r>
      <w:r w:rsidRPr="00457D0C">
        <w:rPr>
          <w:rFonts w:ascii="Arial" w:eastAsia="Arial" w:hAnsi="Arial" w:cs="Arial"/>
          <w:sz w:val="22"/>
          <w:szCs w:val="22"/>
        </w:rPr>
        <w:t>, M. Angelica Peña</w:t>
      </w:r>
      <w:r w:rsidRPr="00457D0C">
        <w:rPr>
          <w:rFonts w:ascii="Arial" w:eastAsia="Arial" w:hAnsi="Arial" w:cs="Arial"/>
          <w:sz w:val="22"/>
          <w:szCs w:val="22"/>
          <w:vertAlign w:val="superscript"/>
        </w:rPr>
        <w:t>8</w:t>
      </w:r>
      <w:r w:rsidRPr="00457D0C">
        <w:rPr>
          <w:rFonts w:ascii="Arial" w:eastAsia="Arial" w:hAnsi="Arial" w:cs="Arial"/>
          <w:sz w:val="22"/>
          <w:szCs w:val="22"/>
        </w:rPr>
        <w:t>, Steven J. Hallam</w:t>
      </w:r>
      <w:r w:rsidRPr="00457D0C">
        <w:rPr>
          <w:rFonts w:ascii="Arial" w:eastAsia="Arial" w:hAnsi="Arial" w:cs="Arial"/>
          <w:sz w:val="22"/>
          <w:szCs w:val="22"/>
          <w:vertAlign w:val="superscript"/>
        </w:rPr>
        <w:t>5,6,9-12</w:t>
      </w:r>
      <w:r w:rsidRPr="00457D0C">
        <w:rPr>
          <w:rFonts w:ascii="Arial" w:eastAsia="Arial" w:hAnsi="Arial" w:cs="Arial"/>
          <w:sz w:val="22"/>
          <w:szCs w:val="22"/>
        </w:rPr>
        <w:t>, Kenneth S. Johnson</w:t>
      </w:r>
      <w:r w:rsidRPr="00457D0C">
        <w:rPr>
          <w:rFonts w:ascii="Arial" w:eastAsia="Arial" w:hAnsi="Arial" w:cs="Arial"/>
          <w:sz w:val="22"/>
          <w:szCs w:val="22"/>
          <w:vertAlign w:val="superscript"/>
        </w:rPr>
        <w:t>1</w:t>
      </w:r>
    </w:p>
    <w:p w:rsidR="00F131BD" w:rsidRPr="00457D0C" w:rsidRDefault="00F131BD" w:rsidP="00F131BD">
      <w:pPr>
        <w:widowControl w:val="0"/>
        <w:rPr>
          <w:rFonts w:ascii="Arial" w:eastAsia="Arial" w:hAnsi="Arial" w:cs="Arial"/>
          <w:sz w:val="22"/>
          <w:szCs w:val="22"/>
        </w:rPr>
      </w:pP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1 </w:t>
      </w:r>
      <w:r w:rsidRPr="00457D0C">
        <w:rPr>
          <w:rFonts w:ascii="Arial" w:eastAsia="Arial" w:hAnsi="Arial" w:cs="Arial"/>
          <w:sz w:val="20"/>
          <w:szCs w:val="20"/>
        </w:rPr>
        <w:t>Monterey Bay Aquarium Research Institute (MBARI), Moss Landing CA, United States</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2 </w:t>
      </w:r>
      <w:r w:rsidRPr="00457D0C">
        <w:rPr>
          <w:rFonts w:ascii="Arial" w:eastAsia="Arial" w:hAnsi="Arial" w:cs="Arial"/>
          <w:sz w:val="20"/>
          <w:szCs w:val="20"/>
        </w:rPr>
        <w:t>University of Miami, Rosenstiel School of Marine, Atmospheric and Earth Sciences, Miami FL, United States</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3 </w:t>
      </w:r>
      <w:proofErr w:type="spellStart"/>
      <w:r w:rsidRPr="00457D0C">
        <w:rPr>
          <w:rFonts w:ascii="Arial" w:eastAsia="Arial" w:hAnsi="Arial" w:cs="Arial"/>
          <w:sz w:val="20"/>
          <w:szCs w:val="20"/>
        </w:rPr>
        <w:t>Hakai</w:t>
      </w:r>
      <w:proofErr w:type="spellEnd"/>
      <w:r w:rsidRPr="00457D0C">
        <w:rPr>
          <w:rFonts w:ascii="Arial" w:eastAsia="Arial" w:hAnsi="Arial" w:cs="Arial"/>
          <w:sz w:val="20"/>
          <w:szCs w:val="20"/>
        </w:rPr>
        <w:t xml:space="preserve"> Institute, Heriot Bay BC, Canada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4 </w:t>
      </w:r>
      <w:r w:rsidRPr="00457D0C">
        <w:rPr>
          <w:rFonts w:ascii="Arial" w:eastAsia="Arial" w:hAnsi="Arial" w:cs="Arial"/>
          <w:sz w:val="20"/>
          <w:szCs w:val="20"/>
        </w:rPr>
        <w:t>State Key Laboratory of Marine Environmental Science, Xiamen University, Xiamen, China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5 </w:t>
      </w:r>
      <w:r w:rsidRPr="00457D0C">
        <w:rPr>
          <w:rFonts w:ascii="Arial" w:eastAsia="Arial" w:hAnsi="Arial" w:cs="Arial"/>
          <w:sz w:val="20"/>
          <w:szCs w:val="20"/>
        </w:rPr>
        <w:t>Department of Microbiology &amp; Immunology, University of British Columbia, Vancouver, BC, Canada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6 </w:t>
      </w:r>
      <w:r w:rsidRPr="00457D0C">
        <w:rPr>
          <w:rFonts w:ascii="Arial" w:eastAsia="Arial" w:hAnsi="Arial" w:cs="Arial"/>
          <w:sz w:val="20"/>
          <w:szCs w:val="20"/>
        </w:rPr>
        <w:t>Genome Science and Technology Program, University of British Columbia, Vancouver, BC Canada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7 </w:t>
      </w:r>
      <w:r w:rsidRPr="00457D0C">
        <w:rPr>
          <w:rFonts w:ascii="Arial" w:eastAsia="Arial" w:hAnsi="Arial" w:cs="Arial"/>
          <w:sz w:val="20"/>
          <w:szCs w:val="20"/>
        </w:rPr>
        <w:t>University of Southern Denmark, Denmark</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8</w:t>
      </w:r>
      <w:r w:rsidRPr="00457D0C">
        <w:rPr>
          <w:rFonts w:ascii="Arial" w:eastAsia="Arial" w:hAnsi="Arial" w:cs="Arial"/>
          <w:sz w:val="20"/>
          <w:szCs w:val="20"/>
        </w:rPr>
        <w:t xml:space="preserve"> Institute of Ocean Sciences, Fisheries and Oceans Canada, Sidney BC, Canada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9 </w:t>
      </w:r>
      <w:r w:rsidRPr="00457D0C">
        <w:rPr>
          <w:rFonts w:ascii="Arial" w:eastAsia="Arial" w:hAnsi="Arial" w:cs="Arial"/>
          <w:sz w:val="20"/>
          <w:szCs w:val="20"/>
        </w:rPr>
        <w:t>Graduate Program in Bioinformatics, University of British Columbia, Vancouver, BC, Canada</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10 </w:t>
      </w:r>
      <w:r w:rsidRPr="00457D0C">
        <w:rPr>
          <w:rFonts w:ascii="Arial" w:eastAsia="Arial" w:hAnsi="Arial" w:cs="Arial"/>
          <w:sz w:val="20"/>
          <w:szCs w:val="20"/>
        </w:rPr>
        <w:t>Bradshaw Research Institute for Minerals and Mining (BRIMM), University of British Columbia, Vancouver, BC, Canada </w:t>
      </w:r>
    </w:p>
    <w:p w:rsidR="00F131BD" w:rsidRPr="00457D0C"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11 </w:t>
      </w:r>
      <w:r w:rsidRPr="00457D0C">
        <w:rPr>
          <w:rFonts w:ascii="Arial" w:eastAsia="Arial" w:hAnsi="Arial" w:cs="Arial"/>
          <w:sz w:val="20"/>
          <w:szCs w:val="20"/>
        </w:rPr>
        <w:t>Life Sciences Institute, University of British Columbia, Vancouver, BC, Canada</w:t>
      </w:r>
    </w:p>
    <w:p w:rsidR="0091693B" w:rsidRPr="00F131BD" w:rsidRDefault="00F131BD" w:rsidP="00F131BD">
      <w:pPr>
        <w:widowControl w:val="0"/>
        <w:rPr>
          <w:rFonts w:ascii="Arial" w:eastAsia="Arial" w:hAnsi="Arial" w:cs="Arial"/>
          <w:sz w:val="20"/>
          <w:szCs w:val="20"/>
        </w:rPr>
      </w:pPr>
      <w:r w:rsidRPr="00457D0C">
        <w:rPr>
          <w:rFonts w:ascii="Arial" w:eastAsia="Arial" w:hAnsi="Arial" w:cs="Arial"/>
          <w:sz w:val="20"/>
          <w:szCs w:val="20"/>
          <w:vertAlign w:val="superscript"/>
        </w:rPr>
        <w:t xml:space="preserve">12 </w:t>
      </w:r>
      <w:r w:rsidRPr="00457D0C">
        <w:rPr>
          <w:rFonts w:ascii="Arial" w:eastAsia="Arial" w:hAnsi="Arial" w:cs="Arial"/>
          <w:sz w:val="20"/>
          <w:szCs w:val="20"/>
        </w:rPr>
        <w:t>ECOSCOPE Training Program, University of British Columbia, Vancouver, BC, Canada</w:t>
      </w:r>
    </w:p>
    <w:p w:rsidR="0091693B" w:rsidRDefault="0091693B">
      <w:pPr>
        <w:rPr>
          <w:rFonts w:ascii="Arial" w:eastAsia="Arial" w:hAnsi="Arial" w:cs="Arial"/>
        </w:rPr>
      </w:pPr>
    </w:p>
    <w:p w:rsidR="0091693B" w:rsidRDefault="0091693B">
      <w:pPr>
        <w:rPr>
          <w:rFonts w:ascii="Arial" w:eastAsia="Arial" w:hAnsi="Arial" w:cs="Arial"/>
          <w:sz w:val="28"/>
          <w:szCs w:val="28"/>
        </w:rPr>
      </w:pPr>
    </w:p>
    <w:p w:rsidR="0091693B" w:rsidRDefault="00000000">
      <w:pPr>
        <w:rPr>
          <w:rFonts w:ascii="Arial" w:eastAsia="Arial" w:hAnsi="Arial" w:cs="Arial"/>
          <w:sz w:val="30"/>
          <w:szCs w:val="30"/>
        </w:rPr>
      </w:pPr>
      <w:r>
        <w:rPr>
          <w:rFonts w:ascii="Arial" w:eastAsia="Arial" w:hAnsi="Arial" w:cs="Arial"/>
          <w:sz w:val="30"/>
          <w:szCs w:val="30"/>
        </w:rPr>
        <w:t>Extended Data</w:t>
      </w:r>
    </w:p>
    <w:p w:rsidR="0091693B" w:rsidRDefault="0091693B">
      <w:pPr>
        <w:rPr>
          <w:rFonts w:ascii="Arial" w:eastAsia="Arial" w:hAnsi="Arial" w:cs="Arial"/>
        </w:rPr>
      </w:pPr>
    </w:p>
    <w:p w:rsidR="0091693B" w:rsidRDefault="00000000">
      <w:pPr>
        <w:jc w:val="center"/>
        <w:rPr>
          <w:rFonts w:ascii="Arial" w:eastAsia="Arial" w:hAnsi="Arial" w:cs="Arial"/>
        </w:rPr>
      </w:pPr>
      <w:r>
        <w:rPr>
          <w:rFonts w:ascii="Arial" w:eastAsia="Arial" w:hAnsi="Arial" w:cs="Arial"/>
          <w:noProof/>
        </w:rPr>
        <w:lastRenderedPageBreak/>
        <w:drawing>
          <wp:inline distT="0" distB="0" distL="0" distR="0">
            <wp:extent cx="4800600" cy="6400800"/>
            <wp:effectExtent l="0" t="0" r="0" b="0"/>
            <wp:docPr id="90973906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800600" cy="6400800"/>
                    </a:xfrm>
                    <a:prstGeom prst="rect">
                      <a:avLst/>
                    </a:prstGeom>
                    <a:ln/>
                  </pic:spPr>
                </pic:pic>
              </a:graphicData>
            </a:graphic>
          </wp:inline>
        </w:drawing>
      </w:r>
    </w:p>
    <w:p w:rsidR="0091693B" w:rsidRDefault="00000000">
      <w:pPr>
        <w:rPr>
          <w:rFonts w:ascii="Arial" w:eastAsia="Arial" w:hAnsi="Arial" w:cs="Arial"/>
        </w:rPr>
      </w:pPr>
      <w:r>
        <w:rPr>
          <w:rFonts w:ascii="Arial" w:eastAsia="Arial" w:hAnsi="Arial" w:cs="Arial"/>
        </w:rPr>
        <w:t>Fig.</w:t>
      </w:r>
      <w:r w:rsidR="00AC53A1">
        <w:rPr>
          <w:rFonts w:ascii="Arial" w:eastAsia="Arial" w:hAnsi="Arial" w:cs="Arial"/>
        </w:rPr>
        <w:t xml:space="preserve"> </w:t>
      </w:r>
      <w:r>
        <w:rPr>
          <w:rFonts w:ascii="Arial" w:eastAsia="Arial" w:hAnsi="Arial" w:cs="Arial"/>
        </w:rPr>
        <w:t>S1: Time-series of BGC-float data in the Gulf of Alaska between 2010 and 2022. The upper plot shows chlorophyll concentrations in the upper 110 m overlain by mixed layer depths (MLDs). The middle plot shows total particles (total b</w:t>
      </w:r>
      <w:r>
        <w:rPr>
          <w:rFonts w:ascii="Arial" w:eastAsia="Arial" w:hAnsi="Arial" w:cs="Arial"/>
          <w:vertAlign w:val="subscript"/>
        </w:rPr>
        <w:t>bp</w:t>
      </w:r>
      <w:r>
        <w:rPr>
          <w:rFonts w:ascii="Arial" w:eastAsia="Arial" w:hAnsi="Arial" w:cs="Arial"/>
        </w:rPr>
        <w:t>) in the upper 100 m of depth, also overlain by MLDs, and the bottom plot shows total b</w:t>
      </w:r>
      <w:r>
        <w:rPr>
          <w:rFonts w:ascii="Arial" w:eastAsia="Arial" w:hAnsi="Arial" w:cs="Arial"/>
          <w:vertAlign w:val="subscript"/>
        </w:rPr>
        <w:t>bp</w:t>
      </w:r>
      <w:r>
        <w:rPr>
          <w:rFonts w:ascii="Arial" w:eastAsia="Arial" w:hAnsi="Arial" w:cs="Arial"/>
        </w:rPr>
        <w:t xml:space="preserve"> concentrations between 110 m and 900 m of depth. Notice that the z-axis limits are different for the middle and bottom b</w:t>
      </w:r>
      <w:r>
        <w:rPr>
          <w:rFonts w:ascii="Arial" w:eastAsia="Arial" w:hAnsi="Arial" w:cs="Arial"/>
          <w:vertAlign w:val="subscript"/>
        </w:rPr>
        <w:t>bp</w:t>
      </w:r>
      <w:r>
        <w:rPr>
          <w:rFonts w:ascii="Arial" w:eastAsia="Arial" w:hAnsi="Arial" w:cs="Arial"/>
        </w:rPr>
        <w:t xml:space="preserve"> plots.</w:t>
      </w:r>
    </w:p>
    <w:p w:rsidR="0091693B" w:rsidRDefault="0091693B">
      <w:pPr>
        <w:rPr>
          <w:rFonts w:ascii="Arial" w:eastAsia="Arial" w:hAnsi="Arial" w:cs="Arial"/>
        </w:rPr>
      </w:pPr>
    </w:p>
    <w:p w:rsidR="0091693B" w:rsidRDefault="00000000">
      <w:pPr>
        <w:jc w:val="center"/>
        <w:rPr>
          <w:rFonts w:ascii="Arial" w:eastAsia="Arial" w:hAnsi="Arial" w:cs="Arial"/>
        </w:rPr>
      </w:pPr>
      <w:r>
        <w:rPr>
          <w:rFonts w:ascii="Arial" w:eastAsia="Arial" w:hAnsi="Arial" w:cs="Arial"/>
          <w:noProof/>
        </w:rPr>
        <w:lastRenderedPageBreak/>
        <w:drawing>
          <wp:inline distT="0" distB="0" distL="0" distR="0">
            <wp:extent cx="4800600" cy="6400800"/>
            <wp:effectExtent l="0" t="0" r="0" b="0"/>
            <wp:docPr id="90973906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4800600" cy="6400800"/>
                    </a:xfrm>
                    <a:prstGeom prst="rect">
                      <a:avLst/>
                    </a:prstGeom>
                    <a:ln/>
                  </pic:spPr>
                </pic:pic>
              </a:graphicData>
            </a:graphic>
          </wp:inline>
        </w:drawing>
      </w:r>
    </w:p>
    <w:p w:rsidR="0091693B" w:rsidRDefault="00000000">
      <w:pPr>
        <w:rPr>
          <w:rFonts w:ascii="Arial" w:eastAsia="Arial" w:hAnsi="Arial" w:cs="Arial"/>
        </w:rPr>
      </w:pPr>
      <w:r>
        <w:rPr>
          <w:rFonts w:ascii="Arial" w:eastAsia="Arial" w:hAnsi="Arial" w:cs="Arial"/>
        </w:rPr>
        <w:t>Fig.</w:t>
      </w:r>
      <w:r w:rsidR="00AC53A1">
        <w:rPr>
          <w:rFonts w:ascii="Arial" w:eastAsia="Arial" w:hAnsi="Arial" w:cs="Arial"/>
        </w:rPr>
        <w:t xml:space="preserve"> </w:t>
      </w:r>
      <w:r>
        <w:rPr>
          <w:rFonts w:ascii="Arial" w:eastAsia="Arial" w:hAnsi="Arial" w:cs="Arial"/>
        </w:rPr>
        <w:t>S2: A closer look at</w:t>
      </w:r>
      <w:r w:rsidR="00AC53A1">
        <w:rPr>
          <w:rFonts w:ascii="Arial" w:eastAsia="Arial" w:hAnsi="Arial" w:cs="Arial"/>
        </w:rPr>
        <w:t xml:space="preserve"> </w:t>
      </w:r>
      <w:r>
        <w:rPr>
          <w:rFonts w:ascii="Arial" w:eastAsia="Arial" w:hAnsi="Arial" w:cs="Arial"/>
        </w:rPr>
        <w:t>Fig. S1 focusing on the small b</w:t>
      </w:r>
      <w:r>
        <w:rPr>
          <w:rFonts w:ascii="Arial" w:eastAsia="Arial" w:hAnsi="Arial" w:cs="Arial"/>
          <w:vertAlign w:val="subscript"/>
        </w:rPr>
        <w:t>bp</w:t>
      </w:r>
      <w:r>
        <w:rPr>
          <w:rFonts w:ascii="Arial" w:eastAsia="Arial" w:hAnsi="Arial" w:cs="Arial"/>
        </w:rPr>
        <w:t xml:space="preserve"> particle fraction (&lt;100 µm) and the portion of chlorophyll that belongs to small particles.</w:t>
      </w:r>
    </w:p>
    <w:p w:rsidR="0091693B" w:rsidRDefault="0091693B">
      <w:pPr>
        <w:rPr>
          <w:rFonts w:ascii="Arial" w:eastAsia="Arial" w:hAnsi="Arial" w:cs="Arial"/>
        </w:rPr>
      </w:pPr>
    </w:p>
    <w:p w:rsidR="0091693B" w:rsidRDefault="0091693B">
      <w:pPr>
        <w:rPr>
          <w:rFonts w:ascii="Arial" w:eastAsia="Arial" w:hAnsi="Arial" w:cs="Arial"/>
        </w:rPr>
      </w:pPr>
    </w:p>
    <w:p w:rsidR="0091693B" w:rsidRDefault="00000000">
      <w:pPr>
        <w:jc w:val="center"/>
        <w:rPr>
          <w:rFonts w:ascii="Arial" w:eastAsia="Arial" w:hAnsi="Arial" w:cs="Arial"/>
        </w:rPr>
      </w:pPr>
      <w:r>
        <w:rPr>
          <w:rFonts w:ascii="Arial" w:eastAsia="Arial" w:hAnsi="Arial" w:cs="Arial"/>
          <w:noProof/>
        </w:rPr>
        <w:lastRenderedPageBreak/>
        <w:drawing>
          <wp:inline distT="0" distB="0" distL="0" distR="0">
            <wp:extent cx="4800600" cy="6400800"/>
            <wp:effectExtent l="0" t="0" r="0" b="0"/>
            <wp:docPr id="90973906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4800600" cy="6400800"/>
                    </a:xfrm>
                    <a:prstGeom prst="rect">
                      <a:avLst/>
                    </a:prstGeom>
                    <a:ln/>
                  </pic:spPr>
                </pic:pic>
              </a:graphicData>
            </a:graphic>
          </wp:inline>
        </w:drawing>
      </w:r>
    </w:p>
    <w:p w:rsidR="0091693B" w:rsidRDefault="00000000">
      <w:pPr>
        <w:rPr>
          <w:rFonts w:ascii="Arial" w:eastAsia="Arial" w:hAnsi="Arial" w:cs="Arial"/>
        </w:rPr>
      </w:pPr>
      <w:r>
        <w:rPr>
          <w:rFonts w:ascii="Arial" w:eastAsia="Arial" w:hAnsi="Arial" w:cs="Arial"/>
        </w:rPr>
        <w:t>Fig.</w:t>
      </w:r>
      <w:r w:rsidR="00AC53A1">
        <w:rPr>
          <w:rFonts w:ascii="Arial" w:eastAsia="Arial" w:hAnsi="Arial" w:cs="Arial"/>
        </w:rPr>
        <w:t xml:space="preserve"> </w:t>
      </w:r>
      <w:r>
        <w:rPr>
          <w:rFonts w:ascii="Arial" w:eastAsia="Arial" w:hAnsi="Arial" w:cs="Arial"/>
        </w:rPr>
        <w:t>S3: A closer look at Fig. S1 focusing on the large b</w:t>
      </w:r>
      <w:r>
        <w:rPr>
          <w:rFonts w:ascii="Arial" w:eastAsia="Arial" w:hAnsi="Arial" w:cs="Arial"/>
          <w:vertAlign w:val="subscript"/>
        </w:rPr>
        <w:t>bp</w:t>
      </w:r>
      <w:r>
        <w:rPr>
          <w:rFonts w:ascii="Arial" w:eastAsia="Arial" w:hAnsi="Arial" w:cs="Arial"/>
        </w:rPr>
        <w:t xml:space="preserve"> particle fraction (&gt;100 µm) and the portion of chlorophyll that belongs to large particles.</w:t>
      </w:r>
    </w:p>
    <w:p w:rsidR="0091693B" w:rsidRDefault="0091693B">
      <w:pPr>
        <w:rPr>
          <w:rFonts w:ascii="Arial" w:eastAsia="Arial" w:hAnsi="Arial" w:cs="Arial"/>
        </w:rPr>
      </w:pPr>
    </w:p>
    <w:p w:rsidR="0091693B" w:rsidRDefault="0091693B">
      <w:pPr>
        <w:rPr>
          <w:rFonts w:ascii="Arial" w:eastAsia="Arial" w:hAnsi="Arial" w:cs="Arial"/>
        </w:rPr>
      </w:pPr>
    </w:p>
    <w:p w:rsidR="0091693B" w:rsidRDefault="00000000">
      <w:pPr>
        <w:jc w:val="center"/>
        <w:rPr>
          <w:rFonts w:ascii="Arial" w:eastAsia="Arial" w:hAnsi="Arial" w:cs="Arial"/>
        </w:rPr>
      </w:pPr>
      <w:r>
        <w:rPr>
          <w:rFonts w:ascii="Arial" w:eastAsia="Arial" w:hAnsi="Arial" w:cs="Arial"/>
          <w:noProof/>
        </w:rPr>
        <w:lastRenderedPageBreak/>
        <w:drawing>
          <wp:inline distT="0" distB="0" distL="0" distR="0">
            <wp:extent cx="3876675" cy="2678265"/>
            <wp:effectExtent l="0" t="0" r="0" b="0"/>
            <wp:docPr id="90973907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3876675" cy="2678265"/>
                    </a:xfrm>
                    <a:prstGeom prst="rect">
                      <a:avLst/>
                    </a:prstGeom>
                    <a:ln/>
                  </pic:spPr>
                </pic:pic>
              </a:graphicData>
            </a:graphic>
          </wp:inline>
        </w:drawing>
      </w:r>
    </w:p>
    <w:p w:rsidR="0091693B" w:rsidRDefault="00000000">
      <w:pPr>
        <w:rPr>
          <w:rFonts w:ascii="Arial" w:eastAsia="Arial" w:hAnsi="Arial" w:cs="Arial"/>
        </w:rPr>
      </w:pPr>
      <w:r>
        <w:rPr>
          <w:rFonts w:ascii="Arial" w:eastAsia="Arial" w:hAnsi="Arial" w:cs="Arial"/>
        </w:rPr>
        <w:t>Fig.</w:t>
      </w:r>
      <w:r w:rsidR="00AC53A1">
        <w:rPr>
          <w:rFonts w:ascii="Arial" w:eastAsia="Arial" w:hAnsi="Arial" w:cs="Arial"/>
        </w:rPr>
        <w:t xml:space="preserve"> </w:t>
      </w:r>
      <w:r>
        <w:rPr>
          <w:rFonts w:ascii="Arial" w:eastAsia="Arial" w:hAnsi="Arial" w:cs="Arial"/>
        </w:rPr>
        <w:t xml:space="preserve">S4: Net community production (NCP) during productive seasons in the northeastern subarctic Pacific Ocean (NESAP). Values were calculated from the nitrate drawdown within the mixed layer during the productive seasons. The different colors represent NCP computed using different BGC-Argo floats. The upper plot represents the fraction of carbon produced during the Spring bloom. The lower plot shows carbon produced during the entire productive season, encompassing Spring and Summer months collectively. </w:t>
      </w:r>
    </w:p>
    <w:p w:rsidR="0091693B" w:rsidRDefault="00000000" w:rsidP="00AC53A1">
      <w:pPr>
        <w:jc w:val="center"/>
        <w:rPr>
          <w:rFonts w:ascii="Arial" w:eastAsia="Arial" w:hAnsi="Arial" w:cs="Arial"/>
        </w:rPr>
      </w:pPr>
      <w:r>
        <w:rPr>
          <w:rFonts w:ascii="Arial" w:eastAsia="Arial" w:hAnsi="Arial" w:cs="Arial"/>
        </w:rPr>
        <w:t xml:space="preserve"> </w:t>
      </w:r>
      <w:r>
        <w:rPr>
          <w:rFonts w:ascii="Arial" w:eastAsia="Arial" w:hAnsi="Arial" w:cs="Arial"/>
          <w:noProof/>
        </w:rPr>
        <w:drawing>
          <wp:inline distT="114300" distB="114300" distL="114300" distR="114300">
            <wp:extent cx="3914775" cy="2933700"/>
            <wp:effectExtent l="0" t="0" r="0" b="0"/>
            <wp:docPr id="9097390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3914775" cy="2933700"/>
                    </a:xfrm>
                    <a:prstGeom prst="rect">
                      <a:avLst/>
                    </a:prstGeom>
                    <a:ln/>
                  </pic:spPr>
                </pic:pic>
              </a:graphicData>
            </a:graphic>
          </wp:inline>
        </w:drawing>
      </w:r>
    </w:p>
    <w:p w:rsidR="00AC53A1" w:rsidRPr="00AC53A1" w:rsidRDefault="00AC53A1" w:rsidP="00AC53A1">
      <w:pPr>
        <w:contextualSpacing/>
        <w:rPr>
          <w:rFonts w:asciiTheme="minorBidi" w:eastAsia="Arial" w:hAnsiTheme="minorBidi" w:cstheme="minorBidi"/>
        </w:rPr>
      </w:pPr>
      <w:r w:rsidRPr="00AC53A1">
        <w:rPr>
          <w:rFonts w:asciiTheme="minorBidi" w:eastAsia="Arial Unicode MS" w:hAnsiTheme="minorBidi" w:cstheme="minorBidi"/>
        </w:rPr>
        <w:t xml:space="preserve">Fig. S5: The effect of mixed layer depth (MLD) shoaling and vertical migration on particle export. (a) Mean monthly mixed layer variability in comparison to the previous month (∆MLD). Negative values indicate mixed layer shoaling while positive values indicate mixed layer deepening. Orange diamonds highlight the year 2015, while orange crosses highlight the year 2019. (b) Percentage of particulate organic carbon (POC) at 200 m depth to the </w:t>
      </w:r>
      <w:proofErr w:type="spellStart"/>
      <w:r w:rsidRPr="00AC53A1">
        <w:rPr>
          <w:rFonts w:asciiTheme="minorBidi" w:eastAsia="Arial Unicode MS" w:hAnsiTheme="minorBidi" w:cstheme="minorBidi"/>
        </w:rPr>
        <w:t>Ez</w:t>
      </w:r>
      <w:proofErr w:type="spellEnd"/>
      <w:r w:rsidRPr="00AC53A1">
        <w:rPr>
          <w:rFonts w:asciiTheme="minorBidi" w:eastAsia="Arial Unicode MS" w:hAnsiTheme="minorBidi" w:cstheme="minorBidi"/>
        </w:rPr>
        <w:t xml:space="preserve"> (100 m) over the time series. Values over 100% (continuous orange line) means [POC</w:t>
      </w:r>
      <w:r w:rsidRPr="00AC53A1">
        <w:rPr>
          <w:rFonts w:asciiTheme="minorBidi" w:eastAsia="Arial" w:hAnsiTheme="minorBidi" w:cstheme="minorBidi"/>
          <w:vertAlign w:val="subscript"/>
        </w:rPr>
        <w:t>200m</w:t>
      </w:r>
      <w:r w:rsidRPr="00AC53A1">
        <w:rPr>
          <w:rFonts w:asciiTheme="minorBidi" w:eastAsia="Arial" w:hAnsiTheme="minorBidi" w:cstheme="minorBidi"/>
        </w:rPr>
        <w:t>] &gt; [POC</w:t>
      </w:r>
      <w:r w:rsidRPr="00AC53A1">
        <w:rPr>
          <w:rFonts w:asciiTheme="minorBidi" w:eastAsia="Arial" w:hAnsiTheme="minorBidi" w:cstheme="minorBidi"/>
          <w:vertAlign w:val="subscript"/>
        </w:rPr>
        <w:t>100m</w:t>
      </w:r>
      <w:r w:rsidRPr="00AC53A1">
        <w:rPr>
          <w:rFonts w:asciiTheme="minorBidi" w:eastAsia="Arial" w:hAnsiTheme="minorBidi" w:cstheme="minorBidi"/>
        </w:rPr>
        <w:t>].</w:t>
      </w:r>
    </w:p>
    <w:p w:rsidR="00AC53A1" w:rsidRPr="00AC53A1" w:rsidRDefault="00AC53A1" w:rsidP="00AC53A1">
      <w:pPr>
        <w:jc w:val="center"/>
        <w:rPr>
          <w:rFonts w:asciiTheme="minorBidi" w:eastAsia="Arial" w:hAnsiTheme="minorBidi" w:cstheme="minorBidi"/>
        </w:rPr>
      </w:pPr>
    </w:p>
    <w:p w:rsidR="0091693B" w:rsidRDefault="00000000">
      <w:pPr>
        <w:jc w:val="center"/>
        <w:rPr>
          <w:rFonts w:ascii="Arial" w:eastAsia="Arial" w:hAnsi="Arial" w:cs="Arial"/>
        </w:rPr>
      </w:pPr>
      <w:r>
        <w:rPr>
          <w:rFonts w:ascii="Arial" w:eastAsia="Arial" w:hAnsi="Arial" w:cs="Arial"/>
          <w:noProof/>
        </w:rPr>
        <w:drawing>
          <wp:inline distT="114300" distB="114300" distL="114300" distR="114300">
            <wp:extent cx="5350251" cy="7459042"/>
            <wp:effectExtent l="0" t="0" r="0" b="0"/>
            <wp:docPr id="90973906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0"/>
                    <a:srcRect/>
                    <a:stretch>
                      <a:fillRect/>
                    </a:stretch>
                  </pic:blipFill>
                  <pic:spPr>
                    <a:xfrm>
                      <a:off x="0" y="0"/>
                      <a:ext cx="5350251" cy="7459042"/>
                    </a:xfrm>
                    <a:prstGeom prst="rect">
                      <a:avLst/>
                    </a:prstGeom>
                    <a:ln/>
                  </pic:spPr>
                </pic:pic>
              </a:graphicData>
            </a:graphic>
          </wp:inline>
        </w:drawing>
      </w:r>
    </w:p>
    <w:p w:rsidR="0091693B" w:rsidRDefault="00000000">
      <w:pPr>
        <w:spacing w:line="276" w:lineRule="auto"/>
        <w:rPr>
          <w:rFonts w:ascii="Arial" w:eastAsia="Arial" w:hAnsi="Arial" w:cs="Arial"/>
        </w:rPr>
      </w:pPr>
      <w:r>
        <w:rPr>
          <w:rFonts w:ascii="Arial" w:eastAsia="Arial" w:hAnsi="Arial" w:cs="Arial"/>
        </w:rPr>
        <w:t>Fig. S6.  Time series of relative abundance of major phytoplankton lineages at Stations P20 and P26 along the Line P transect in NESAP ocean waters.</w:t>
      </w:r>
    </w:p>
    <w:p w:rsidR="0091693B" w:rsidRDefault="0091693B">
      <w:pPr>
        <w:spacing w:line="276" w:lineRule="auto"/>
        <w:rPr>
          <w:rFonts w:ascii="Arial" w:eastAsia="Arial" w:hAnsi="Arial" w:cs="Arial"/>
        </w:rPr>
      </w:pPr>
    </w:p>
    <w:p w:rsidR="0091693B" w:rsidRDefault="00000000">
      <w:pPr>
        <w:spacing w:line="276" w:lineRule="auto"/>
        <w:jc w:val="center"/>
        <w:rPr>
          <w:rFonts w:ascii="Arial" w:eastAsia="Arial" w:hAnsi="Arial" w:cs="Arial"/>
        </w:rPr>
      </w:pPr>
      <w:r>
        <w:rPr>
          <w:rFonts w:ascii="Arial" w:eastAsia="Arial" w:hAnsi="Arial" w:cs="Arial"/>
          <w:noProof/>
        </w:rPr>
        <w:lastRenderedPageBreak/>
        <w:drawing>
          <wp:inline distT="114300" distB="114300" distL="114300" distR="114300">
            <wp:extent cx="4813323" cy="6405563"/>
            <wp:effectExtent l="0" t="0" r="3810" b="0"/>
            <wp:docPr id="909739063"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1"/>
                    <a:srcRect/>
                    <a:stretch>
                      <a:fillRect/>
                    </a:stretch>
                  </pic:blipFill>
                  <pic:spPr>
                    <a:xfrm>
                      <a:off x="0" y="0"/>
                      <a:ext cx="4813323" cy="6405563"/>
                    </a:xfrm>
                    <a:prstGeom prst="rect">
                      <a:avLst/>
                    </a:prstGeom>
                    <a:ln/>
                  </pic:spPr>
                </pic:pic>
              </a:graphicData>
            </a:graphic>
          </wp:inline>
        </w:drawing>
      </w:r>
    </w:p>
    <w:p w:rsidR="0091693B" w:rsidRDefault="00000000" w:rsidP="00AC53A1">
      <w:pPr>
        <w:spacing w:line="276" w:lineRule="auto"/>
        <w:rPr>
          <w:rFonts w:ascii="Arial" w:eastAsia="Arial" w:hAnsi="Arial" w:cs="Arial"/>
        </w:rPr>
      </w:pPr>
      <w:r>
        <w:rPr>
          <w:rFonts w:ascii="Arial" w:eastAsia="Arial" w:hAnsi="Arial" w:cs="Arial"/>
        </w:rPr>
        <w:t xml:space="preserve">Fig. S7. Principal components analysis of centered log-ratio (CLR)-transformed small subunit ribosomal RNA (SSU rRNA) gene amplicon sequence data grouped at the genus level for </w:t>
      </w:r>
      <w:proofErr w:type="spellStart"/>
      <w:r>
        <w:rPr>
          <w:rFonts w:ascii="Arial" w:eastAsia="Arial" w:hAnsi="Arial" w:cs="Arial"/>
        </w:rPr>
        <w:t>Opisthokonta</w:t>
      </w:r>
      <w:proofErr w:type="spellEnd"/>
      <w:r>
        <w:rPr>
          <w:rFonts w:ascii="Arial" w:eastAsia="Arial" w:hAnsi="Arial" w:cs="Arial"/>
        </w:rPr>
        <w:t xml:space="preserve"> eukaryotes (a, b), non-</w:t>
      </w:r>
      <w:proofErr w:type="spellStart"/>
      <w:r>
        <w:rPr>
          <w:rFonts w:ascii="Arial" w:eastAsia="Arial" w:hAnsi="Arial" w:cs="Arial"/>
        </w:rPr>
        <w:t>Opisthokonta</w:t>
      </w:r>
      <w:proofErr w:type="spellEnd"/>
      <w:r>
        <w:rPr>
          <w:rFonts w:ascii="Arial" w:eastAsia="Arial" w:hAnsi="Arial" w:cs="Arial"/>
        </w:rPr>
        <w:t xml:space="preserve"> eukaryotes (c, d) and prokaryotic (bacterial and archaeal) lineages (e, f) generated from samples collected throughout the surface mixed layer and upper mesopelagic waters at Stations P20 and P26 along the Line P transect between 2010 to 2019. The 10 genera that contributed the most to PC1 and PC2 are plotted to highlight which genera were important in driving observed patterns in beta-diversity among samples.</w:t>
      </w:r>
    </w:p>
    <w:p w:rsidR="0091693B" w:rsidRDefault="00000000">
      <w:pPr>
        <w:spacing w:line="276" w:lineRule="auto"/>
        <w:rPr>
          <w:rFonts w:ascii="Arial" w:eastAsia="Arial" w:hAnsi="Arial" w:cs="Arial"/>
        </w:rPr>
      </w:pPr>
      <w:r>
        <w:rPr>
          <w:rFonts w:ascii="Arial" w:eastAsia="Arial" w:hAnsi="Arial" w:cs="Arial"/>
          <w:noProof/>
        </w:rPr>
        <w:lastRenderedPageBreak/>
        <w:drawing>
          <wp:inline distT="114300" distB="114300" distL="114300" distR="114300">
            <wp:extent cx="5943600" cy="6235700"/>
            <wp:effectExtent l="0" t="0" r="0" b="0"/>
            <wp:docPr id="90973906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2"/>
                    <a:srcRect/>
                    <a:stretch>
                      <a:fillRect/>
                    </a:stretch>
                  </pic:blipFill>
                  <pic:spPr>
                    <a:xfrm>
                      <a:off x="0" y="0"/>
                      <a:ext cx="5943600" cy="6235700"/>
                    </a:xfrm>
                    <a:prstGeom prst="rect">
                      <a:avLst/>
                    </a:prstGeom>
                    <a:ln/>
                  </pic:spPr>
                </pic:pic>
              </a:graphicData>
            </a:graphic>
          </wp:inline>
        </w:drawing>
      </w:r>
    </w:p>
    <w:p w:rsidR="0091693B" w:rsidRDefault="00000000">
      <w:pPr>
        <w:spacing w:line="276" w:lineRule="auto"/>
        <w:rPr>
          <w:rFonts w:ascii="Arial" w:eastAsia="Arial" w:hAnsi="Arial" w:cs="Arial"/>
        </w:rPr>
      </w:pPr>
      <w:r>
        <w:rPr>
          <w:rFonts w:ascii="Arial" w:eastAsia="Arial" w:hAnsi="Arial" w:cs="Arial"/>
        </w:rPr>
        <w:t>Fig. S8. Heatmaps displaying the relative abundance of the (a) top 15 prokaryotic classes (or proteobacterial orders) and (b) top 30 prokaryotic genera (with higher taxonomic levels provided when applicable) in the upper 300 m at Stations P20 and P26 along the Line P transect.</w:t>
      </w:r>
    </w:p>
    <w:p w:rsidR="0091693B" w:rsidRDefault="0091693B">
      <w:pPr>
        <w:spacing w:line="276" w:lineRule="auto"/>
        <w:rPr>
          <w:rFonts w:ascii="Arial" w:eastAsia="Arial" w:hAnsi="Arial" w:cs="Arial"/>
        </w:rPr>
      </w:pPr>
    </w:p>
    <w:p w:rsidR="0091693B" w:rsidRDefault="00000000">
      <w:pPr>
        <w:spacing w:line="276" w:lineRule="auto"/>
        <w:rPr>
          <w:rFonts w:ascii="Arial" w:eastAsia="Arial" w:hAnsi="Arial" w:cs="Arial"/>
        </w:rPr>
      </w:pPr>
      <w:r>
        <w:rPr>
          <w:rFonts w:ascii="Arial" w:eastAsia="Arial" w:hAnsi="Arial" w:cs="Arial"/>
          <w:noProof/>
        </w:rPr>
        <w:lastRenderedPageBreak/>
        <w:drawing>
          <wp:inline distT="114300" distB="114300" distL="114300" distR="114300">
            <wp:extent cx="5943600" cy="5600700"/>
            <wp:effectExtent l="0" t="0" r="0" b="0"/>
            <wp:docPr id="90973906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3"/>
                    <a:srcRect/>
                    <a:stretch>
                      <a:fillRect/>
                    </a:stretch>
                  </pic:blipFill>
                  <pic:spPr>
                    <a:xfrm>
                      <a:off x="0" y="0"/>
                      <a:ext cx="5943600" cy="5600700"/>
                    </a:xfrm>
                    <a:prstGeom prst="rect">
                      <a:avLst/>
                    </a:prstGeom>
                    <a:ln/>
                  </pic:spPr>
                </pic:pic>
              </a:graphicData>
            </a:graphic>
          </wp:inline>
        </w:drawing>
      </w:r>
    </w:p>
    <w:p w:rsidR="0091693B" w:rsidRDefault="00000000" w:rsidP="00AC53A1">
      <w:pPr>
        <w:spacing w:line="276" w:lineRule="auto"/>
        <w:rPr>
          <w:rFonts w:ascii="Arial" w:eastAsia="Arial" w:hAnsi="Arial" w:cs="Arial"/>
        </w:rPr>
      </w:pPr>
      <w:r>
        <w:rPr>
          <w:rFonts w:ascii="Arial" w:eastAsia="Arial" w:hAnsi="Arial" w:cs="Arial"/>
        </w:rPr>
        <w:t>Fig. S9. Heatmaps displaying the relative abundance of the (a) top 15 eukaryotic classes and (b) top 30 eukaryotic genera (with higher taxonomic levels, e.g. Class, also provided when applicable) in the upper 300 m of at Stations P20 and P26 along the Line P transect the waters of Stations P20 and P26.</w:t>
      </w: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91693B">
      <w:pPr>
        <w:spacing w:line="276" w:lineRule="auto"/>
        <w:rPr>
          <w:rFonts w:ascii="Arial" w:eastAsia="Arial" w:hAnsi="Arial" w:cs="Arial"/>
        </w:rPr>
      </w:pPr>
    </w:p>
    <w:p w:rsidR="0091693B" w:rsidRDefault="00000000">
      <w:pPr>
        <w:spacing w:before="240" w:after="240" w:line="276" w:lineRule="auto"/>
        <w:rPr>
          <w:rFonts w:ascii="Arial" w:eastAsia="Arial" w:hAnsi="Arial" w:cs="Arial"/>
        </w:rPr>
      </w:pPr>
      <w:r>
        <w:rPr>
          <w:rFonts w:ascii="Arial" w:eastAsia="Arial" w:hAnsi="Arial" w:cs="Arial"/>
        </w:rPr>
        <w:lastRenderedPageBreak/>
        <w:t>Table S1. PERMANOVA results comparing the DNA-derived community composition in spring and summer samples between 2015 and 2019 MHW years.</w:t>
      </w:r>
    </w:p>
    <w:sdt>
      <w:sdtPr>
        <w:tag w:val="goog_rdk_1"/>
        <w:id w:val="-1781172905"/>
        <w:lock w:val="contentLocked"/>
      </w:sdtPr>
      <w:sdtContent>
        <w:tbl>
          <w:tblPr>
            <w:tblStyle w:val="a"/>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920"/>
            <w:gridCol w:w="1800"/>
            <w:gridCol w:w="1860"/>
            <w:gridCol w:w="1860"/>
          </w:tblGrid>
          <w:tr w:rsidR="0091693B">
            <w:tc>
              <w:tcPr>
                <w:tcW w:w="1860" w:type="dxa"/>
                <w:shd w:val="clear" w:color="auto" w:fill="auto"/>
                <w:tcMar>
                  <w:top w:w="100" w:type="dxa"/>
                  <w:left w:w="100" w:type="dxa"/>
                  <w:bottom w:w="100" w:type="dxa"/>
                  <w:right w:w="100" w:type="dxa"/>
                </w:tcMar>
              </w:tcPr>
              <w:p w:rsidR="0091693B" w:rsidRDefault="0091693B">
                <w:pPr>
                  <w:widowControl w:val="0"/>
                  <w:rPr>
                    <w:rFonts w:ascii="Arial" w:eastAsia="Arial" w:hAnsi="Arial" w:cs="Arial"/>
                    <w:sz w:val="22"/>
                    <w:szCs w:val="22"/>
                  </w:rPr>
                </w:pPr>
              </w:p>
            </w:tc>
            <w:tc>
              <w:tcPr>
                <w:tcW w:w="1920" w:type="dxa"/>
                <w:shd w:val="clear" w:color="auto" w:fill="auto"/>
                <w:tcMar>
                  <w:top w:w="100" w:type="dxa"/>
                  <w:left w:w="100" w:type="dxa"/>
                  <w:bottom w:w="100" w:type="dxa"/>
                  <w:right w:w="100" w:type="dxa"/>
                </w:tcMar>
              </w:tcPr>
              <w:p w:rsidR="0091693B" w:rsidRDefault="00000000">
                <w:pPr>
                  <w:widowControl w:val="0"/>
                  <w:jc w:val="center"/>
                  <w:rPr>
                    <w:rFonts w:ascii="Arial" w:eastAsia="Arial" w:hAnsi="Arial" w:cs="Arial"/>
                    <w:b/>
                  </w:rPr>
                </w:pPr>
                <w:r>
                  <w:rPr>
                    <w:rFonts w:ascii="Arial" w:eastAsia="Arial" w:hAnsi="Arial" w:cs="Arial"/>
                    <w:b/>
                  </w:rPr>
                  <w:t>Prokaryotes</w:t>
                </w:r>
              </w:p>
            </w:tc>
            <w:tc>
              <w:tcPr>
                <w:tcW w:w="1800" w:type="dxa"/>
                <w:shd w:val="clear" w:color="auto" w:fill="auto"/>
                <w:tcMar>
                  <w:top w:w="100" w:type="dxa"/>
                  <w:left w:w="100" w:type="dxa"/>
                  <w:bottom w:w="100" w:type="dxa"/>
                  <w:right w:w="100" w:type="dxa"/>
                </w:tcMar>
              </w:tcPr>
              <w:p w:rsidR="0091693B" w:rsidRDefault="00000000">
                <w:pPr>
                  <w:widowControl w:val="0"/>
                  <w:jc w:val="center"/>
                  <w:rPr>
                    <w:rFonts w:ascii="Arial" w:eastAsia="Arial" w:hAnsi="Arial" w:cs="Arial"/>
                    <w:b/>
                  </w:rPr>
                </w:pPr>
                <w:r>
                  <w:rPr>
                    <w:rFonts w:ascii="Arial" w:eastAsia="Arial" w:hAnsi="Arial" w:cs="Arial"/>
                    <w:b/>
                  </w:rPr>
                  <w:t>All Eukaryotes</w:t>
                </w:r>
              </w:p>
            </w:tc>
            <w:tc>
              <w:tcPr>
                <w:tcW w:w="1860" w:type="dxa"/>
                <w:shd w:val="clear" w:color="auto" w:fill="auto"/>
                <w:tcMar>
                  <w:top w:w="100" w:type="dxa"/>
                  <w:left w:w="100" w:type="dxa"/>
                  <w:bottom w:w="100" w:type="dxa"/>
                  <w:right w:w="100" w:type="dxa"/>
                </w:tcMar>
              </w:tcPr>
              <w:p w:rsidR="0091693B" w:rsidRDefault="00000000">
                <w:pPr>
                  <w:widowControl w:val="0"/>
                  <w:jc w:val="center"/>
                  <w:rPr>
                    <w:rFonts w:ascii="Arial" w:eastAsia="Arial" w:hAnsi="Arial" w:cs="Arial"/>
                    <w:b/>
                  </w:rPr>
                </w:pPr>
                <w:r>
                  <w:rPr>
                    <w:rFonts w:ascii="Arial" w:eastAsia="Arial" w:hAnsi="Arial" w:cs="Arial"/>
                    <w:b/>
                  </w:rPr>
                  <w:t>Animals only</w:t>
                </w:r>
              </w:p>
            </w:tc>
            <w:tc>
              <w:tcPr>
                <w:tcW w:w="1860" w:type="dxa"/>
                <w:shd w:val="clear" w:color="auto" w:fill="auto"/>
                <w:tcMar>
                  <w:top w:w="100" w:type="dxa"/>
                  <w:left w:w="100" w:type="dxa"/>
                  <w:bottom w:w="100" w:type="dxa"/>
                  <w:right w:w="100" w:type="dxa"/>
                </w:tcMar>
              </w:tcPr>
              <w:p w:rsidR="0091693B" w:rsidRDefault="00000000">
                <w:pPr>
                  <w:widowControl w:val="0"/>
                  <w:jc w:val="center"/>
                  <w:rPr>
                    <w:rFonts w:ascii="Arial" w:eastAsia="Arial" w:hAnsi="Arial" w:cs="Arial"/>
                    <w:b/>
                  </w:rPr>
                </w:pPr>
                <w:r>
                  <w:rPr>
                    <w:rFonts w:ascii="Arial" w:eastAsia="Arial" w:hAnsi="Arial" w:cs="Arial"/>
                    <w:b/>
                  </w:rPr>
                  <w:t>Non-animal eukaryotes</w:t>
                </w:r>
              </w:p>
            </w:tc>
          </w:tr>
          <w:tr w:rsidR="0091693B">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b/>
                  </w:rPr>
                </w:pPr>
                <w:r>
                  <w:rPr>
                    <w:rFonts w:ascii="Arial" w:eastAsia="Arial" w:hAnsi="Arial" w:cs="Arial"/>
                    <w:b/>
                  </w:rPr>
                  <w:t xml:space="preserve">Surface Mixed Layer </w:t>
                </w:r>
              </w:p>
              <w:p w:rsidR="0091693B" w:rsidRDefault="00000000">
                <w:pPr>
                  <w:widowControl w:val="0"/>
                  <w:rPr>
                    <w:rFonts w:ascii="Arial" w:eastAsia="Arial" w:hAnsi="Arial" w:cs="Arial"/>
                  </w:rPr>
                </w:pPr>
                <w:r>
                  <w:rPr>
                    <w:rFonts w:ascii="Arial" w:eastAsia="Arial" w:hAnsi="Arial" w:cs="Arial"/>
                  </w:rPr>
                  <w:t>(10-100 m)</w:t>
                </w:r>
              </w:p>
            </w:tc>
            <w:tc>
              <w:tcPr>
                <w:tcW w:w="192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 xml:space="preserve">R = 0.0358   </w:t>
                </w:r>
              </w:p>
              <w:p w:rsidR="0091693B" w:rsidRDefault="00000000">
                <w:pPr>
                  <w:widowControl w:val="0"/>
                  <w:rPr>
                    <w:rFonts w:ascii="Arial" w:eastAsia="Arial" w:hAnsi="Arial" w:cs="Arial"/>
                  </w:rPr>
                </w:pPr>
                <w:r>
                  <w:rPr>
                    <w:rFonts w:ascii="Arial" w:eastAsia="Arial" w:hAnsi="Arial" w:cs="Arial"/>
                  </w:rPr>
                  <w:t>p</w:t>
                </w:r>
                <w:r>
                  <w:rPr>
                    <w:rFonts w:ascii="Arial" w:eastAsia="Arial" w:hAnsi="Arial" w:cs="Arial"/>
                    <w:vertAlign w:val="subscript"/>
                  </w:rPr>
                  <w:t>adj</w:t>
                </w:r>
                <w:r>
                  <w:rPr>
                    <w:rFonts w:ascii="Arial" w:eastAsia="Arial" w:hAnsi="Arial" w:cs="Arial"/>
                  </w:rPr>
                  <w:t xml:space="preserve"> = 0.297</w:t>
                </w:r>
              </w:p>
            </w:tc>
            <w:tc>
              <w:tcPr>
                <w:tcW w:w="180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R = 0.05555  p</w:t>
                </w:r>
                <w:r>
                  <w:rPr>
                    <w:rFonts w:ascii="Arial" w:eastAsia="Arial" w:hAnsi="Arial" w:cs="Arial"/>
                    <w:vertAlign w:val="subscript"/>
                  </w:rPr>
                  <w:t>adj</w:t>
                </w:r>
                <w:r>
                  <w:rPr>
                    <w:rFonts w:ascii="Arial" w:eastAsia="Arial" w:hAnsi="Arial" w:cs="Arial"/>
                  </w:rPr>
                  <w:t xml:space="preserve"> = 0.1157</w:t>
                </w:r>
              </w:p>
            </w:tc>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R =0.04554</w:t>
                </w:r>
              </w:p>
              <w:p w:rsidR="0091693B" w:rsidRDefault="00000000">
                <w:pPr>
                  <w:widowControl w:val="0"/>
                  <w:rPr>
                    <w:rFonts w:ascii="Arial" w:eastAsia="Arial" w:hAnsi="Arial" w:cs="Arial"/>
                  </w:rPr>
                </w:pPr>
                <w:r>
                  <w:rPr>
                    <w:rFonts w:ascii="Arial" w:eastAsia="Arial" w:hAnsi="Arial" w:cs="Arial"/>
                  </w:rPr>
                  <w:t>p</w:t>
                </w:r>
                <w:r>
                  <w:rPr>
                    <w:rFonts w:ascii="Arial" w:eastAsia="Arial" w:hAnsi="Arial" w:cs="Arial"/>
                    <w:vertAlign w:val="subscript"/>
                  </w:rPr>
                  <w:t>adj</w:t>
                </w:r>
                <w:r>
                  <w:rPr>
                    <w:rFonts w:ascii="Arial" w:eastAsia="Arial" w:hAnsi="Arial" w:cs="Arial"/>
                  </w:rPr>
                  <w:t xml:space="preserve"> =  0.3718</w:t>
                </w:r>
              </w:p>
            </w:tc>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R = 0.05734 p</w:t>
                </w:r>
                <w:r>
                  <w:rPr>
                    <w:rFonts w:ascii="Arial" w:eastAsia="Arial" w:hAnsi="Arial" w:cs="Arial"/>
                    <w:vertAlign w:val="subscript"/>
                  </w:rPr>
                  <w:t>adj</w:t>
                </w:r>
                <w:r>
                  <w:rPr>
                    <w:rFonts w:ascii="Arial" w:eastAsia="Arial" w:hAnsi="Arial" w:cs="Arial"/>
                  </w:rPr>
                  <w:t xml:space="preserve"> = 0.08143</w:t>
                </w:r>
              </w:p>
            </w:tc>
          </w:tr>
          <w:tr w:rsidR="0091693B">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b/>
                  </w:rPr>
                  <w:t xml:space="preserve">Upper Mesopelagic Waters </w:t>
                </w:r>
                <w:r>
                  <w:rPr>
                    <w:rFonts w:ascii="Arial" w:eastAsia="Arial" w:hAnsi="Arial" w:cs="Arial"/>
                  </w:rPr>
                  <w:t>(150-300 m)</w:t>
                </w:r>
              </w:p>
            </w:tc>
            <w:tc>
              <w:tcPr>
                <w:tcW w:w="192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 xml:space="preserve">R = 0.13428 </w:t>
                </w:r>
              </w:p>
              <w:p w:rsidR="0091693B" w:rsidRDefault="00000000">
                <w:pPr>
                  <w:widowControl w:val="0"/>
                  <w:rPr>
                    <w:rFonts w:ascii="Arial" w:eastAsia="Arial" w:hAnsi="Arial" w:cs="Arial"/>
                  </w:rPr>
                </w:pPr>
                <w:r>
                  <w:rPr>
                    <w:rFonts w:ascii="Arial" w:eastAsia="Arial" w:hAnsi="Arial" w:cs="Arial"/>
                  </w:rPr>
                  <w:t>p</w:t>
                </w:r>
                <w:r>
                  <w:rPr>
                    <w:rFonts w:ascii="Arial" w:eastAsia="Arial" w:hAnsi="Arial" w:cs="Arial"/>
                    <w:vertAlign w:val="subscript"/>
                  </w:rPr>
                  <w:t xml:space="preserve">adj </w:t>
                </w:r>
                <w:r>
                  <w:rPr>
                    <w:rFonts w:ascii="Arial" w:eastAsia="Arial" w:hAnsi="Arial" w:cs="Arial"/>
                  </w:rPr>
                  <w:t>= 0.009333*</w:t>
                </w:r>
              </w:p>
            </w:tc>
            <w:tc>
              <w:tcPr>
                <w:tcW w:w="180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R = 0.16982  p</w:t>
                </w:r>
                <w:r>
                  <w:rPr>
                    <w:rFonts w:ascii="Arial" w:eastAsia="Arial" w:hAnsi="Arial" w:cs="Arial"/>
                    <w:vertAlign w:val="subscript"/>
                  </w:rPr>
                  <w:t xml:space="preserve">adj </w:t>
                </w:r>
                <w:r>
                  <w:rPr>
                    <w:rFonts w:ascii="Arial" w:eastAsia="Arial" w:hAnsi="Arial" w:cs="Arial"/>
                  </w:rPr>
                  <w:t>= 0.0015*</w:t>
                </w:r>
              </w:p>
            </w:tc>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R = 0.11704   p</w:t>
                </w:r>
                <w:r>
                  <w:rPr>
                    <w:rFonts w:ascii="Arial" w:eastAsia="Arial" w:hAnsi="Arial" w:cs="Arial"/>
                    <w:vertAlign w:val="subscript"/>
                  </w:rPr>
                  <w:t xml:space="preserve">adj </w:t>
                </w:r>
                <w:r>
                  <w:rPr>
                    <w:rFonts w:ascii="Arial" w:eastAsia="Arial" w:hAnsi="Arial" w:cs="Arial"/>
                  </w:rPr>
                  <w:t>= 0.04125*</w:t>
                </w:r>
              </w:p>
            </w:tc>
            <w:tc>
              <w:tcPr>
                <w:tcW w:w="1860" w:type="dxa"/>
                <w:shd w:val="clear" w:color="auto" w:fill="auto"/>
                <w:tcMar>
                  <w:top w:w="100" w:type="dxa"/>
                  <w:left w:w="100" w:type="dxa"/>
                  <w:bottom w:w="100" w:type="dxa"/>
                  <w:right w:w="100" w:type="dxa"/>
                </w:tcMar>
              </w:tcPr>
              <w:p w:rsidR="0091693B" w:rsidRDefault="00000000">
                <w:pPr>
                  <w:widowControl w:val="0"/>
                  <w:rPr>
                    <w:rFonts w:ascii="Arial" w:eastAsia="Arial" w:hAnsi="Arial" w:cs="Arial"/>
                  </w:rPr>
                </w:pPr>
                <w:r>
                  <w:rPr>
                    <w:rFonts w:ascii="Arial" w:eastAsia="Arial" w:hAnsi="Arial" w:cs="Arial"/>
                  </w:rPr>
                  <w:t xml:space="preserve">R = 0.1704 </w:t>
                </w:r>
              </w:p>
              <w:p w:rsidR="0091693B" w:rsidRDefault="00000000">
                <w:pPr>
                  <w:widowControl w:val="0"/>
                  <w:rPr>
                    <w:rFonts w:ascii="Arial" w:eastAsia="Arial" w:hAnsi="Arial" w:cs="Arial"/>
                  </w:rPr>
                </w:pPr>
                <w:r>
                  <w:rPr>
                    <w:rFonts w:ascii="Arial" w:eastAsia="Arial" w:hAnsi="Arial" w:cs="Arial"/>
                  </w:rPr>
                  <w:t>p</w:t>
                </w:r>
                <w:r>
                  <w:rPr>
                    <w:rFonts w:ascii="Arial" w:eastAsia="Arial" w:hAnsi="Arial" w:cs="Arial"/>
                    <w:vertAlign w:val="subscript"/>
                  </w:rPr>
                  <w:t xml:space="preserve">adj </w:t>
                </w:r>
                <w:r>
                  <w:rPr>
                    <w:rFonts w:ascii="Arial" w:eastAsia="Arial" w:hAnsi="Arial" w:cs="Arial"/>
                  </w:rPr>
                  <w:t>= 0.0030*</w:t>
                </w:r>
              </w:p>
            </w:tc>
          </w:tr>
        </w:tbl>
      </w:sdtContent>
    </w:sdt>
    <w:p w:rsidR="0091693B" w:rsidRDefault="0091693B">
      <w:pPr>
        <w:spacing w:before="240" w:after="240" w:line="276" w:lineRule="auto"/>
        <w:rPr>
          <w:rFonts w:ascii="Arial" w:eastAsia="Arial" w:hAnsi="Arial" w:cs="Arial"/>
        </w:rPr>
      </w:pPr>
    </w:p>
    <w:sectPr w:rsidR="0091693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93B"/>
    <w:rsid w:val="0091693B"/>
    <w:rsid w:val="00AC53A1"/>
    <w:rsid w:val="00D763F3"/>
    <w:rsid w:val="00F131B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E6A0062"/>
  <w15:docId w15:val="{0FABF2D0-C366-064A-AB15-8F4C3086B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SoJDfP91WvaAcg9511Bm9yk5Lg==">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724</Words>
  <Characters>4249</Characters>
  <Application>Microsoft Office Word</Application>
  <DocSecurity>0</DocSecurity>
  <Lines>63</Lines>
  <Paragraphs>6</Paragraphs>
  <ScaleCrop>false</ScaleCrop>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Bernardi Bif</dc:creator>
  <cp:lastModifiedBy>Mariana Bernardi Bif</cp:lastModifiedBy>
  <cp:revision>3</cp:revision>
  <dcterms:created xsi:type="dcterms:W3CDTF">2024-02-07T21:23:00Z</dcterms:created>
  <dcterms:modified xsi:type="dcterms:W3CDTF">2024-10-13T17:05:00Z</dcterms:modified>
</cp:coreProperties>
</file>