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480" w:lineRule="auto"/>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 xml:space="preserve">Supplementary Information </w:t>
      </w: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Text S1. Supplementary of Biomarker analysis</w:t>
      </w: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bCs w:val="0"/>
          <w:i/>
          <w:iCs/>
          <w:color w:val="auto"/>
          <w:sz w:val="21"/>
          <w:szCs w:val="21"/>
          <w:lang w:val="en-US" w:eastAsia="zh-CN"/>
        </w:rPr>
        <w:t>Lipids and lignin monomers</w:t>
      </w:r>
      <w:r>
        <w:rPr>
          <w:rFonts w:hint="default" w:ascii="Times New Roman" w:hAnsi="Times New Roman" w:eastAsia="宋体" w:cs="Times New Roman"/>
          <w:b/>
          <w:bCs w:val="0"/>
          <w:i w:val="0"/>
          <w:iCs w:val="0"/>
          <w:color w:val="auto"/>
          <w:sz w:val="21"/>
          <w:szCs w:val="21"/>
          <w:lang w:val="en-US" w:eastAsia="zh-CN"/>
        </w:rPr>
        <w:t>:</w:t>
      </w:r>
      <w:r>
        <w:rPr>
          <w:rFonts w:hint="default" w:ascii="Times New Roman" w:hAnsi="Times New Roman" w:eastAsia="宋体" w:cs="Times New Roman"/>
          <w:b/>
          <w:bCs w:val="0"/>
          <w:i/>
          <w:iCs/>
          <w:color w:val="auto"/>
          <w:sz w:val="21"/>
          <w:szCs w:val="21"/>
          <w:lang w:val="en-US" w:eastAsia="zh-CN"/>
        </w:rPr>
        <w:t xml:space="preserve"> </w:t>
      </w:r>
      <w:r>
        <w:rPr>
          <w:rFonts w:hint="default" w:ascii="Times New Roman" w:hAnsi="Times New Roman" w:eastAsia="宋体" w:cs="Times New Roman"/>
          <w:b w:val="0"/>
          <w:i w:val="0"/>
          <w:color w:val="000000"/>
          <w:sz w:val="21"/>
          <w:szCs w:val="21"/>
          <w:lang w:val="en-US" w:eastAsia="zh-CN"/>
        </w:rPr>
        <w:t>Air-dried</w:t>
      </w:r>
      <w:r>
        <w:rPr>
          <w:rFonts w:hint="default" w:ascii="Times New Roman" w:hAnsi="Times New Roman" w:eastAsia="宋体" w:cs="Times New Roman"/>
          <w:b w:val="0"/>
          <w:bCs/>
          <w:i w:val="0"/>
          <w:iCs w:val="0"/>
          <w:color w:val="auto"/>
          <w:sz w:val="21"/>
          <w:szCs w:val="21"/>
          <w:lang w:val="en-US" w:eastAsia="zh-CN"/>
        </w:rPr>
        <w:t xml:space="preserve"> samples were successively extracted with 5 mL methanol, dichloromethane: methanol (1:1; v/v) and dichloromethane. The three successive extracts were combined, dichloromethane: methanol. The three sequential extracts were combined, and 15 ml of deionized water was added to induce phase separation. </w:t>
      </w:r>
      <w:bookmarkStart w:id="0" w:name="OLE_LINK1"/>
      <w:r>
        <w:rPr>
          <w:rFonts w:hint="default" w:ascii="Times New Roman" w:hAnsi="Times New Roman" w:eastAsia="宋体" w:cs="Times New Roman"/>
          <w:bCs/>
          <w:color w:val="000000"/>
          <w:sz w:val="21"/>
          <w:szCs w:val="21"/>
          <w:lang w:val="en-US" w:eastAsia="zh-CN"/>
        </w:rPr>
        <w:t xml:space="preserve">After </w:t>
      </w:r>
      <w:r>
        <w:rPr>
          <w:rFonts w:hint="default" w:ascii="Times New Roman" w:hAnsi="Times New Roman" w:eastAsia="宋体" w:cs="Times New Roman"/>
          <w:bCs/>
          <w:color w:val="000000"/>
          <w:sz w:val="21"/>
          <w:szCs w:val="21"/>
        </w:rPr>
        <w:t>phase separation</w:t>
      </w:r>
      <w:r>
        <w:rPr>
          <w:rFonts w:hint="default" w:ascii="Times New Roman" w:hAnsi="Times New Roman" w:eastAsia="宋体" w:cs="Times New Roman"/>
          <w:bCs/>
          <w:color w:val="000000"/>
          <w:sz w:val="21"/>
          <w:szCs w:val="21"/>
          <w:lang w:val="en-US" w:eastAsia="zh-CN"/>
        </w:rPr>
        <w:t>, t</w:t>
      </w:r>
      <w:r>
        <w:rPr>
          <w:rFonts w:hint="default" w:ascii="Times New Roman" w:hAnsi="Times New Roman" w:eastAsia="宋体" w:cs="Times New Roman"/>
          <w:b w:val="0"/>
          <w:bCs/>
          <w:i w:val="0"/>
          <w:iCs w:val="0"/>
          <w:color w:val="auto"/>
          <w:sz w:val="21"/>
          <w:szCs w:val="21"/>
          <w:lang w:val="en-US" w:eastAsia="zh-CN"/>
        </w:rPr>
        <w:t>he bottom layer of dichloromethane was collected and stored at -20℃ until analysis</w:t>
      </w:r>
      <w:bookmarkEnd w:id="0"/>
      <w:r>
        <w:rPr>
          <w:rFonts w:hint="default" w:ascii="Times New Roman" w:hAnsi="Times New Roman" w:eastAsia="宋体" w:cs="Times New Roman"/>
          <w:b w:val="0"/>
          <w:bCs/>
          <w:i w:val="0"/>
          <w:iCs w:val="0"/>
          <w:color w:val="auto"/>
          <w:sz w:val="21"/>
          <w:szCs w:val="21"/>
          <w:lang w:val="en-US" w:eastAsia="zh-CN"/>
        </w:rPr>
        <w:t xml:space="preserve"> (Tamura and Tharayil, 2014). The air-dried residue from the above solvent extraction was incubated at 100℃ for 3 h with 5 ml of 1M methanolic sodium hydroxide (NaOH) to extract hydrolyzable lipids (Tamura et al., 2017). After cooling to room temperature, The residue was further extracted with 5 ml of dichloromethane: methanol (1:1; v/v). The two sequential extracts were combined and spiked with 400 μl of n-hexane as an internal standard. The extracts were acidified to pH &lt; 2 using 1.5 ml of 6 M HCl, then transferred to a separation funnel and added deionized water to </w:t>
      </w:r>
      <w:r>
        <w:rPr>
          <w:rFonts w:hint="default" w:ascii="Times New Roman" w:hAnsi="Times New Roman" w:eastAsia="宋体" w:cs="Times New Roman"/>
          <w:b w:val="0"/>
          <w:bCs w:val="0"/>
          <w:i w:val="0"/>
          <w:iCs w:val="0"/>
          <w:caps w:val="0"/>
          <w:color w:val="333333"/>
          <w:spacing w:val="0"/>
          <w:sz w:val="21"/>
          <w:szCs w:val="21"/>
        </w:rPr>
        <w:t>recovered</w:t>
      </w:r>
      <w:r>
        <w:rPr>
          <w:rFonts w:hint="default" w:ascii="Times New Roman" w:hAnsi="Times New Roman" w:eastAsia="宋体" w:cs="Times New Roman"/>
          <w:b w:val="0"/>
          <w:bCs w:val="0"/>
          <w:i w:val="0"/>
          <w:iCs w:val="0"/>
          <w:caps w:val="0"/>
          <w:color w:val="333333"/>
          <w:spacing w:val="0"/>
          <w:sz w:val="21"/>
          <w:szCs w:val="21"/>
          <w:lang w:val="en-US" w:eastAsia="zh-CN"/>
        </w:rPr>
        <w:t xml:space="preserve"> </w:t>
      </w:r>
      <w:r>
        <w:rPr>
          <w:rFonts w:hint="default" w:ascii="Times New Roman" w:hAnsi="Times New Roman" w:eastAsia="宋体" w:cs="Times New Roman"/>
          <w:b w:val="0"/>
          <w:bCs/>
          <w:i w:val="0"/>
          <w:iCs w:val="0"/>
          <w:color w:val="auto"/>
          <w:sz w:val="21"/>
          <w:szCs w:val="21"/>
          <w:lang w:val="en-US" w:eastAsia="zh-CN"/>
        </w:rPr>
        <w:t xml:space="preserve">hydrolysable or bound lipids (liquid-liquid extraction). </w:t>
      </w:r>
      <w:r>
        <w:rPr>
          <w:rFonts w:hint="default" w:ascii="Times New Roman" w:hAnsi="Times New Roman" w:eastAsia="宋体" w:cs="Times New Roman"/>
          <w:bCs/>
          <w:color w:val="000000"/>
          <w:sz w:val="21"/>
          <w:szCs w:val="21"/>
          <w:lang w:val="en-US" w:eastAsia="zh-CN"/>
        </w:rPr>
        <w:t xml:space="preserve">After </w:t>
      </w:r>
      <w:r>
        <w:rPr>
          <w:rFonts w:hint="default" w:ascii="Times New Roman" w:hAnsi="Times New Roman" w:eastAsia="宋体" w:cs="Times New Roman"/>
          <w:bCs/>
          <w:color w:val="000000"/>
          <w:sz w:val="21"/>
          <w:szCs w:val="21"/>
        </w:rPr>
        <w:t>phase separation</w:t>
      </w:r>
      <w:r>
        <w:rPr>
          <w:rFonts w:hint="default" w:ascii="Times New Roman" w:hAnsi="Times New Roman" w:eastAsia="宋体" w:cs="Times New Roman"/>
          <w:bCs/>
          <w:color w:val="000000"/>
          <w:sz w:val="21"/>
          <w:szCs w:val="21"/>
          <w:lang w:val="en-US" w:eastAsia="zh-CN"/>
        </w:rPr>
        <w:t>, t</w:t>
      </w:r>
      <w:r>
        <w:rPr>
          <w:rFonts w:hint="default" w:ascii="Times New Roman" w:hAnsi="Times New Roman" w:eastAsia="宋体" w:cs="Times New Roman"/>
          <w:b w:val="0"/>
          <w:bCs/>
          <w:i w:val="0"/>
          <w:iCs w:val="0"/>
          <w:color w:val="auto"/>
          <w:sz w:val="21"/>
          <w:szCs w:val="21"/>
          <w:lang w:val="en-US" w:eastAsia="zh-CN"/>
        </w:rPr>
        <w:t xml:space="preserve">he bottom layer of dichloromethane was collected and stored at -20℃ until analysis. </w:t>
      </w: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 xml:space="preserve">Following base hydrolysis extraction, the residue was further subjected to CuO oxidation to isolate lignin phenols monomers. </w:t>
      </w:r>
      <w:r>
        <w:rPr>
          <w:rFonts w:hint="default" w:ascii="Times New Roman" w:hAnsi="Times New Roman" w:eastAsia="宋体" w:cs="Times New Roman"/>
          <w:b w:val="0"/>
          <w:i w:val="0"/>
          <w:color w:val="000000"/>
          <w:sz w:val="21"/>
          <w:szCs w:val="21"/>
          <w:lang w:val="en-US" w:eastAsia="zh-CN"/>
        </w:rPr>
        <w:t xml:space="preserve">Air-dried residues were mixed with 1g CuO, 100 mg ammonium iron sulfate hexahydrate [Fe(NH4)2(SO4)2·6H2O], and 15 ml of 2 M nitrogen-sparged NaOH solution in a Teflon vessel. </w:t>
      </w:r>
      <w:r>
        <w:rPr>
          <w:rFonts w:hint="default" w:ascii="Times New Roman" w:hAnsi="Times New Roman" w:eastAsia="宋体" w:cs="Times New Roman"/>
          <w:bCs/>
          <w:color w:val="000000"/>
          <w:sz w:val="21"/>
          <w:szCs w:val="21"/>
        </w:rPr>
        <w:t xml:space="preserve">All vessels were </w:t>
      </w:r>
      <w:r>
        <w:rPr>
          <w:rFonts w:hint="default" w:ascii="Times New Roman" w:hAnsi="Times New Roman" w:eastAsia="宋体" w:cs="Times New Roman"/>
          <w:bCs/>
          <w:color w:val="000000"/>
          <w:sz w:val="21"/>
          <w:szCs w:val="21"/>
          <w:lang w:val="en-US" w:eastAsia="zh-CN"/>
        </w:rPr>
        <w:t>heated</w:t>
      </w:r>
      <w:r>
        <w:rPr>
          <w:rFonts w:hint="default" w:ascii="Times New Roman" w:hAnsi="Times New Roman" w:eastAsia="宋体" w:cs="Times New Roman"/>
          <w:bCs/>
          <w:color w:val="000000"/>
          <w:sz w:val="21"/>
          <w:szCs w:val="21"/>
        </w:rPr>
        <w:t xml:space="preserve"> at 150 °C for 160 min. After</w:t>
      </w:r>
      <w:r>
        <w:rPr>
          <w:rFonts w:hint="default" w:ascii="Times New Roman" w:hAnsi="Times New Roman" w:eastAsia="宋体" w:cs="Times New Roman"/>
          <w:bCs/>
          <w:color w:val="000000"/>
          <w:sz w:val="21"/>
          <w:szCs w:val="21"/>
          <w:lang w:val="en-US" w:eastAsia="zh-CN"/>
        </w:rPr>
        <w:t xml:space="preserve"> </w:t>
      </w:r>
      <w:r>
        <w:rPr>
          <w:rFonts w:hint="default" w:ascii="Times New Roman" w:hAnsi="Times New Roman" w:eastAsia="宋体" w:cs="Times New Roman"/>
          <w:bCs/>
          <w:color w:val="000000"/>
          <w:sz w:val="21"/>
          <w:szCs w:val="21"/>
        </w:rPr>
        <w:t xml:space="preserve">cooling, the lignin oxidation products were acidified to pH &lt; 1 </w:t>
      </w:r>
      <w:r>
        <w:rPr>
          <w:rFonts w:hint="default" w:ascii="Times New Roman" w:hAnsi="Times New Roman" w:eastAsia="宋体" w:cs="Times New Roman"/>
          <w:bCs/>
          <w:color w:val="000000"/>
          <w:sz w:val="21"/>
          <w:szCs w:val="21"/>
          <w:lang w:val="en-US" w:eastAsia="zh-CN"/>
        </w:rPr>
        <w:t xml:space="preserve">by </w:t>
      </w:r>
      <w:r>
        <w:rPr>
          <w:rFonts w:hint="default" w:ascii="Times New Roman" w:hAnsi="Times New Roman" w:eastAsia="宋体" w:cs="Times New Roman"/>
          <w:bCs/>
          <w:color w:val="000000"/>
          <w:sz w:val="21"/>
          <w:szCs w:val="21"/>
        </w:rPr>
        <w:t>2.5ml 18 M H</w:t>
      </w:r>
      <w:r>
        <w:rPr>
          <w:rFonts w:hint="default" w:ascii="Times New Roman" w:hAnsi="Times New Roman" w:eastAsia="宋体" w:cs="Times New Roman"/>
          <w:bCs/>
          <w:color w:val="000000"/>
          <w:sz w:val="21"/>
          <w:szCs w:val="21"/>
          <w:vertAlign w:val="subscript"/>
        </w:rPr>
        <w:t>2</w:t>
      </w:r>
      <w:r>
        <w:rPr>
          <w:rFonts w:hint="default" w:ascii="Times New Roman" w:hAnsi="Times New Roman" w:eastAsia="宋体" w:cs="Times New Roman"/>
          <w:bCs/>
          <w:color w:val="000000"/>
          <w:sz w:val="21"/>
          <w:szCs w:val="21"/>
        </w:rPr>
        <w:t>SO</w:t>
      </w:r>
      <w:r>
        <w:rPr>
          <w:rFonts w:hint="default" w:ascii="Times New Roman" w:hAnsi="Times New Roman" w:eastAsia="宋体" w:cs="Times New Roman"/>
          <w:bCs/>
          <w:color w:val="000000"/>
          <w:sz w:val="21"/>
          <w:szCs w:val="21"/>
          <w:vertAlign w:val="subscript"/>
        </w:rPr>
        <w:t>4</w:t>
      </w:r>
      <w:r>
        <w:rPr>
          <w:rFonts w:hint="default" w:ascii="Times New Roman" w:hAnsi="Times New Roman" w:eastAsia="宋体" w:cs="Times New Roman"/>
          <w:bCs/>
          <w:color w:val="000000"/>
          <w:sz w:val="21"/>
          <w:szCs w:val="21"/>
        </w:rPr>
        <w:t>, and kept in the dark for 1 h. After centrifugation,</w:t>
      </w:r>
      <w:r>
        <w:rPr>
          <w:rFonts w:hint="default" w:ascii="Times New Roman" w:hAnsi="Times New Roman" w:eastAsia="宋体" w:cs="Times New Roman"/>
          <w:bCs/>
          <w:color w:val="000000"/>
          <w:sz w:val="21"/>
          <w:szCs w:val="21"/>
          <w:lang w:val="en-US" w:eastAsia="zh-CN"/>
        </w:rPr>
        <w:t xml:space="preserve"> the</w:t>
      </w:r>
      <w:r>
        <w:rPr>
          <w:rFonts w:hint="default" w:ascii="Times New Roman" w:hAnsi="Times New Roman" w:eastAsia="宋体" w:cs="Times New Roman"/>
          <w:bCs/>
          <w:color w:val="000000"/>
          <w:sz w:val="21"/>
          <w:szCs w:val="21"/>
        </w:rPr>
        <w:t xml:space="preserve"> supernatant was transferred </w:t>
      </w:r>
      <w:r>
        <w:rPr>
          <w:rFonts w:hint="default" w:ascii="Times New Roman" w:hAnsi="Times New Roman" w:eastAsia="宋体" w:cs="Times New Roman"/>
          <w:bCs/>
          <w:color w:val="000000"/>
          <w:sz w:val="21"/>
          <w:szCs w:val="21"/>
          <w:lang w:val="en-US" w:eastAsia="zh-CN"/>
        </w:rPr>
        <w:t>in</w:t>
      </w:r>
      <w:r>
        <w:rPr>
          <w:rFonts w:hint="default" w:ascii="Times New Roman" w:hAnsi="Times New Roman" w:eastAsia="宋体" w:cs="Times New Roman"/>
          <w:bCs/>
          <w:color w:val="000000"/>
          <w:sz w:val="21"/>
          <w:szCs w:val="21"/>
        </w:rPr>
        <w:t xml:space="preserve">to the separatory funnel, </w:t>
      </w:r>
      <w:r>
        <w:rPr>
          <w:rFonts w:hint="default" w:ascii="Times New Roman" w:hAnsi="Times New Roman" w:eastAsia="宋体" w:cs="Times New Roman"/>
          <w:bCs/>
          <w:color w:val="000000"/>
          <w:sz w:val="21"/>
          <w:szCs w:val="21"/>
          <w:lang w:val="en-US" w:eastAsia="zh-CN"/>
        </w:rPr>
        <w:t>and then added</w:t>
      </w:r>
      <w:r>
        <w:rPr>
          <w:rFonts w:hint="default" w:ascii="Times New Roman" w:hAnsi="Times New Roman" w:eastAsia="宋体" w:cs="Times New Roman"/>
          <w:bCs/>
          <w:color w:val="000000"/>
          <w:sz w:val="21"/>
          <w:szCs w:val="21"/>
        </w:rPr>
        <w:t xml:space="preserve"> 5 ml ethyl acetate. </w:t>
      </w:r>
      <w:bookmarkStart w:id="1" w:name="OLE_LINK2"/>
      <w:r>
        <w:rPr>
          <w:rFonts w:hint="default" w:ascii="Times New Roman" w:hAnsi="Times New Roman" w:eastAsia="宋体" w:cs="Times New Roman"/>
          <w:bCs/>
          <w:color w:val="000000"/>
          <w:sz w:val="21"/>
          <w:szCs w:val="21"/>
          <w:lang w:val="en-US" w:eastAsia="zh-CN"/>
        </w:rPr>
        <w:t xml:space="preserve">After </w:t>
      </w:r>
      <w:r>
        <w:rPr>
          <w:rFonts w:hint="default" w:ascii="Times New Roman" w:hAnsi="Times New Roman" w:eastAsia="宋体" w:cs="Times New Roman"/>
          <w:bCs/>
          <w:color w:val="000000"/>
          <w:sz w:val="21"/>
          <w:szCs w:val="21"/>
        </w:rPr>
        <w:t>phase separation</w:t>
      </w:r>
      <w:r>
        <w:rPr>
          <w:rFonts w:hint="default" w:ascii="Times New Roman" w:hAnsi="Times New Roman" w:eastAsia="宋体" w:cs="Times New Roman"/>
          <w:bCs/>
          <w:color w:val="000000"/>
          <w:sz w:val="21"/>
          <w:szCs w:val="21"/>
          <w:lang w:val="en-US" w:eastAsia="zh-CN"/>
        </w:rPr>
        <w:t>,</w:t>
      </w:r>
      <w:bookmarkEnd w:id="1"/>
      <w:r>
        <w:rPr>
          <w:rFonts w:hint="default" w:ascii="Times New Roman" w:hAnsi="Times New Roman" w:eastAsia="宋体" w:cs="Times New Roman"/>
          <w:bCs/>
          <w:color w:val="000000"/>
          <w:sz w:val="21"/>
          <w:szCs w:val="21"/>
          <w:lang w:val="en-US" w:eastAsia="zh-CN"/>
        </w:rPr>
        <w:t xml:space="preserve"> t</w:t>
      </w:r>
      <w:r>
        <w:rPr>
          <w:rFonts w:hint="default" w:ascii="Times New Roman" w:hAnsi="Times New Roman" w:eastAsia="宋体" w:cs="Times New Roman"/>
          <w:bCs/>
          <w:color w:val="000000"/>
          <w:sz w:val="21"/>
          <w:szCs w:val="21"/>
        </w:rPr>
        <w:t xml:space="preserve">he upper ethyl acetate was collected and stored at -20 °C until analysis. </w:t>
      </w:r>
      <w:r>
        <w:rPr>
          <w:rFonts w:hint="default" w:ascii="Times New Roman" w:hAnsi="Times New Roman" w:eastAsia="宋体" w:cs="Times New Roman"/>
          <w:bCs/>
          <w:i w:val="0"/>
          <w:iCs w:val="0"/>
          <w:color w:val="000000"/>
          <w:sz w:val="21"/>
          <w:szCs w:val="21"/>
          <w:lang w:val="en-US" w:eastAsia="zh-CN"/>
        </w:rPr>
        <w:t xml:space="preserve">Derivatives of amino sugars </w:t>
      </w:r>
      <w:bookmarkStart w:id="2" w:name="OLE_LINK142"/>
      <w:r>
        <w:rPr>
          <w:rFonts w:hint="default" w:ascii="Times New Roman" w:hAnsi="Times New Roman" w:eastAsia="宋体" w:cs="Times New Roman"/>
          <w:bCs/>
          <w:i w:val="0"/>
          <w:iCs w:val="0"/>
          <w:color w:val="000000"/>
          <w:sz w:val="21"/>
          <w:szCs w:val="21"/>
          <w:lang w:val="en-US" w:eastAsia="zh-CN"/>
        </w:rPr>
        <w:t>were analyzed by</w:t>
      </w:r>
      <w:bookmarkEnd w:id="2"/>
      <w:r>
        <w:rPr>
          <w:rFonts w:hint="default" w:ascii="Times New Roman" w:hAnsi="Times New Roman" w:eastAsia="宋体" w:cs="Times New Roman"/>
          <w:bCs/>
          <w:i w:val="0"/>
          <w:iCs w:val="0"/>
          <w:color w:val="000000"/>
          <w:sz w:val="21"/>
          <w:szCs w:val="21"/>
          <w:lang w:val="en-US" w:eastAsia="zh-CN"/>
        </w:rPr>
        <w:t xml:space="preserve"> </w:t>
      </w:r>
      <w:r>
        <w:rPr>
          <w:rFonts w:hint="default" w:ascii="Times New Roman" w:hAnsi="Times New Roman" w:eastAsia="宋体" w:cs="Times New Roman"/>
          <w:bCs/>
          <w:color w:val="000000"/>
          <w:sz w:val="21"/>
          <w:szCs w:val="21"/>
        </w:rPr>
        <w:t xml:space="preserve">gas chromatography (GC) system coupled </w:t>
      </w:r>
      <w:r>
        <w:rPr>
          <w:rFonts w:hint="default" w:ascii="Times New Roman" w:hAnsi="Times New Roman" w:eastAsia="宋体" w:cs="Times New Roman"/>
          <w:bCs/>
          <w:color w:val="000000"/>
          <w:sz w:val="21"/>
          <w:szCs w:val="21"/>
          <w:lang w:val="en-US" w:eastAsia="zh-CN"/>
        </w:rPr>
        <w:t>with</w:t>
      </w:r>
      <w:r>
        <w:rPr>
          <w:rFonts w:hint="default" w:ascii="Times New Roman" w:hAnsi="Times New Roman" w:eastAsia="宋体" w:cs="Times New Roman"/>
          <w:bCs/>
          <w:color w:val="000000"/>
          <w:sz w:val="21"/>
          <w:szCs w:val="21"/>
        </w:rPr>
        <w:t xml:space="preserve"> a 5975 C Series mass detector (Agilent Technologies, Santa Clara, CA, USA). </w:t>
      </w:r>
      <w:r>
        <w:rPr>
          <w:rFonts w:hint="default" w:ascii="Times New Roman" w:hAnsi="Times New Roman" w:eastAsia="宋体" w:cs="Times New Roman"/>
          <w:bCs/>
          <w:color w:val="000000"/>
          <w:sz w:val="21"/>
          <w:szCs w:val="21"/>
          <w:lang w:val="en-US" w:eastAsia="zh-CN"/>
        </w:rPr>
        <w:t xml:space="preserve">The </w:t>
      </w:r>
      <w:r>
        <w:rPr>
          <w:rFonts w:hint="default" w:ascii="Times New Roman" w:hAnsi="Times New Roman" w:eastAsia="宋体" w:cs="Times New Roman"/>
          <w:bCs/>
          <w:color w:val="000000"/>
          <w:sz w:val="21"/>
          <w:szCs w:val="21"/>
        </w:rPr>
        <w:t>separat</w:t>
      </w:r>
      <w:r>
        <w:rPr>
          <w:rFonts w:hint="default" w:ascii="Times New Roman" w:hAnsi="Times New Roman" w:eastAsia="宋体" w:cs="Times New Roman"/>
          <w:bCs/>
          <w:color w:val="000000"/>
          <w:sz w:val="21"/>
          <w:szCs w:val="21"/>
          <w:lang w:val="en-US" w:eastAsia="zh-CN"/>
        </w:rPr>
        <w:t>ion</w:t>
      </w:r>
      <w:r>
        <w:rPr>
          <w:rFonts w:hint="default" w:ascii="Times New Roman" w:hAnsi="Times New Roman" w:eastAsia="宋体" w:cs="Times New Roman"/>
          <w:bCs/>
          <w:color w:val="000000"/>
          <w:sz w:val="21"/>
          <w:szCs w:val="21"/>
        </w:rPr>
        <w:t xml:space="preserve"> </w:t>
      </w:r>
      <w:r>
        <w:rPr>
          <w:rFonts w:hint="default" w:ascii="Times New Roman" w:hAnsi="Times New Roman" w:eastAsia="宋体" w:cs="Times New Roman"/>
          <w:bCs/>
          <w:color w:val="000000"/>
          <w:sz w:val="21"/>
          <w:szCs w:val="21"/>
          <w:lang w:val="en-US" w:eastAsia="zh-CN"/>
        </w:rPr>
        <w:t>of</w:t>
      </w:r>
      <w:r>
        <w:rPr>
          <w:rFonts w:hint="default" w:ascii="Times New Roman" w:hAnsi="Times New Roman" w:eastAsia="宋体" w:cs="Times New Roman"/>
          <w:bCs/>
          <w:color w:val="000000"/>
          <w:sz w:val="21"/>
          <w:szCs w:val="21"/>
        </w:rPr>
        <w:t xml:space="preserve"> analytes</w:t>
      </w:r>
      <w:r>
        <w:rPr>
          <w:rFonts w:hint="default" w:ascii="Times New Roman" w:hAnsi="Times New Roman" w:eastAsia="宋体" w:cs="Times New Roman"/>
          <w:bCs/>
          <w:color w:val="000000"/>
          <w:sz w:val="21"/>
          <w:szCs w:val="21"/>
          <w:lang w:val="en-US" w:eastAsia="zh-CN"/>
        </w:rPr>
        <w:t xml:space="preserve"> </w:t>
      </w:r>
      <w:r>
        <w:rPr>
          <w:rFonts w:hint="default" w:ascii="Times New Roman" w:hAnsi="Times New Roman" w:eastAsia="宋体" w:cs="Times New Roman"/>
          <w:bCs/>
          <w:i w:val="0"/>
          <w:iCs w:val="0"/>
          <w:color w:val="000000"/>
          <w:sz w:val="21"/>
          <w:szCs w:val="21"/>
          <w:lang w:val="en-US" w:eastAsia="zh-CN"/>
        </w:rPr>
        <w:t>were determined by</w:t>
      </w:r>
      <w:r>
        <w:rPr>
          <w:rFonts w:hint="default" w:ascii="Times New Roman" w:hAnsi="Times New Roman" w:eastAsia="宋体" w:cs="Times New Roman"/>
          <w:bCs/>
          <w:color w:val="000000"/>
          <w:sz w:val="21"/>
          <w:szCs w:val="21"/>
        </w:rPr>
        <w:t xml:space="preserve"> DB-5 MS fused-silica capillary column (30 m long </w:t>
      </w:r>
      <w:r>
        <w:rPr>
          <w:rFonts w:hint="default" w:ascii="Times New Roman" w:hAnsi="Times New Roman" w:eastAsia="宋体" w:cs="Times New Roman"/>
          <w:bCs/>
          <w:color w:val="000000"/>
          <w:sz w:val="21"/>
          <w:szCs w:val="21"/>
        </w:rPr>
        <w:sym w:font="Symbol" w:char="00B4"/>
      </w:r>
      <w:r>
        <w:rPr>
          <w:rFonts w:hint="default" w:ascii="Times New Roman" w:hAnsi="Times New Roman" w:eastAsia="宋体" w:cs="Times New Roman"/>
          <w:bCs/>
          <w:color w:val="000000"/>
          <w:sz w:val="21"/>
          <w:szCs w:val="21"/>
        </w:rPr>
        <w:t xml:space="preserve"> 0.25 mm inner diameter </w:t>
      </w:r>
      <w:r>
        <w:rPr>
          <w:rFonts w:hint="default" w:ascii="Times New Roman" w:hAnsi="Times New Roman" w:eastAsia="宋体" w:cs="Times New Roman"/>
          <w:bCs/>
          <w:color w:val="000000"/>
          <w:sz w:val="21"/>
          <w:szCs w:val="21"/>
        </w:rPr>
        <w:sym w:font="Symbol" w:char="00B4"/>
      </w:r>
      <w:r>
        <w:rPr>
          <w:rFonts w:hint="default" w:ascii="Times New Roman" w:hAnsi="Times New Roman" w:eastAsia="宋体" w:cs="Times New Roman"/>
          <w:bCs/>
          <w:color w:val="000000"/>
          <w:sz w:val="21"/>
          <w:szCs w:val="21"/>
        </w:rPr>
        <w:t xml:space="preserve"> 0.25 μm film thickness). The temperature was maintained at 60 °C for 1 min, then linearly increased by 10 °C/min to 300 °C, and kept at 300 °C for 10 min. The carrier gas (He) maintained a constant flow of 1 ml/min. The electron multiplier was operated at a constant gain of 1 (EMV = 1412V). The scan range was set to 60 ~ 550 amu, and the scan time was 2.97 scans/sec. The identified compounds were quantified based on external standards of known concentrations. </w:t>
      </w: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
          <w:bCs w:val="0"/>
          <w:i/>
          <w:iCs/>
          <w:color w:val="000000"/>
          <w:sz w:val="21"/>
          <w:szCs w:val="21"/>
          <w:lang w:val="en-US" w:eastAsia="zh-CN"/>
        </w:rPr>
        <w:t>Amino sugars</w:t>
      </w:r>
      <w:r>
        <w:rPr>
          <w:rFonts w:hint="default" w:ascii="Times New Roman" w:hAnsi="Times New Roman" w:eastAsia="宋体" w:cs="Times New Roman"/>
          <w:b/>
          <w:bCs w:val="0"/>
          <w:color w:val="000000"/>
          <w:sz w:val="21"/>
          <w:szCs w:val="21"/>
          <w:lang w:val="en-US" w:eastAsia="zh-CN"/>
        </w:rPr>
        <w:t>:</w:t>
      </w:r>
      <w:r>
        <w:rPr>
          <w:rFonts w:hint="default" w:ascii="Times New Roman" w:hAnsi="Times New Roman" w:eastAsia="宋体" w:cs="Times New Roman"/>
          <w:bCs/>
          <w:color w:val="000000"/>
          <w:sz w:val="21"/>
          <w:szCs w:val="21"/>
          <w:lang w:val="en-US" w:eastAsia="zh-CN"/>
        </w:rPr>
        <w:t xml:space="preserve"> 0.5 g lyophilized soils were hydrolyzed with 10 ml of 6 M HCl at 105 °C for 6 h. After cooling and filtering, 0.5 ml filtrate was dried with N</w:t>
      </w:r>
      <w:r>
        <w:rPr>
          <w:rFonts w:hint="default" w:ascii="Times New Roman" w:hAnsi="Times New Roman" w:eastAsia="宋体" w:cs="Times New Roman"/>
          <w:bCs/>
          <w:color w:val="000000"/>
          <w:sz w:val="21"/>
          <w:szCs w:val="21"/>
          <w:vertAlign w:val="subscript"/>
          <w:lang w:val="en-US" w:eastAsia="zh-CN"/>
        </w:rPr>
        <w:t>2</w:t>
      </w:r>
      <w:r>
        <w:rPr>
          <w:rFonts w:hint="default" w:ascii="Times New Roman" w:hAnsi="Times New Roman" w:eastAsia="宋体" w:cs="Times New Roman"/>
          <w:bCs/>
          <w:color w:val="000000"/>
          <w:sz w:val="21"/>
          <w:szCs w:val="21"/>
          <w:lang w:val="en-US" w:eastAsia="zh-CN"/>
        </w:rPr>
        <w:t xml:space="preserve"> at 40 - 45 °C (remove HCl), then re-dissolved with 0.5 ml deionized water, dried with N</w:t>
      </w:r>
      <w:r>
        <w:rPr>
          <w:rFonts w:hint="default" w:ascii="Times New Roman" w:hAnsi="Times New Roman" w:eastAsia="宋体" w:cs="Times New Roman"/>
          <w:bCs/>
          <w:color w:val="000000"/>
          <w:sz w:val="21"/>
          <w:szCs w:val="21"/>
          <w:vertAlign w:val="subscript"/>
          <w:lang w:val="en-US" w:eastAsia="zh-CN"/>
        </w:rPr>
        <w:t>2</w:t>
      </w:r>
      <w:r>
        <w:rPr>
          <w:rFonts w:hint="default" w:ascii="Times New Roman" w:hAnsi="Times New Roman" w:eastAsia="宋体" w:cs="Times New Roman"/>
          <w:bCs/>
          <w:color w:val="000000"/>
          <w:sz w:val="21"/>
          <w:szCs w:val="21"/>
          <w:lang w:val="en-US" w:eastAsia="zh-CN"/>
        </w:rPr>
        <w:t xml:space="preserve"> again, next re-dissolved with 2 ml deionized water, and finally stored at -20 °C until analysis. Derivatives of amino sugars were analyzed by liquid chromatograph (Dionex Ultimate 3000, Thermo Fisher Scientific, Waltham, USA) equipped with an octadecylsilylated silica gel column (Accclaim120 C18; Thermo Fisher Scientific, USA). The chromatograms of standard solutions containing mixed amino sugars were used to identify and quantify each amino sugar. Amino sugars was calculated as the sum of GluN, GalN, MurA. </w:t>
      </w: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eastAsia="宋体" w:cs="Times New Roman"/>
          <w:bCs/>
          <w:color w:val="000000"/>
          <w:sz w:val="21"/>
          <w:szCs w:val="21"/>
          <w:lang w:val="en-US" w:eastAsia="zh-CN"/>
        </w:rPr>
      </w:pPr>
    </w:p>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cs="Times New Roman"/>
          <w:b w:val="0"/>
          <w:bCs/>
          <w:color w:val="auto"/>
          <w:sz w:val="20"/>
          <w:szCs w:val="20"/>
          <w:highlight w:val="none"/>
          <w:lang w:val="en-US" w:eastAsia="zh-CN"/>
        </w:rPr>
      </w:pPr>
      <w:r>
        <w:rPr>
          <w:rFonts w:hint="default" w:ascii="Times New Roman" w:hAnsi="Times New Roman" w:cs="Times New Roman"/>
          <w:b/>
          <w:bCs/>
          <w:sz w:val="20"/>
          <w:szCs w:val="20"/>
          <w:highlight w:val="none"/>
        </w:rPr>
        <w:t xml:space="preserve">Table </w:t>
      </w:r>
      <w:r>
        <w:rPr>
          <w:rFonts w:hint="default" w:ascii="Times New Roman" w:hAnsi="Times New Roman" w:cs="Times New Roman"/>
          <w:b/>
          <w:bCs/>
          <w:sz w:val="20"/>
          <w:szCs w:val="20"/>
          <w:highlight w:val="none"/>
          <w:lang w:val="en-US" w:eastAsia="zh-CN"/>
        </w:rPr>
        <w:t>S</w:t>
      </w:r>
      <w:r>
        <w:rPr>
          <w:rFonts w:hint="default" w:ascii="Times New Roman" w:hAnsi="Times New Roman" w:cs="Times New Roman"/>
          <w:b/>
          <w:bCs/>
          <w:sz w:val="20"/>
          <w:szCs w:val="20"/>
          <w:highlight w:val="none"/>
        </w:rPr>
        <w:t>1.</w:t>
      </w:r>
      <w:r>
        <w:rPr>
          <w:rFonts w:hint="default" w:ascii="Times New Roman" w:hAnsi="Times New Roman" w:cs="Times New Roman"/>
          <w:sz w:val="20"/>
          <w:szCs w:val="20"/>
          <w:highlight w:val="none"/>
        </w:rPr>
        <w:t xml:space="preserve"> </w:t>
      </w:r>
      <w:r>
        <w:rPr>
          <w:rFonts w:hint="eastAsia" w:ascii="Times New Roman" w:hAnsi="Times New Roman" w:cs="Times New Roman"/>
          <w:sz w:val="20"/>
          <w:szCs w:val="20"/>
          <w:highlight w:val="none"/>
          <w:lang w:val="en-US" w:eastAsia="zh-CN"/>
        </w:rPr>
        <w:t>C</w:t>
      </w:r>
      <w:r>
        <w:rPr>
          <w:rFonts w:hint="default" w:ascii="Times New Roman" w:hAnsi="Times New Roman" w:cs="Times New Roman"/>
          <w:b w:val="0"/>
          <w:bCs/>
          <w:color w:val="auto"/>
          <w:sz w:val="20"/>
          <w:szCs w:val="20"/>
          <w:highlight w:val="none"/>
          <w:lang w:val="en-US" w:eastAsia="zh-CN"/>
        </w:rPr>
        <w:t>ontent of amino sugar in the rhizosphere at different soil depths</w:t>
      </w:r>
    </w:p>
    <w:tbl>
      <w:tblPr>
        <w:tblStyle w:val="3"/>
        <w:tblW w:w="4997" w:type="pct"/>
        <w:jc w:val="center"/>
        <w:shd w:val="clear" w:color="auto" w:fill="auto"/>
        <w:tblLayout w:type="autofit"/>
        <w:tblCellMar>
          <w:top w:w="0" w:type="dxa"/>
          <w:left w:w="0" w:type="dxa"/>
          <w:bottom w:w="0" w:type="dxa"/>
          <w:right w:w="0" w:type="dxa"/>
        </w:tblCellMar>
      </w:tblPr>
      <w:tblGrid>
        <w:gridCol w:w="1342"/>
        <w:gridCol w:w="1194"/>
        <w:gridCol w:w="1421"/>
        <w:gridCol w:w="1402"/>
        <w:gridCol w:w="1341"/>
        <w:gridCol w:w="1631"/>
      </w:tblGrid>
      <w:tr>
        <w:tblPrEx>
          <w:shd w:val="clear" w:color="auto" w:fill="auto"/>
          <w:tblCellMar>
            <w:top w:w="0" w:type="dxa"/>
            <w:left w:w="0" w:type="dxa"/>
            <w:bottom w:w="0" w:type="dxa"/>
            <w:right w:w="0" w:type="dxa"/>
          </w:tblCellMar>
        </w:tblPrEx>
        <w:trPr>
          <w:trHeight w:val="315" w:hRule="atLeast"/>
          <w:jc w:val="center"/>
        </w:trPr>
        <w:tc>
          <w:tcPr>
            <w:tcW w:w="805"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Sampling time</w:t>
            </w:r>
          </w:p>
        </w:tc>
        <w:tc>
          <w:tcPr>
            <w:tcW w:w="716"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Soil depth</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(cm)</w:t>
            </w:r>
          </w:p>
        </w:tc>
        <w:tc>
          <w:tcPr>
            <w:tcW w:w="852"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MurA</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(mg/g soil)</w:t>
            </w:r>
          </w:p>
        </w:tc>
        <w:tc>
          <w:tcPr>
            <w:tcW w:w="841"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GalN</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(mg/g soil)</w:t>
            </w:r>
          </w:p>
        </w:tc>
        <w:tc>
          <w:tcPr>
            <w:tcW w:w="804"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GluN</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(mg/g soil)</w:t>
            </w:r>
          </w:p>
        </w:tc>
        <w:tc>
          <w:tcPr>
            <w:tcW w:w="978"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Total amino sugar</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(mg/g soil)</w:t>
            </w:r>
          </w:p>
        </w:tc>
      </w:tr>
      <w:tr>
        <w:tblPrEx>
          <w:shd w:val="clear" w:color="auto" w:fill="auto"/>
        </w:tblPrEx>
        <w:trPr>
          <w:trHeight w:val="315" w:hRule="atLeast"/>
          <w:jc w:val="center"/>
        </w:trPr>
        <w:tc>
          <w:tcPr>
            <w:tcW w:w="805"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July</w:t>
            </w:r>
          </w:p>
        </w:tc>
        <w:tc>
          <w:tcPr>
            <w:tcW w:w="716"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852"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0.07(0.01)a</w:t>
            </w:r>
          </w:p>
        </w:tc>
        <w:tc>
          <w:tcPr>
            <w:tcW w:w="84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0.77(0.04)a</w:t>
            </w:r>
          </w:p>
        </w:tc>
        <w:tc>
          <w:tcPr>
            <w:tcW w:w="804"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2.30(0.03)a</w:t>
            </w:r>
          </w:p>
        </w:tc>
        <w:tc>
          <w:tcPr>
            <w:tcW w:w="978"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3.14(0.05)a</w:t>
            </w:r>
          </w:p>
        </w:tc>
      </w:tr>
      <w:tr>
        <w:tblPrEx>
          <w:shd w:val="clear" w:color="auto" w:fill="auto"/>
        </w:tblPrEx>
        <w:trPr>
          <w:trHeight w:val="315" w:hRule="atLeast"/>
          <w:jc w:val="center"/>
        </w:trPr>
        <w:tc>
          <w:tcPr>
            <w:tcW w:w="805"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852"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0.05(0.01)b</w:t>
            </w:r>
          </w:p>
        </w:tc>
        <w:tc>
          <w:tcPr>
            <w:tcW w:w="84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0.59(0.02)b</w:t>
            </w:r>
          </w:p>
        </w:tc>
        <w:tc>
          <w:tcPr>
            <w:tcW w:w="804"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1.49(0.05)b</w:t>
            </w:r>
          </w:p>
        </w:tc>
        <w:tc>
          <w:tcPr>
            <w:tcW w:w="978"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2.13(0.08)b</w:t>
            </w:r>
          </w:p>
        </w:tc>
      </w:tr>
      <w:tr>
        <w:tblPrEx>
          <w:shd w:val="clear" w:color="auto" w:fill="auto"/>
          <w:tblCellMar>
            <w:top w:w="0" w:type="dxa"/>
            <w:left w:w="0" w:type="dxa"/>
            <w:bottom w:w="0" w:type="dxa"/>
            <w:right w:w="0" w:type="dxa"/>
          </w:tblCellMar>
        </w:tblPrEx>
        <w:trPr>
          <w:trHeight w:val="315" w:hRule="atLeast"/>
          <w:jc w:val="center"/>
        </w:trPr>
        <w:tc>
          <w:tcPr>
            <w:tcW w:w="805"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852"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0.04(0.01)c</w:t>
            </w:r>
          </w:p>
        </w:tc>
        <w:tc>
          <w:tcPr>
            <w:tcW w:w="84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0.54(0.01)b</w:t>
            </w:r>
          </w:p>
        </w:tc>
        <w:tc>
          <w:tcPr>
            <w:tcW w:w="804"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1.28(0.01)c</w:t>
            </w:r>
          </w:p>
        </w:tc>
        <w:tc>
          <w:tcPr>
            <w:tcW w:w="978"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1.86(0.01)c</w:t>
            </w:r>
          </w:p>
        </w:tc>
      </w:tr>
      <w:tr>
        <w:tblPrEx>
          <w:shd w:val="clear" w:color="auto" w:fill="auto"/>
          <w:tblCellMar>
            <w:top w:w="0" w:type="dxa"/>
            <w:left w:w="0" w:type="dxa"/>
            <w:bottom w:w="0" w:type="dxa"/>
            <w:right w:w="0" w:type="dxa"/>
          </w:tblCellMar>
        </w:tblPrEx>
        <w:trPr>
          <w:trHeight w:val="315" w:hRule="atLeast"/>
          <w:jc w:val="center"/>
        </w:trPr>
        <w:tc>
          <w:tcPr>
            <w:tcW w:w="805"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October</w:t>
            </w:r>
          </w:p>
        </w:tc>
        <w:tc>
          <w:tcPr>
            <w:tcW w:w="716"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852"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0.05(0.01)a</w:t>
            </w:r>
          </w:p>
        </w:tc>
        <w:tc>
          <w:tcPr>
            <w:tcW w:w="841"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0.55(0.04)a</w:t>
            </w:r>
          </w:p>
        </w:tc>
        <w:tc>
          <w:tcPr>
            <w:tcW w:w="804"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2.44(0.02)a</w:t>
            </w:r>
          </w:p>
        </w:tc>
        <w:tc>
          <w:tcPr>
            <w:tcW w:w="978"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3.03(0.02)a</w:t>
            </w:r>
          </w:p>
        </w:tc>
      </w:tr>
      <w:tr>
        <w:tblPrEx>
          <w:shd w:val="clear" w:color="auto" w:fill="auto"/>
          <w:tblCellMar>
            <w:top w:w="0" w:type="dxa"/>
            <w:left w:w="0" w:type="dxa"/>
            <w:bottom w:w="0" w:type="dxa"/>
            <w:right w:w="0" w:type="dxa"/>
          </w:tblCellMar>
        </w:tblPrEx>
        <w:trPr>
          <w:trHeight w:val="315" w:hRule="atLeast"/>
          <w:jc w:val="center"/>
        </w:trPr>
        <w:tc>
          <w:tcPr>
            <w:tcW w:w="805"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852"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0.05(0.01)a</w:t>
            </w:r>
          </w:p>
        </w:tc>
        <w:tc>
          <w:tcPr>
            <w:tcW w:w="84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0.54(0.05)a</w:t>
            </w:r>
          </w:p>
        </w:tc>
        <w:tc>
          <w:tcPr>
            <w:tcW w:w="804"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1.46(0.07)b</w:t>
            </w:r>
          </w:p>
        </w:tc>
        <w:tc>
          <w:tcPr>
            <w:tcW w:w="978"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2.04(0.12)b</w:t>
            </w:r>
          </w:p>
        </w:tc>
      </w:tr>
      <w:tr>
        <w:tblPrEx>
          <w:shd w:val="clear" w:color="auto" w:fill="auto"/>
          <w:tblCellMar>
            <w:top w:w="0" w:type="dxa"/>
            <w:left w:w="0" w:type="dxa"/>
            <w:bottom w:w="0" w:type="dxa"/>
            <w:right w:w="0" w:type="dxa"/>
          </w:tblCellMar>
        </w:tblPrEx>
        <w:trPr>
          <w:trHeight w:val="315" w:hRule="atLeast"/>
          <w:jc w:val="center"/>
        </w:trPr>
        <w:tc>
          <w:tcPr>
            <w:tcW w:w="805"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852"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0.04(0.01)a</w:t>
            </w:r>
          </w:p>
        </w:tc>
        <w:tc>
          <w:tcPr>
            <w:tcW w:w="84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0.53(0.04)a</w:t>
            </w:r>
          </w:p>
        </w:tc>
        <w:tc>
          <w:tcPr>
            <w:tcW w:w="804"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1.29(0.03)c</w:t>
            </w:r>
          </w:p>
        </w:tc>
        <w:tc>
          <w:tcPr>
            <w:tcW w:w="978"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1.86(0.06)c</w:t>
            </w:r>
          </w:p>
        </w:tc>
      </w:tr>
      <w:tr>
        <w:tblPrEx>
          <w:shd w:val="clear" w:color="auto" w:fill="auto"/>
          <w:tblCellMar>
            <w:top w:w="0" w:type="dxa"/>
            <w:left w:w="0" w:type="dxa"/>
            <w:bottom w:w="0" w:type="dxa"/>
            <w:right w:w="0" w:type="dxa"/>
          </w:tblCellMar>
        </w:tblPrEx>
        <w:trPr>
          <w:trHeight w:val="315" w:hRule="atLeast"/>
          <w:jc w:val="center"/>
        </w:trPr>
        <w:tc>
          <w:tcPr>
            <w:tcW w:w="805"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Mean</w:t>
            </w:r>
          </w:p>
        </w:tc>
        <w:tc>
          <w:tcPr>
            <w:tcW w:w="716"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852"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0.06(0.01)a</w:t>
            </w:r>
          </w:p>
        </w:tc>
        <w:tc>
          <w:tcPr>
            <w:tcW w:w="841"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0.66(0.05)a</w:t>
            </w:r>
          </w:p>
        </w:tc>
        <w:tc>
          <w:tcPr>
            <w:tcW w:w="804"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2.37(0.03)a</w:t>
            </w:r>
          </w:p>
        </w:tc>
        <w:tc>
          <w:tcPr>
            <w:tcW w:w="978"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3.08(0.03)a</w:t>
            </w:r>
          </w:p>
        </w:tc>
      </w:tr>
      <w:tr>
        <w:tblPrEx>
          <w:shd w:val="clear" w:color="auto" w:fill="auto"/>
          <w:tblCellMar>
            <w:top w:w="0" w:type="dxa"/>
            <w:left w:w="0" w:type="dxa"/>
            <w:bottom w:w="0" w:type="dxa"/>
            <w:right w:w="0" w:type="dxa"/>
          </w:tblCellMar>
        </w:tblPrEx>
        <w:trPr>
          <w:trHeight w:val="315" w:hRule="atLeast"/>
          <w:jc w:val="center"/>
        </w:trPr>
        <w:tc>
          <w:tcPr>
            <w:tcW w:w="805"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852"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0.05(0.01)ab</w:t>
            </w:r>
          </w:p>
        </w:tc>
        <w:tc>
          <w:tcPr>
            <w:tcW w:w="84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0.56(0.03)ab</w:t>
            </w:r>
          </w:p>
        </w:tc>
        <w:tc>
          <w:tcPr>
            <w:tcW w:w="804"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1.47(0.04)b</w:t>
            </w:r>
          </w:p>
        </w:tc>
        <w:tc>
          <w:tcPr>
            <w:tcW w:w="978"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2.08(0.07)b</w:t>
            </w:r>
          </w:p>
        </w:tc>
      </w:tr>
      <w:tr>
        <w:tblPrEx>
          <w:shd w:val="clear" w:color="auto" w:fill="auto"/>
          <w:tblCellMar>
            <w:top w:w="0" w:type="dxa"/>
            <w:left w:w="0" w:type="dxa"/>
            <w:bottom w:w="0" w:type="dxa"/>
            <w:right w:w="0" w:type="dxa"/>
          </w:tblCellMar>
        </w:tblPrEx>
        <w:trPr>
          <w:trHeight w:val="315" w:hRule="atLeast"/>
          <w:jc w:val="center"/>
        </w:trPr>
        <w:tc>
          <w:tcPr>
            <w:tcW w:w="805" w:type="pct"/>
            <w:vMerge w:val="continue"/>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716"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852"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0.04(0.01)b</w:t>
            </w:r>
          </w:p>
        </w:tc>
        <w:tc>
          <w:tcPr>
            <w:tcW w:w="84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0.53(0.02)b</w:t>
            </w:r>
          </w:p>
        </w:tc>
        <w:tc>
          <w:tcPr>
            <w:tcW w:w="804"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1.28(0.01)c</w:t>
            </w:r>
          </w:p>
        </w:tc>
        <w:tc>
          <w:tcPr>
            <w:tcW w:w="978"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1.86(0.03)c</w:t>
            </w:r>
          </w:p>
        </w:tc>
      </w:tr>
    </w:tbl>
    <w:p>
      <w:pPr>
        <w:keepNext w:val="0"/>
        <w:keepLines w:val="0"/>
        <w:pageBreakBefore w:val="0"/>
        <w:widowControl w:val="0"/>
        <w:kinsoku/>
        <w:wordWrap/>
        <w:overflowPunct/>
        <w:topLinePunct w:val="0"/>
        <w:bidi w:val="0"/>
        <w:adjustRightInd w:val="0"/>
        <w:snapToGrid/>
        <w:spacing w:after="157" w:afterLines="50" w:line="360" w:lineRule="auto"/>
        <w:jc w:val="both"/>
        <w:textAlignment w:val="auto"/>
        <w:rPr>
          <w:rFonts w:hint="default" w:ascii="Times New Roman" w:hAnsi="Times New Roman" w:cs="Times New Roman"/>
          <w:b w:val="0"/>
          <w:bCs/>
          <w:color w:val="auto"/>
          <w:sz w:val="20"/>
          <w:szCs w:val="20"/>
          <w:highlight w:val="none"/>
          <w:lang w:val="en-US" w:eastAsia="zh-CN"/>
        </w:rPr>
      </w:pPr>
      <w:r>
        <w:rPr>
          <w:rFonts w:hint="default" w:ascii="Times New Roman" w:hAnsi="Times New Roman" w:cs="Times New Roman"/>
          <w:b w:val="0"/>
          <w:bCs/>
          <w:color w:val="auto"/>
          <w:sz w:val="20"/>
          <w:szCs w:val="20"/>
          <w:highlight w:val="none"/>
          <w:lang w:val="en-US" w:eastAsia="zh-CN"/>
        </w:rPr>
        <w:t xml:space="preserve">Each value represents the mean ± SE (n = 5). Different lowercase letters </w:t>
      </w:r>
      <w:r>
        <w:rPr>
          <w:rFonts w:hint="default" w:ascii="Times New Roman" w:hAnsi="Times New Roman" w:cs="Times New Roman"/>
          <w:bCs/>
          <w:color w:val="auto"/>
          <w:sz w:val="20"/>
          <w:szCs w:val="20"/>
          <w:highlight w:val="none"/>
        </w:rPr>
        <w:t>following the means in the same column</w:t>
      </w:r>
      <w:r>
        <w:rPr>
          <w:rFonts w:hint="default" w:ascii="Times New Roman" w:hAnsi="Times New Roman" w:cs="Times New Roman"/>
          <w:bCs/>
          <w:color w:val="auto"/>
          <w:sz w:val="20"/>
          <w:szCs w:val="20"/>
          <w:highlight w:val="none"/>
          <w:lang w:val="en-US" w:eastAsia="zh-CN"/>
        </w:rPr>
        <w:t xml:space="preserve"> denote</w:t>
      </w:r>
      <w:r>
        <w:rPr>
          <w:rFonts w:hint="default" w:ascii="Times New Roman" w:hAnsi="Times New Roman" w:cs="Times New Roman"/>
          <w:b w:val="0"/>
          <w:bCs/>
          <w:color w:val="auto"/>
          <w:sz w:val="20"/>
          <w:szCs w:val="20"/>
          <w:highlight w:val="none"/>
          <w:lang w:val="en-US" w:eastAsia="zh-CN"/>
        </w:rPr>
        <w:t xml:space="preserve"> significant differences among different three soil depths in single sampling time (</w:t>
      </w:r>
      <w:r>
        <w:rPr>
          <w:rFonts w:hint="eastAsia" w:ascii="Times New Roman" w:hAnsi="Times New Roman" w:cs="Times New Roman"/>
          <w:b w:val="0"/>
          <w:bCs/>
          <w:i/>
          <w:iCs/>
          <w:color w:val="auto"/>
          <w:sz w:val="20"/>
          <w:szCs w:val="20"/>
          <w:highlight w:val="none"/>
          <w:lang w:val="en-US" w:eastAsia="zh-CN"/>
        </w:rPr>
        <w:t>P</w:t>
      </w:r>
      <w:r>
        <w:rPr>
          <w:rFonts w:hint="default" w:ascii="Times New Roman" w:hAnsi="Times New Roman" w:cs="Times New Roman"/>
          <w:b w:val="0"/>
          <w:bCs/>
          <w:color w:val="auto"/>
          <w:sz w:val="20"/>
          <w:szCs w:val="20"/>
          <w:highlight w:val="none"/>
          <w:lang w:val="en-US" w:eastAsia="zh-CN"/>
        </w:rPr>
        <w:t xml:space="preserve"> &lt; 0.05). </w:t>
      </w: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bCs/>
          <w:sz w:val="20"/>
          <w:szCs w:val="20"/>
          <w:highlight w:val="none"/>
        </w:rPr>
      </w:pPr>
    </w:p>
    <w:p>
      <w:pPr>
        <w:keepNext w:val="0"/>
        <w:keepLines w:val="0"/>
        <w:pageBreakBefore w:val="0"/>
        <w:widowControl w:val="0"/>
        <w:kinsoku/>
        <w:wordWrap/>
        <w:overflowPunct/>
        <w:topLinePunct w:val="0"/>
        <w:bidi w:val="0"/>
        <w:adjustRightInd w:val="0"/>
        <w:snapToGrid/>
        <w:spacing w:after="157" w:afterLines="50" w:line="360" w:lineRule="auto"/>
        <w:textAlignment w:val="auto"/>
        <w:rPr>
          <w:rFonts w:hint="default" w:ascii="Times New Roman" w:hAnsi="Times New Roman" w:cs="Times New Roman"/>
          <w:b w:val="0"/>
          <w:bCs/>
          <w:color w:val="auto"/>
          <w:sz w:val="20"/>
          <w:szCs w:val="20"/>
          <w:highlight w:val="none"/>
          <w:lang w:val="en-US" w:eastAsia="zh-CN"/>
        </w:rPr>
      </w:pPr>
      <w:r>
        <w:rPr>
          <w:rFonts w:hint="default" w:ascii="Times New Roman" w:hAnsi="Times New Roman" w:cs="Times New Roman"/>
          <w:b/>
          <w:bCs/>
          <w:sz w:val="20"/>
          <w:szCs w:val="20"/>
          <w:highlight w:val="none"/>
        </w:rPr>
        <w:t xml:space="preserve">Table </w:t>
      </w:r>
      <w:r>
        <w:rPr>
          <w:rFonts w:hint="default" w:ascii="Times New Roman" w:hAnsi="Times New Roman" w:cs="Times New Roman"/>
          <w:b/>
          <w:bCs/>
          <w:sz w:val="20"/>
          <w:szCs w:val="20"/>
          <w:highlight w:val="none"/>
          <w:lang w:val="en-US" w:eastAsia="zh-CN"/>
        </w:rPr>
        <w:t>S2</w:t>
      </w:r>
      <w:r>
        <w:rPr>
          <w:rFonts w:hint="default" w:ascii="Times New Roman" w:hAnsi="Times New Roman" w:cs="Times New Roman"/>
          <w:b/>
          <w:bCs/>
          <w:sz w:val="20"/>
          <w:szCs w:val="20"/>
          <w:highlight w:val="none"/>
        </w:rPr>
        <w:t>.</w:t>
      </w:r>
      <w:r>
        <w:rPr>
          <w:rFonts w:hint="default" w:ascii="Times New Roman" w:hAnsi="Times New Roman" w:cs="Times New Roman"/>
          <w:sz w:val="20"/>
          <w:szCs w:val="20"/>
          <w:highlight w:val="none"/>
        </w:rPr>
        <w:t xml:space="preserve"> </w:t>
      </w:r>
      <w:r>
        <w:rPr>
          <w:rFonts w:hint="default" w:ascii="Times New Roman" w:hAnsi="Times New Roman" w:cs="Times New Roman"/>
          <w:sz w:val="20"/>
          <w:szCs w:val="20"/>
          <w:highlight w:val="none"/>
          <w:lang w:val="en-US" w:eastAsia="zh-CN"/>
        </w:rPr>
        <w:t>C</w:t>
      </w:r>
      <w:r>
        <w:rPr>
          <w:rFonts w:hint="default" w:ascii="Times New Roman" w:hAnsi="Times New Roman" w:cs="Times New Roman"/>
          <w:b w:val="0"/>
          <w:bCs/>
          <w:color w:val="auto"/>
          <w:sz w:val="20"/>
          <w:szCs w:val="20"/>
          <w:highlight w:val="none"/>
          <w:lang w:val="en-US" w:eastAsia="zh-CN"/>
        </w:rPr>
        <w:t>ontribution</w:t>
      </w:r>
      <w:r>
        <w:rPr>
          <w:rFonts w:hint="eastAsia" w:ascii="Times New Roman" w:hAnsi="Times New Roman" w:cs="Times New Roman"/>
          <w:b w:val="0"/>
          <w:bCs/>
          <w:color w:val="auto"/>
          <w:sz w:val="20"/>
          <w:szCs w:val="20"/>
          <w:highlight w:val="none"/>
          <w:lang w:val="en-US" w:eastAsia="zh-CN"/>
        </w:rPr>
        <w:t>s</w:t>
      </w:r>
      <w:r>
        <w:rPr>
          <w:rFonts w:hint="default" w:ascii="Times New Roman" w:hAnsi="Times New Roman" w:cs="Times New Roman"/>
          <w:b w:val="0"/>
          <w:bCs/>
          <w:color w:val="auto"/>
          <w:sz w:val="20"/>
          <w:szCs w:val="20"/>
          <w:highlight w:val="none"/>
          <w:lang w:val="en-US" w:eastAsia="zh-CN"/>
        </w:rPr>
        <w:t xml:space="preserve"> of microbial- and </w:t>
      </w:r>
      <w:bookmarkStart w:id="3" w:name="OLE_LINK25"/>
      <w:r>
        <w:rPr>
          <w:rFonts w:hint="default" w:ascii="Times New Roman" w:hAnsi="Times New Roman" w:cs="Times New Roman"/>
          <w:b w:val="0"/>
          <w:bCs/>
          <w:color w:val="auto"/>
          <w:sz w:val="20"/>
          <w:szCs w:val="20"/>
          <w:highlight w:val="none"/>
          <w:lang w:val="en-US" w:eastAsia="zh-CN"/>
        </w:rPr>
        <w:t>plant-derived C components</w:t>
      </w:r>
      <w:bookmarkEnd w:id="3"/>
      <w:r>
        <w:rPr>
          <w:rFonts w:hint="default" w:ascii="Times New Roman" w:hAnsi="Times New Roman" w:cs="Times New Roman"/>
          <w:b w:val="0"/>
          <w:bCs/>
          <w:color w:val="auto"/>
          <w:sz w:val="20"/>
          <w:szCs w:val="20"/>
          <w:highlight w:val="none"/>
          <w:lang w:val="en-US" w:eastAsia="zh-CN"/>
        </w:rPr>
        <w:t xml:space="preserve"> to SOC in the rhizosphere at different soil depths</w:t>
      </w:r>
    </w:p>
    <w:tbl>
      <w:tblPr>
        <w:tblStyle w:val="3"/>
        <w:tblpPr w:leftFromText="180" w:rightFromText="180" w:vertAnchor="text" w:horzAnchor="page" w:tblpXSpec="center" w:tblpY="264"/>
        <w:tblOverlap w:val="never"/>
        <w:tblW w:w="5000" w:type="pct"/>
        <w:jc w:val="center"/>
        <w:shd w:val="clear" w:color="auto" w:fill="auto"/>
        <w:tblLayout w:type="fixed"/>
        <w:tblCellMar>
          <w:top w:w="0" w:type="dxa"/>
          <w:left w:w="0" w:type="dxa"/>
          <w:bottom w:w="0" w:type="dxa"/>
          <w:right w:w="0" w:type="dxa"/>
        </w:tblCellMar>
      </w:tblPr>
      <w:tblGrid>
        <w:gridCol w:w="817"/>
        <w:gridCol w:w="834"/>
        <w:gridCol w:w="1109"/>
        <w:gridCol w:w="1207"/>
        <w:gridCol w:w="1197"/>
        <w:gridCol w:w="1089"/>
        <w:gridCol w:w="1080"/>
        <w:gridCol w:w="1003"/>
      </w:tblGrid>
      <w:tr>
        <w:tblPrEx>
          <w:tblCellMar>
            <w:top w:w="0" w:type="dxa"/>
            <w:left w:w="0" w:type="dxa"/>
            <w:bottom w:w="0" w:type="dxa"/>
            <w:right w:w="0" w:type="dxa"/>
          </w:tblCellMar>
        </w:tblPrEx>
        <w:trPr>
          <w:trHeight w:val="315" w:hRule="atLeast"/>
          <w:jc w:val="center"/>
        </w:trPr>
        <w:tc>
          <w:tcPr>
            <w:tcW w:w="490"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Sampling time</w:t>
            </w:r>
          </w:p>
        </w:tc>
        <w:tc>
          <w:tcPr>
            <w:tcW w:w="500"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Soil depth</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(cm)</w:t>
            </w:r>
          </w:p>
        </w:tc>
        <w:tc>
          <w:tcPr>
            <w:tcW w:w="665"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Bacterial</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residue (%)</w:t>
            </w:r>
          </w:p>
        </w:tc>
        <w:tc>
          <w:tcPr>
            <w:tcW w:w="723"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Fungal</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residue (%)</w:t>
            </w:r>
          </w:p>
        </w:tc>
        <w:tc>
          <w:tcPr>
            <w:tcW w:w="717" w:type="pct"/>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cs="Times New Roman"/>
                <w:i w:val="0"/>
                <w:color w:val="000000"/>
                <w:kern w:val="0"/>
                <w:sz w:val="20"/>
                <w:szCs w:val="20"/>
                <w:highlight w:val="none"/>
                <w:u w:val="none"/>
                <w:lang w:val="en-US" w:eastAsia="zh-CN" w:bidi="ar"/>
              </w:rPr>
              <w:t xml:space="preserve">Long-chain fatty acids </w:t>
            </w:r>
            <w:r>
              <w:rPr>
                <w:rFonts w:hint="default" w:ascii="Times New Roman" w:hAnsi="Times New Roman" w:eastAsia="宋体" w:cs="Times New Roman"/>
                <w:i w:val="0"/>
                <w:color w:val="000000"/>
                <w:kern w:val="0"/>
                <w:sz w:val="20"/>
                <w:szCs w:val="20"/>
                <w:highlight w:val="none"/>
                <w:u w:val="none"/>
                <w:lang w:val="en-US" w:eastAsia="zh-CN" w:bidi="ar"/>
              </w:rPr>
              <w:t>(%)</w:t>
            </w:r>
          </w:p>
        </w:tc>
        <w:tc>
          <w:tcPr>
            <w:tcW w:w="653" w:type="pct"/>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Cutin</w:t>
            </w:r>
          </w:p>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cs="Times New Roman"/>
                <w:i w:val="0"/>
                <w:color w:val="000000"/>
                <w:kern w:val="0"/>
                <w:sz w:val="20"/>
                <w:szCs w:val="20"/>
                <w:highlight w:val="none"/>
                <w:u w:val="none"/>
                <w:lang w:val="en-US" w:eastAsia="zh-CN" w:bidi="ar"/>
              </w:rPr>
              <w:t>(</w:t>
            </w:r>
            <w:r>
              <w:rPr>
                <w:rFonts w:hint="default" w:ascii="Times New Roman" w:hAnsi="Times New Roman" w:eastAsia="宋体" w:cs="Times New Roman"/>
                <w:i w:val="0"/>
                <w:color w:val="000000"/>
                <w:kern w:val="0"/>
                <w:sz w:val="20"/>
                <w:szCs w:val="20"/>
                <w:highlight w:val="none"/>
                <w:u w:val="none"/>
                <w:lang w:val="en-US" w:eastAsia="zh-CN" w:bidi="ar"/>
              </w:rPr>
              <w:t>%)</w:t>
            </w:r>
          </w:p>
        </w:tc>
        <w:tc>
          <w:tcPr>
            <w:tcW w:w="647" w:type="pct"/>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ind w:left="210" w:hanging="200" w:hangingChars="100"/>
              <w:jc w:val="center"/>
              <w:textAlignment w:val="center"/>
              <w:rPr>
                <w:rFonts w:hint="default" w:ascii="Times New Roman" w:hAnsi="Times New Roman" w:cs="Times New Roman"/>
                <w:b w:val="0"/>
                <w:bCs w:val="0"/>
                <w:sz w:val="20"/>
                <w:szCs w:val="20"/>
                <w:highlight w:val="none"/>
                <w:lang w:val="en-US" w:eastAsia="zh-CN"/>
              </w:rPr>
            </w:pPr>
            <w:r>
              <w:rPr>
                <w:rFonts w:hint="default" w:ascii="Times New Roman" w:hAnsi="Times New Roman" w:cs="Times New Roman"/>
                <w:b w:val="0"/>
                <w:bCs w:val="0"/>
                <w:sz w:val="20"/>
                <w:szCs w:val="20"/>
                <w:highlight w:val="none"/>
                <w:lang w:val="en-US" w:eastAsia="zh-CN"/>
              </w:rPr>
              <w:t>Suberin</w:t>
            </w:r>
          </w:p>
          <w:p>
            <w:pPr>
              <w:keepNext w:val="0"/>
              <w:keepLines w:val="0"/>
              <w:pageBreakBefore w:val="0"/>
              <w:widowControl/>
              <w:suppressLineNumbers w:val="0"/>
              <w:kinsoku/>
              <w:wordWrap/>
              <w:overflowPunct/>
              <w:topLinePunct w:val="0"/>
              <w:bidi w:val="0"/>
              <w:snapToGrid/>
              <w:spacing w:line="360" w:lineRule="auto"/>
              <w:ind w:left="210" w:hanging="200" w:hangingChars="100"/>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w:t>
            </w:r>
          </w:p>
        </w:tc>
        <w:tc>
          <w:tcPr>
            <w:tcW w:w="601" w:type="pct"/>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cs="Times New Roman"/>
                <w:b w:val="0"/>
                <w:bCs w:val="0"/>
                <w:sz w:val="20"/>
                <w:szCs w:val="20"/>
                <w:highlight w:val="none"/>
                <w:lang w:val="en-US" w:eastAsia="zh-CN"/>
              </w:rPr>
              <w:t>CSV lignin (%)</w:t>
            </w:r>
          </w:p>
        </w:tc>
      </w:tr>
      <w:tr>
        <w:tblPrEx>
          <w:shd w:val="clear" w:color="auto" w:fill="auto"/>
          <w:tblCellMar>
            <w:top w:w="0" w:type="dxa"/>
            <w:left w:w="0" w:type="dxa"/>
            <w:bottom w:w="0" w:type="dxa"/>
            <w:right w:w="0" w:type="dxa"/>
          </w:tblCellMar>
        </w:tblPrEx>
        <w:trPr>
          <w:trHeight w:val="315" w:hRule="atLeast"/>
          <w:jc w:val="center"/>
        </w:trPr>
        <w:tc>
          <w:tcPr>
            <w:tcW w:w="490"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July</w:t>
            </w:r>
          </w:p>
        </w:tc>
        <w:tc>
          <w:tcPr>
            <w:tcW w:w="500"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665"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9.24(0.19)a</w:t>
            </w:r>
          </w:p>
        </w:tc>
        <w:tc>
          <w:tcPr>
            <w:tcW w:w="72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57.71(2.15)ab</w:t>
            </w:r>
          </w:p>
        </w:tc>
        <w:tc>
          <w:tcPr>
            <w:tcW w:w="71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0.92</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0.05</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53"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0.5</w:t>
            </w:r>
            <w:r>
              <w:rPr>
                <w:rFonts w:hint="default" w:ascii="Times New Roman" w:hAnsi="Times New Roman" w:cs="Times New Roman"/>
                <w:i w:val="0"/>
                <w:iCs w:val="0"/>
                <w:color w:val="000000"/>
                <w:kern w:val="0"/>
                <w:sz w:val="20"/>
                <w:szCs w:val="20"/>
                <w:highlight w:val="none"/>
                <w:u w:val="none"/>
                <w:lang w:val="en-US" w:eastAsia="zh-CN" w:bidi="ar"/>
              </w:rPr>
              <w:t>0(</w:t>
            </w:r>
            <w:r>
              <w:rPr>
                <w:rFonts w:hint="default" w:ascii="Times New Roman" w:hAnsi="Times New Roman" w:eastAsia="宋体" w:cs="Times New Roman"/>
                <w:i w:val="0"/>
                <w:iCs w:val="0"/>
                <w:color w:val="000000"/>
                <w:kern w:val="0"/>
                <w:sz w:val="20"/>
                <w:szCs w:val="20"/>
                <w:highlight w:val="none"/>
                <w:u w:val="none"/>
                <w:lang w:val="en-US" w:eastAsia="zh-CN" w:bidi="ar"/>
              </w:rPr>
              <w:t>0.01</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47"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3.13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0.06</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01"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0.72</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)a</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665"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8.91(0.25)a</w:t>
            </w:r>
          </w:p>
        </w:tc>
        <w:tc>
          <w:tcPr>
            <w:tcW w:w="72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52.37(1.57)b</w:t>
            </w:r>
          </w:p>
        </w:tc>
        <w:tc>
          <w:tcPr>
            <w:tcW w:w="71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0.79</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0.05)ab</w:t>
            </w:r>
          </w:p>
        </w:tc>
        <w:tc>
          <w:tcPr>
            <w:tcW w:w="65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0.46</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0.01)b</w:t>
            </w:r>
          </w:p>
        </w:tc>
        <w:tc>
          <w:tcPr>
            <w:tcW w:w="64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2.78(0.02)b</w:t>
            </w:r>
          </w:p>
        </w:tc>
        <w:tc>
          <w:tcPr>
            <w:tcW w:w="60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0.59(0.08)b</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665"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10.01(0.56)a</w:t>
            </w:r>
          </w:p>
        </w:tc>
        <w:tc>
          <w:tcPr>
            <w:tcW w:w="72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63.04(1.57)a</w:t>
            </w:r>
          </w:p>
        </w:tc>
        <w:tc>
          <w:tcPr>
            <w:tcW w:w="71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0.68(0.03)b</w:t>
            </w:r>
          </w:p>
        </w:tc>
        <w:tc>
          <w:tcPr>
            <w:tcW w:w="65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0.38</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w:t>
            </w:r>
            <w:r>
              <w:rPr>
                <w:rFonts w:hint="default" w:ascii="Times New Roman" w:hAnsi="Times New Roman" w:cs="Times New Roman"/>
                <w:i w:val="0"/>
                <w:iCs w:val="0"/>
                <w:color w:val="000000"/>
                <w:kern w:val="0"/>
                <w:sz w:val="20"/>
                <w:szCs w:val="20"/>
                <w:highlight w:val="none"/>
                <w:u w:val="none"/>
                <w:lang w:val="en-US" w:eastAsia="zh-CN" w:bidi="ar"/>
              </w:rPr>
              <w:t>3)c</w:t>
            </w:r>
          </w:p>
        </w:tc>
        <w:tc>
          <w:tcPr>
            <w:tcW w:w="64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1.94</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0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)c</w:t>
            </w:r>
          </w:p>
        </w:tc>
      </w:tr>
      <w:tr>
        <w:tblPrEx>
          <w:shd w:val="clear" w:color="auto" w:fill="auto"/>
          <w:tblCellMar>
            <w:top w:w="0" w:type="dxa"/>
            <w:left w:w="0" w:type="dxa"/>
            <w:bottom w:w="0" w:type="dxa"/>
            <w:right w:w="0" w:type="dxa"/>
          </w:tblCellMar>
        </w:tblPrEx>
        <w:trPr>
          <w:trHeight w:val="315" w:hRule="atLeast"/>
          <w:jc w:val="center"/>
        </w:trPr>
        <w:tc>
          <w:tcPr>
            <w:tcW w:w="490"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October</w:t>
            </w:r>
          </w:p>
        </w:tc>
        <w:tc>
          <w:tcPr>
            <w:tcW w:w="500"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665"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6.94(0.28)a</w:t>
            </w:r>
          </w:p>
        </w:tc>
        <w:tc>
          <w:tcPr>
            <w:tcW w:w="723"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67.93(1.57)a</w:t>
            </w:r>
          </w:p>
        </w:tc>
        <w:tc>
          <w:tcPr>
            <w:tcW w:w="717"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0.94(0.01)a</w:t>
            </w:r>
          </w:p>
        </w:tc>
        <w:tc>
          <w:tcPr>
            <w:tcW w:w="653"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0.46</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0.01</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47"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2.7</w:t>
            </w:r>
            <w:r>
              <w:rPr>
                <w:rFonts w:hint="default" w:ascii="Times New Roman" w:hAnsi="Times New Roman" w:cs="Times New Roman"/>
                <w:i w:val="0"/>
                <w:iCs w:val="0"/>
                <w:color w:val="000000"/>
                <w:kern w:val="0"/>
                <w:sz w:val="20"/>
                <w:szCs w:val="20"/>
                <w:highlight w:val="none"/>
                <w:u w:val="none"/>
                <w:lang w:val="en-US" w:eastAsia="zh-CN" w:bidi="ar"/>
              </w:rPr>
              <w:t>0(</w:t>
            </w:r>
            <w:r>
              <w:rPr>
                <w:rFonts w:hint="default" w:ascii="Times New Roman" w:hAnsi="Times New Roman" w:eastAsia="宋体" w:cs="Times New Roman"/>
                <w:i w:val="0"/>
                <w:iCs w:val="0"/>
                <w:color w:val="000000"/>
                <w:kern w:val="0"/>
                <w:sz w:val="20"/>
                <w:szCs w:val="20"/>
                <w:highlight w:val="none"/>
                <w:u w:val="none"/>
                <w:lang w:val="en-US" w:eastAsia="zh-CN" w:bidi="ar"/>
              </w:rPr>
              <w:t>0.08</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01"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0.59</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)a</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665"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10.32(1.63)c</w:t>
            </w:r>
          </w:p>
        </w:tc>
        <w:tc>
          <w:tcPr>
            <w:tcW w:w="72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56.92(1.05)c</w:t>
            </w:r>
          </w:p>
        </w:tc>
        <w:tc>
          <w:tcPr>
            <w:tcW w:w="71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0.87(0.06)a</w:t>
            </w:r>
          </w:p>
        </w:tc>
        <w:tc>
          <w:tcPr>
            <w:tcW w:w="65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0.38</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0.01)b</w:t>
            </w:r>
          </w:p>
        </w:tc>
        <w:tc>
          <w:tcPr>
            <w:tcW w:w="64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2.25(0.09)b</w:t>
            </w:r>
          </w:p>
        </w:tc>
        <w:tc>
          <w:tcPr>
            <w:tcW w:w="60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0.39(0.03)b</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665"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9.79(0.97)b</w:t>
            </w:r>
          </w:p>
        </w:tc>
        <w:tc>
          <w:tcPr>
            <w:tcW w:w="72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62.53(1.64)b</w:t>
            </w:r>
          </w:p>
        </w:tc>
        <w:tc>
          <w:tcPr>
            <w:tcW w:w="71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0.58(0.05)b</w:t>
            </w:r>
          </w:p>
        </w:tc>
        <w:tc>
          <w:tcPr>
            <w:tcW w:w="65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default" w:ascii="Times New Roman" w:hAnsi="Times New Roman" w:cs="Times New Roman"/>
                <w:i w:val="0"/>
                <w:iCs w:val="0"/>
                <w:color w:val="000000"/>
                <w:kern w:val="0"/>
                <w:sz w:val="20"/>
                <w:szCs w:val="20"/>
                <w:highlight w:val="none"/>
                <w:u w:val="none"/>
                <w:lang w:val="en-US" w:eastAsia="zh-CN" w:bidi="ar"/>
              </w:rPr>
              <w:t>0(</w:t>
            </w:r>
            <w:r>
              <w:rPr>
                <w:rFonts w:hint="default" w:ascii="Times New Roman" w:hAnsi="Times New Roman" w:eastAsia="宋体" w:cs="Times New Roman"/>
                <w:i w:val="0"/>
                <w:iCs w:val="0"/>
                <w:color w:val="000000"/>
                <w:kern w:val="0"/>
                <w:sz w:val="20"/>
                <w:szCs w:val="20"/>
                <w:highlight w:val="none"/>
                <w:u w:val="none"/>
                <w:lang w:val="en-US" w:eastAsia="zh-CN" w:bidi="ar"/>
              </w:rPr>
              <w:t>0.03</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4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1.75</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0.02</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0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w:t>
            </w:r>
            <w:r>
              <w:rPr>
                <w:rFonts w:hint="default" w:ascii="Times New Roman" w:hAnsi="Times New Roman" w:cs="Times New Roman"/>
                <w:i w:val="0"/>
                <w:iCs w:val="0"/>
                <w:color w:val="000000"/>
                <w:kern w:val="0"/>
                <w:sz w:val="20"/>
                <w:szCs w:val="20"/>
                <w:highlight w:val="none"/>
                <w:u w:val="none"/>
                <w:lang w:val="en-US" w:eastAsia="zh-CN" w:bidi="ar"/>
              </w:rPr>
              <w:t>.01)c</w:t>
            </w:r>
          </w:p>
        </w:tc>
      </w:tr>
      <w:tr>
        <w:tblPrEx>
          <w:shd w:val="clear" w:color="auto" w:fill="auto"/>
          <w:tblCellMar>
            <w:top w:w="0" w:type="dxa"/>
            <w:left w:w="0" w:type="dxa"/>
            <w:bottom w:w="0" w:type="dxa"/>
            <w:right w:w="0" w:type="dxa"/>
          </w:tblCellMar>
        </w:tblPrEx>
        <w:trPr>
          <w:trHeight w:val="315" w:hRule="atLeast"/>
          <w:jc w:val="center"/>
        </w:trPr>
        <w:tc>
          <w:tcPr>
            <w:tcW w:w="490" w:type="pct"/>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Mean</w:t>
            </w:r>
          </w:p>
        </w:tc>
        <w:tc>
          <w:tcPr>
            <w:tcW w:w="500"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0-10</w:t>
            </w:r>
          </w:p>
        </w:tc>
        <w:tc>
          <w:tcPr>
            <w:tcW w:w="665"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8.09(0.53)a</w:t>
            </w:r>
          </w:p>
        </w:tc>
        <w:tc>
          <w:tcPr>
            <w:tcW w:w="723"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62.82(2.58)a</w:t>
            </w:r>
          </w:p>
        </w:tc>
        <w:tc>
          <w:tcPr>
            <w:tcW w:w="717"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0.93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0.02</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53"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0.48</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0.01</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47"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2.92</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0.11</w:t>
            </w:r>
            <w:r>
              <w:rPr>
                <w:rFonts w:hint="default" w:ascii="Times New Roman" w:hAnsi="Times New Roman" w:cs="Times New Roman"/>
                <w:i w:val="0"/>
                <w:iCs w:val="0"/>
                <w:color w:val="000000"/>
                <w:kern w:val="0"/>
                <w:sz w:val="20"/>
                <w:szCs w:val="20"/>
                <w:highlight w:val="none"/>
                <w:u w:val="none"/>
                <w:lang w:val="en-US" w:eastAsia="zh-CN" w:bidi="ar"/>
              </w:rPr>
              <w:t>)a</w:t>
            </w:r>
          </w:p>
        </w:tc>
        <w:tc>
          <w:tcPr>
            <w:tcW w:w="601" w:type="pct"/>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0.65</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)a</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10-20</w:t>
            </w:r>
          </w:p>
        </w:tc>
        <w:tc>
          <w:tcPr>
            <w:tcW w:w="665"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9.61(0.80)a</w:t>
            </w:r>
          </w:p>
        </w:tc>
        <w:tc>
          <w:tcPr>
            <w:tcW w:w="72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54.65(1.32)b</w:t>
            </w:r>
          </w:p>
        </w:tc>
        <w:tc>
          <w:tcPr>
            <w:tcW w:w="71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0.83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0.04</w:t>
            </w:r>
            <w:r>
              <w:rPr>
                <w:rFonts w:hint="default" w:ascii="Times New Roman" w:hAnsi="Times New Roman" w:cs="Times New Roman"/>
                <w:i w:val="0"/>
                <w:iCs w:val="0"/>
                <w:color w:val="000000"/>
                <w:kern w:val="0"/>
                <w:sz w:val="20"/>
                <w:szCs w:val="20"/>
                <w:highlight w:val="none"/>
                <w:u w:val="none"/>
                <w:lang w:val="en-US" w:eastAsia="zh-CN" w:bidi="ar"/>
              </w:rPr>
              <w:t>)b</w:t>
            </w:r>
          </w:p>
        </w:tc>
        <w:tc>
          <w:tcPr>
            <w:tcW w:w="653"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0.42</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0.02</w:t>
            </w:r>
            <w:r>
              <w:rPr>
                <w:rFonts w:hint="default" w:ascii="Times New Roman" w:hAnsi="Times New Roman" w:cs="Times New Roman"/>
                <w:i w:val="0"/>
                <w:iCs w:val="0"/>
                <w:color w:val="000000"/>
                <w:kern w:val="0"/>
                <w:sz w:val="20"/>
                <w:szCs w:val="20"/>
                <w:highlight w:val="none"/>
                <w:u w:val="none"/>
                <w:lang w:val="en-US" w:eastAsia="zh-CN" w:bidi="ar"/>
              </w:rPr>
              <w:t>)b</w:t>
            </w:r>
          </w:p>
        </w:tc>
        <w:tc>
          <w:tcPr>
            <w:tcW w:w="647"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2.52</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0.12</w:t>
            </w:r>
            <w:r>
              <w:rPr>
                <w:rFonts w:hint="default" w:ascii="Times New Roman" w:hAnsi="Times New Roman" w:cs="Times New Roman"/>
                <w:i w:val="0"/>
                <w:iCs w:val="0"/>
                <w:color w:val="000000"/>
                <w:kern w:val="0"/>
                <w:sz w:val="20"/>
                <w:szCs w:val="20"/>
                <w:highlight w:val="none"/>
                <w:u w:val="none"/>
                <w:lang w:val="en-US" w:eastAsia="zh-CN" w:bidi="ar"/>
              </w:rPr>
              <w:t>)b</w:t>
            </w:r>
          </w:p>
        </w:tc>
        <w:tc>
          <w:tcPr>
            <w:tcW w:w="601" w:type="pct"/>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0.49</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0.05</w:t>
            </w:r>
            <w:r>
              <w:rPr>
                <w:rFonts w:hint="default" w:ascii="Times New Roman" w:hAnsi="Times New Roman" w:cs="Times New Roman"/>
                <w:i w:val="0"/>
                <w:iCs w:val="0"/>
                <w:color w:val="000000"/>
                <w:kern w:val="0"/>
                <w:sz w:val="20"/>
                <w:szCs w:val="20"/>
                <w:highlight w:val="none"/>
                <w:u w:val="none"/>
                <w:lang w:val="en-US" w:eastAsia="zh-CN" w:bidi="ar"/>
              </w:rPr>
              <w:t>)b</w:t>
            </w:r>
          </w:p>
        </w:tc>
      </w:tr>
      <w:tr>
        <w:tblPrEx>
          <w:shd w:val="clear" w:color="auto" w:fill="auto"/>
          <w:tblCellMar>
            <w:top w:w="0" w:type="dxa"/>
            <w:left w:w="0" w:type="dxa"/>
            <w:bottom w:w="0" w:type="dxa"/>
            <w:right w:w="0" w:type="dxa"/>
          </w:tblCellMar>
        </w:tblPrEx>
        <w:trPr>
          <w:trHeight w:val="315" w:hRule="atLeast"/>
          <w:jc w:val="center"/>
        </w:trPr>
        <w:tc>
          <w:tcPr>
            <w:tcW w:w="490" w:type="pct"/>
            <w:vMerge w:val="continue"/>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bidi w:val="0"/>
              <w:snapToGrid/>
              <w:spacing w:line="360" w:lineRule="auto"/>
              <w:jc w:val="center"/>
              <w:rPr>
                <w:rFonts w:hint="default" w:ascii="Times New Roman" w:hAnsi="Times New Roman" w:eastAsia="宋体" w:cs="Times New Roman"/>
                <w:i w:val="0"/>
                <w:color w:val="000000"/>
                <w:sz w:val="20"/>
                <w:szCs w:val="20"/>
                <w:highlight w:val="none"/>
                <w:u w:val="none"/>
              </w:rPr>
            </w:pPr>
          </w:p>
        </w:tc>
        <w:tc>
          <w:tcPr>
            <w:tcW w:w="500"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rPr>
            </w:pPr>
            <w:r>
              <w:rPr>
                <w:rFonts w:hint="default" w:ascii="Times New Roman" w:hAnsi="Times New Roman" w:eastAsia="宋体" w:cs="Times New Roman"/>
                <w:i w:val="0"/>
                <w:color w:val="000000"/>
                <w:kern w:val="0"/>
                <w:sz w:val="20"/>
                <w:szCs w:val="20"/>
                <w:highlight w:val="none"/>
                <w:u w:val="none"/>
                <w:lang w:val="en-US" w:eastAsia="zh-CN" w:bidi="ar"/>
              </w:rPr>
              <w:t>20-30</w:t>
            </w:r>
          </w:p>
        </w:tc>
        <w:tc>
          <w:tcPr>
            <w:tcW w:w="665"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9.90(0.50)a</w:t>
            </w:r>
          </w:p>
        </w:tc>
        <w:tc>
          <w:tcPr>
            <w:tcW w:w="72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color w:val="000000"/>
                <w:sz w:val="20"/>
                <w:szCs w:val="20"/>
                <w:highlight w:val="none"/>
                <w:u w:val="none"/>
                <w:lang w:val="en-US"/>
              </w:rPr>
            </w:pPr>
            <w:r>
              <w:rPr>
                <w:rFonts w:hint="default" w:ascii="Times New Roman" w:hAnsi="Times New Roman" w:eastAsia="宋体" w:cs="Times New Roman"/>
                <w:i w:val="0"/>
                <w:color w:val="000000"/>
                <w:kern w:val="0"/>
                <w:sz w:val="20"/>
                <w:szCs w:val="20"/>
                <w:highlight w:val="none"/>
                <w:u w:val="none"/>
                <w:lang w:val="en-US" w:eastAsia="zh-CN" w:bidi="ar"/>
              </w:rPr>
              <w:t>62.79(1.02)a</w:t>
            </w:r>
          </w:p>
        </w:tc>
        <w:tc>
          <w:tcPr>
            <w:tcW w:w="71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0.64</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0.03</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53"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0.34</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0.02</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47"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1.84</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0.05</w:t>
            </w:r>
            <w:r>
              <w:rPr>
                <w:rFonts w:hint="default" w:ascii="Times New Roman" w:hAnsi="Times New Roman" w:cs="Times New Roman"/>
                <w:i w:val="0"/>
                <w:iCs w:val="0"/>
                <w:color w:val="000000"/>
                <w:kern w:val="0"/>
                <w:sz w:val="20"/>
                <w:szCs w:val="20"/>
                <w:highlight w:val="none"/>
                <w:u w:val="none"/>
                <w:lang w:val="en-US" w:eastAsia="zh-CN" w:bidi="ar"/>
              </w:rPr>
              <w:t>)c</w:t>
            </w:r>
          </w:p>
        </w:tc>
        <w:tc>
          <w:tcPr>
            <w:tcW w:w="601" w:type="pct"/>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0.23</w:t>
            </w:r>
            <w:r>
              <w:rPr>
                <w:rFonts w:hint="default" w:ascii="Times New Roman" w:hAnsi="Times New Roman" w:cs="Times New Roman"/>
                <w:i w:val="0"/>
                <w:iCs w:val="0"/>
                <w:color w:val="000000"/>
                <w:kern w:val="0"/>
                <w:sz w:val="20"/>
                <w:szCs w:val="20"/>
                <w:highlight w:val="none"/>
                <w:u w:val="none"/>
                <w:lang w:val="en-US" w:eastAsia="zh-CN" w:bidi="ar"/>
              </w:rPr>
              <w:t>(</w:t>
            </w:r>
            <w:r>
              <w:rPr>
                <w:rFonts w:hint="default" w:ascii="Times New Roman" w:hAnsi="Times New Roman" w:eastAsia="宋体" w:cs="Times New Roman"/>
                <w:i w:val="0"/>
                <w:iCs w:val="0"/>
                <w:color w:val="000000"/>
                <w:kern w:val="0"/>
                <w:sz w:val="20"/>
                <w:szCs w:val="20"/>
                <w:highlight w:val="none"/>
                <w:u w:val="none"/>
                <w:lang w:val="en-US" w:eastAsia="zh-CN" w:bidi="ar"/>
              </w:rPr>
              <w:t>0.05</w:t>
            </w:r>
            <w:r>
              <w:rPr>
                <w:rFonts w:hint="default" w:ascii="Times New Roman" w:hAnsi="Times New Roman" w:cs="Times New Roman"/>
                <w:i w:val="0"/>
                <w:iCs w:val="0"/>
                <w:color w:val="000000"/>
                <w:kern w:val="0"/>
                <w:sz w:val="20"/>
                <w:szCs w:val="20"/>
                <w:highlight w:val="none"/>
                <w:u w:val="none"/>
                <w:lang w:val="en-US" w:eastAsia="zh-CN" w:bidi="ar"/>
              </w:rPr>
              <w:t>)c</w:t>
            </w:r>
          </w:p>
        </w:tc>
      </w:tr>
    </w:tbl>
    <w:p>
      <w:pPr>
        <w:keepNext w:val="0"/>
        <w:keepLines w:val="0"/>
        <w:pageBreakBefore w:val="0"/>
        <w:widowControl w:val="0"/>
        <w:kinsoku/>
        <w:wordWrap/>
        <w:overflowPunct/>
        <w:topLinePunct w:val="0"/>
        <w:autoSpaceDE/>
        <w:autoSpaceDN/>
        <w:bidi w:val="0"/>
        <w:adjustRightInd/>
        <w:snapToGrid/>
        <w:spacing w:after="157" w:afterLines="50" w:line="360" w:lineRule="auto"/>
        <w:textAlignment w:val="auto"/>
        <w:rPr>
          <w:rFonts w:hint="default" w:ascii="Times New Roman" w:hAnsi="Times New Roman" w:cs="Times New Roman"/>
          <w:b w:val="0"/>
          <w:bCs/>
          <w:color w:val="auto"/>
          <w:sz w:val="20"/>
          <w:szCs w:val="20"/>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val="0"/>
          <w:bCs/>
          <w:color w:val="auto"/>
          <w:sz w:val="20"/>
          <w:szCs w:val="20"/>
          <w:highlight w:val="none"/>
          <w:lang w:val="en-US" w:eastAsia="zh-CN"/>
        </w:rPr>
        <w:t xml:space="preserve">Each value represents the mean ± SE (n = 5). Different lowercase letters </w:t>
      </w:r>
      <w:r>
        <w:rPr>
          <w:rFonts w:hint="default" w:ascii="Times New Roman" w:hAnsi="Times New Roman" w:cs="Times New Roman"/>
          <w:bCs/>
          <w:color w:val="auto"/>
          <w:sz w:val="20"/>
          <w:szCs w:val="20"/>
          <w:highlight w:val="none"/>
        </w:rPr>
        <w:t xml:space="preserve">following the means in the </w:t>
      </w:r>
      <w:bookmarkStart w:id="5" w:name="_GoBack"/>
      <w:bookmarkEnd w:id="5"/>
      <w:r>
        <w:rPr>
          <w:rFonts w:hint="default" w:ascii="Times New Roman" w:hAnsi="Times New Roman" w:cs="Times New Roman"/>
          <w:bCs/>
          <w:color w:val="auto"/>
          <w:sz w:val="20"/>
          <w:szCs w:val="20"/>
          <w:highlight w:val="none"/>
        </w:rPr>
        <w:t>same column</w:t>
      </w:r>
      <w:r>
        <w:rPr>
          <w:rFonts w:hint="default" w:ascii="Times New Roman" w:hAnsi="Times New Roman" w:cs="Times New Roman"/>
          <w:bCs/>
          <w:color w:val="auto"/>
          <w:sz w:val="20"/>
          <w:szCs w:val="20"/>
          <w:highlight w:val="none"/>
          <w:lang w:val="en-US" w:eastAsia="zh-CN"/>
        </w:rPr>
        <w:t xml:space="preserve"> denote</w:t>
      </w:r>
      <w:r>
        <w:rPr>
          <w:rFonts w:hint="default" w:ascii="Times New Roman" w:hAnsi="Times New Roman" w:cs="Times New Roman"/>
          <w:b w:val="0"/>
          <w:bCs/>
          <w:color w:val="auto"/>
          <w:sz w:val="20"/>
          <w:szCs w:val="20"/>
          <w:highlight w:val="none"/>
          <w:lang w:val="en-US" w:eastAsia="zh-CN"/>
        </w:rPr>
        <w:t xml:space="preserve"> significant differences among different three soil depths in single sampling time (</w:t>
      </w:r>
      <w:r>
        <w:rPr>
          <w:rFonts w:hint="eastAsia" w:ascii="Times New Roman" w:hAnsi="Times New Roman" w:cs="Times New Roman"/>
          <w:b w:val="0"/>
          <w:bCs/>
          <w:i/>
          <w:iCs/>
          <w:color w:val="auto"/>
          <w:sz w:val="20"/>
          <w:szCs w:val="20"/>
          <w:highlight w:val="none"/>
          <w:lang w:val="en-US" w:eastAsia="zh-CN"/>
        </w:rPr>
        <w:t>P</w:t>
      </w:r>
      <w:r>
        <w:rPr>
          <w:rFonts w:hint="default" w:ascii="Times New Roman" w:hAnsi="Times New Roman" w:cs="Times New Roman"/>
          <w:b w:val="0"/>
          <w:bCs/>
          <w:color w:val="auto"/>
          <w:sz w:val="20"/>
          <w:szCs w:val="20"/>
          <w:highlight w:val="none"/>
          <w:lang w:val="en-US" w:eastAsia="zh-CN"/>
        </w:rPr>
        <w:t xml:space="preserve"> &lt; 0.05</w:t>
      </w:r>
      <w:r>
        <w:rPr>
          <w:rFonts w:hint="eastAsia" w:ascii="Times New Roman" w:hAnsi="Times New Roman" w:cs="Times New Roman"/>
          <w:b w:val="0"/>
          <w:bCs/>
          <w:color w:val="auto"/>
          <w:sz w:val="20"/>
          <w:szCs w:val="20"/>
          <w:highlight w:val="none"/>
          <w:lang w:val="en-US" w:eastAsia="zh-CN"/>
        </w:rPr>
        <w:t>)</w:t>
      </w:r>
    </w:p>
    <w:p>
      <w:pPr>
        <w:rPr>
          <w:rFonts w:hint="default" w:ascii="Times New Roman" w:hAnsi="Times New Roman" w:cs="Times New Roman"/>
          <w:b w:val="0"/>
          <w:bCs/>
          <w:color w:val="auto"/>
          <w:sz w:val="20"/>
          <w:szCs w:val="20"/>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eastAsia="宋体" w:cs="Times New Roman"/>
          <w:b/>
          <w:bCs w:val="0"/>
          <w:color w:val="auto"/>
          <w:sz w:val="21"/>
          <w:szCs w:val="21"/>
          <w:lang w:val="en-US" w:eastAsia="zh-CN"/>
        </w:rPr>
        <w:t>Table S</w:t>
      </w:r>
      <w:r>
        <w:rPr>
          <w:rFonts w:hint="eastAsia" w:ascii="Times New Roman" w:hAnsi="Times New Roman" w:eastAsia="宋体" w:cs="Times New Roman"/>
          <w:b/>
          <w:bCs w:val="0"/>
          <w:color w:val="auto"/>
          <w:sz w:val="21"/>
          <w:szCs w:val="21"/>
          <w:lang w:val="en-US" w:eastAsia="zh-CN"/>
        </w:rPr>
        <w:t>3</w:t>
      </w:r>
      <w:r>
        <w:rPr>
          <w:rFonts w:hint="default" w:ascii="Times New Roman" w:hAnsi="Times New Roman" w:eastAsia="宋体" w:cs="Times New Roman"/>
          <w:b/>
          <w:bCs w:val="0"/>
          <w:color w:val="auto"/>
          <w:sz w:val="21"/>
          <w:szCs w:val="21"/>
          <w:lang w:val="en-US" w:eastAsia="zh-CN"/>
        </w:rPr>
        <w:t>.</w:t>
      </w:r>
      <w:r>
        <w:rPr>
          <w:rFonts w:hint="default" w:ascii="Times New Roman" w:hAnsi="Times New Roman" w:eastAsia="宋体" w:cs="Times New Roman"/>
          <w:b w:val="0"/>
          <w:bCs/>
          <w:color w:val="auto"/>
          <w:sz w:val="21"/>
          <w:szCs w:val="21"/>
          <w:lang w:val="en-US" w:eastAsia="zh-CN"/>
        </w:rPr>
        <w:t xml:space="preserve"> Vertical distribution patterns of root properties, soil physicochemical and biological properties</w:t>
      </w:r>
    </w:p>
    <w:tbl>
      <w:tblPr>
        <w:tblStyle w:val="3"/>
        <w:tblpPr w:leftFromText="180" w:rightFromText="180" w:vertAnchor="text" w:horzAnchor="page" w:tblpXSpec="center" w:tblpY="126"/>
        <w:tblOverlap w:val="never"/>
        <w:tblW w:w="13622" w:type="dxa"/>
        <w:jc w:val="center"/>
        <w:shd w:val="clear" w:color="auto" w:fill="auto"/>
        <w:tblLayout w:type="fixed"/>
        <w:tblCellMar>
          <w:top w:w="0" w:type="dxa"/>
          <w:left w:w="0" w:type="dxa"/>
          <w:bottom w:w="0" w:type="dxa"/>
          <w:right w:w="0" w:type="dxa"/>
        </w:tblCellMar>
      </w:tblPr>
      <w:tblGrid>
        <w:gridCol w:w="1027"/>
        <w:gridCol w:w="953"/>
        <w:gridCol w:w="1682"/>
        <w:gridCol w:w="1575"/>
        <w:gridCol w:w="1543"/>
        <w:gridCol w:w="1761"/>
        <w:gridCol w:w="1293"/>
        <w:gridCol w:w="1168"/>
        <w:gridCol w:w="1210"/>
        <w:gridCol w:w="1410"/>
      </w:tblGrid>
      <w:tr>
        <w:tblPrEx>
          <w:shd w:val="clear" w:color="auto" w:fill="auto"/>
          <w:tblCellMar>
            <w:top w:w="0" w:type="dxa"/>
            <w:left w:w="0" w:type="dxa"/>
            <w:bottom w:w="0" w:type="dxa"/>
            <w:right w:w="0" w:type="dxa"/>
          </w:tblCellMar>
        </w:tblPrEx>
        <w:trPr>
          <w:trHeight w:val="315" w:hRule="atLeast"/>
          <w:jc w:val="center"/>
        </w:trPr>
        <w:tc>
          <w:tcPr>
            <w:tcW w:w="1027"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Sampling</w:t>
            </w:r>
          </w:p>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time</w:t>
            </w:r>
          </w:p>
        </w:tc>
        <w:tc>
          <w:tcPr>
            <w:tcW w:w="95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Soil depth</w:t>
            </w:r>
          </w:p>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(cm)</w:t>
            </w:r>
          </w:p>
        </w:tc>
        <w:tc>
          <w:tcPr>
            <w:tcW w:w="1682"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Microbial biomass carbon</w:t>
            </w:r>
            <w:r>
              <w:rPr>
                <w:rFonts w:hint="default" w:ascii="Times New Roman" w:hAnsi="Times New Roman" w:eastAsia="宋体" w:cs="Times New Roman"/>
                <w:i/>
                <w:iCs/>
                <w:color w:val="000000"/>
                <w:kern w:val="0"/>
                <w:sz w:val="21"/>
                <w:szCs w:val="21"/>
                <w:u w:val="none"/>
                <w:lang w:val="en-US" w:eastAsia="zh-CN" w:bidi="ar"/>
              </w:rPr>
              <w:t xml:space="preserve"> </w:t>
            </w:r>
            <w:r>
              <w:rPr>
                <w:rFonts w:hint="default" w:ascii="Times New Roman" w:hAnsi="Times New Roman" w:eastAsia="宋体" w:cs="Times New Roman"/>
                <w:b w:val="0"/>
                <w:bCs w:val="0"/>
                <w:i w:val="0"/>
                <w:color w:val="000000"/>
                <w:kern w:val="0"/>
                <w:sz w:val="21"/>
                <w:szCs w:val="21"/>
                <w:u w:val="none"/>
                <w:lang w:val="en-US" w:eastAsia="zh-CN" w:bidi="ar"/>
              </w:rPr>
              <w:t>(mg/kg)</w:t>
            </w:r>
          </w:p>
        </w:tc>
        <w:tc>
          <w:tcPr>
            <w:tcW w:w="1575"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default" w:ascii="Times New Roman" w:hAnsi="Times New Roman" w:cs="Times New Roman"/>
                <w:i w:val="0"/>
                <w:iCs w:val="0"/>
                <w:color w:val="000000"/>
                <w:kern w:val="0"/>
                <w:sz w:val="21"/>
                <w:szCs w:val="21"/>
                <w:u w:val="none"/>
                <w:lang w:val="en-US" w:eastAsia="zh-CN" w:bidi="ar"/>
              </w:rPr>
              <w:t xml:space="preserve">Enzyme activity </w:t>
            </w:r>
            <w:r>
              <w:rPr>
                <w:rFonts w:hint="default" w:ascii="Times New Roman" w:hAnsi="Times New Roman" w:eastAsia="宋体" w:cs="Times New Roman"/>
                <w:b w:val="0"/>
                <w:bCs w:val="0"/>
                <w:i w:val="0"/>
                <w:color w:val="000000"/>
                <w:kern w:val="0"/>
                <w:sz w:val="21"/>
                <w:szCs w:val="21"/>
                <w:u w:val="none"/>
                <w:lang w:val="en-US" w:eastAsia="zh-CN" w:bidi="ar"/>
              </w:rPr>
              <w:t>(mmol/g/h)</w:t>
            </w:r>
          </w:p>
        </w:tc>
        <w:tc>
          <w:tcPr>
            <w:tcW w:w="154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Root biomass</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(g/m</w:t>
            </w:r>
            <w:r>
              <w:rPr>
                <w:rFonts w:hint="default" w:ascii="Times New Roman" w:hAnsi="Times New Roman" w:eastAsia="宋体" w:cs="Times New Roman"/>
                <w:i w:val="0"/>
                <w:color w:val="000000"/>
                <w:kern w:val="0"/>
                <w:sz w:val="21"/>
                <w:szCs w:val="21"/>
                <w:u w:val="none"/>
                <w:vertAlign w:val="superscript"/>
                <w:lang w:val="en-US" w:eastAsia="zh-CN" w:bidi="ar"/>
              </w:rPr>
              <w:t>2</w:t>
            </w:r>
            <w:r>
              <w:rPr>
                <w:rFonts w:hint="default" w:ascii="Times New Roman" w:hAnsi="Times New Roman" w:eastAsia="宋体" w:cs="Times New Roman"/>
                <w:i w:val="0"/>
                <w:color w:val="000000"/>
                <w:kern w:val="0"/>
                <w:sz w:val="21"/>
                <w:szCs w:val="21"/>
                <w:u w:val="none"/>
                <w:lang w:val="en-US" w:eastAsia="zh-CN" w:bidi="ar"/>
              </w:rPr>
              <w:t>)</w:t>
            </w:r>
          </w:p>
        </w:tc>
        <w:tc>
          <w:tcPr>
            <w:tcW w:w="1761"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b w:val="0"/>
                <w:bCs w:val="0"/>
                <w:i w:val="0"/>
                <w:color w:val="000000"/>
                <w:kern w:val="0"/>
                <w:sz w:val="21"/>
                <w:szCs w:val="21"/>
                <w:u w:val="none"/>
                <w:lang w:val="en-US" w:eastAsia="zh-CN" w:bidi="ar"/>
              </w:rPr>
              <w:t>Specific root length (m/g)</w:t>
            </w:r>
          </w:p>
        </w:tc>
        <w:tc>
          <w:tcPr>
            <w:tcW w:w="129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C / N</w:t>
            </w:r>
          </w:p>
        </w:tc>
        <w:tc>
          <w:tcPr>
            <w:tcW w:w="1168"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pH</w:t>
            </w:r>
          </w:p>
        </w:tc>
        <w:tc>
          <w:tcPr>
            <w:tcW w:w="121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Fe-MOC </w:t>
            </w:r>
            <w:r>
              <w:rPr>
                <w:rFonts w:hint="default" w:ascii="Times New Roman" w:hAnsi="Times New Roman" w:eastAsia="宋体" w:cs="Times New Roman"/>
                <w:b w:val="0"/>
                <w:bCs w:val="0"/>
                <w:i w:val="0"/>
                <w:color w:val="000000"/>
                <w:kern w:val="0"/>
                <w:sz w:val="21"/>
                <w:szCs w:val="21"/>
                <w:u w:val="none"/>
                <w:lang w:val="en-US" w:eastAsia="zh-CN" w:bidi="ar"/>
              </w:rPr>
              <w:t>(mg/g)</w:t>
            </w:r>
          </w:p>
        </w:tc>
        <w:tc>
          <w:tcPr>
            <w:tcW w:w="141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Al-MOC</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b w:val="0"/>
                <w:bCs w:val="0"/>
                <w:i w:val="0"/>
                <w:color w:val="000000"/>
                <w:kern w:val="0"/>
                <w:sz w:val="21"/>
                <w:szCs w:val="21"/>
                <w:u w:val="none"/>
                <w:lang w:val="en-US" w:eastAsia="zh-CN" w:bidi="ar"/>
              </w:rPr>
              <w:t>(mg/g)</w:t>
            </w:r>
          </w:p>
        </w:tc>
      </w:tr>
      <w:tr>
        <w:tblPrEx>
          <w:shd w:val="clear" w:color="auto" w:fill="auto"/>
          <w:tblCellMar>
            <w:top w:w="0" w:type="dxa"/>
            <w:left w:w="0" w:type="dxa"/>
            <w:bottom w:w="0" w:type="dxa"/>
            <w:right w:w="0" w:type="dxa"/>
          </w:tblCellMar>
        </w:tblPrEx>
        <w:trPr>
          <w:trHeight w:val="315" w:hRule="atLeast"/>
          <w:jc w:val="center"/>
        </w:trPr>
        <w:tc>
          <w:tcPr>
            <w:tcW w:w="1027" w:type="dxa"/>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July</w:t>
            </w: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327.99(12.19)a</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540.28(31.02)a</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320.20(43.05)a</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6.46(0.20)c</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17.55(0.61)a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6.16(0.08)b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0.34(0.04)a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0.23(0.02)a</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10-20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236.67(3.03)b</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426.93(10.26)b</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193.80(13.39)b</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8.10(0.42)b</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16.79(0.16)a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6.29(0.04)b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0.27(0.02)a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0.18(0.02)b</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20-30</w:t>
            </w:r>
          </w:p>
        </w:tc>
        <w:tc>
          <w:tcPr>
            <w:tcW w:w="1682"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176.65(5.71)c</w:t>
            </w:r>
          </w:p>
        </w:tc>
        <w:tc>
          <w:tcPr>
            <w:tcW w:w="1575"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291.03(7.64)c</w:t>
            </w:r>
          </w:p>
        </w:tc>
        <w:tc>
          <w:tcPr>
            <w:tcW w:w="154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90.93(12.80)c</w:t>
            </w:r>
          </w:p>
        </w:tc>
        <w:tc>
          <w:tcPr>
            <w:tcW w:w="1761"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9.80(0.59)a</w:t>
            </w:r>
          </w:p>
        </w:tc>
        <w:tc>
          <w:tcPr>
            <w:tcW w:w="129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16.42(0.10)a</w:t>
            </w:r>
          </w:p>
        </w:tc>
        <w:tc>
          <w:tcPr>
            <w:tcW w:w="1168"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6.68(0.03)a</w:t>
            </w:r>
          </w:p>
        </w:tc>
        <w:tc>
          <w:tcPr>
            <w:tcW w:w="12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0.13(0.01)b</w:t>
            </w:r>
          </w:p>
        </w:tc>
        <w:tc>
          <w:tcPr>
            <w:tcW w:w="14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0.09(0.01)c</w:t>
            </w:r>
          </w:p>
        </w:tc>
      </w:tr>
      <w:tr>
        <w:tblPrEx>
          <w:shd w:val="clear" w:color="auto" w:fill="auto"/>
          <w:tblCellMar>
            <w:top w:w="0" w:type="dxa"/>
            <w:left w:w="0" w:type="dxa"/>
            <w:bottom w:w="0" w:type="dxa"/>
            <w:right w:w="0" w:type="dxa"/>
          </w:tblCellMar>
        </w:tblPrEx>
        <w:trPr>
          <w:trHeight w:val="315" w:hRule="atLeast"/>
          <w:jc w:val="center"/>
        </w:trPr>
        <w:tc>
          <w:tcPr>
            <w:tcW w:w="1027" w:type="dxa"/>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October</w:t>
            </w: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276.04(3.31)a</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483.94(14.19)a</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289.81(8.44)a</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6.57(0.22)b</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19.47(1.66)a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6.60(0.01)b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0.33(0.06)a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0.25(0.02)a</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10-20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200.01(8.81)b</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377.33(12.19)b</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164.14(3.88)b</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8.35(1.00)ab</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17.51(0.85)a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6.86(0.10)b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0.27(0.06)a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0.20(0.02)a</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20-30</w:t>
            </w:r>
          </w:p>
        </w:tc>
        <w:tc>
          <w:tcPr>
            <w:tcW w:w="1682"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127.39(4.61)c</w:t>
            </w:r>
          </w:p>
        </w:tc>
        <w:tc>
          <w:tcPr>
            <w:tcW w:w="1575"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255.94(3.23)c</w:t>
            </w:r>
          </w:p>
        </w:tc>
        <w:tc>
          <w:tcPr>
            <w:tcW w:w="154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75.96(1.66)c</w:t>
            </w:r>
          </w:p>
        </w:tc>
        <w:tc>
          <w:tcPr>
            <w:tcW w:w="1761"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9.35(0.43)a</w:t>
            </w:r>
          </w:p>
        </w:tc>
        <w:tc>
          <w:tcPr>
            <w:tcW w:w="129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17.35(0.34)a</w:t>
            </w:r>
          </w:p>
        </w:tc>
        <w:tc>
          <w:tcPr>
            <w:tcW w:w="1168"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7.25(0.09)a</w:t>
            </w:r>
          </w:p>
        </w:tc>
        <w:tc>
          <w:tcPr>
            <w:tcW w:w="12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0.14(0.03)b</w:t>
            </w:r>
          </w:p>
        </w:tc>
        <w:tc>
          <w:tcPr>
            <w:tcW w:w="14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0.08(0.02)b</w:t>
            </w:r>
          </w:p>
        </w:tc>
      </w:tr>
      <w:tr>
        <w:tblPrEx>
          <w:shd w:val="clear" w:color="auto" w:fill="auto"/>
          <w:tblCellMar>
            <w:top w:w="0" w:type="dxa"/>
            <w:left w:w="0" w:type="dxa"/>
            <w:bottom w:w="0" w:type="dxa"/>
            <w:right w:w="0" w:type="dxa"/>
          </w:tblCellMar>
        </w:tblPrEx>
        <w:trPr>
          <w:trHeight w:val="315" w:hRule="atLeast"/>
          <w:jc w:val="center"/>
        </w:trPr>
        <w:tc>
          <w:tcPr>
            <w:tcW w:w="1027" w:type="dxa"/>
            <w:vMerge w:val="restar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Mean</w:t>
            </w: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302.01(31.64)a</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512.11(48.46)a</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305.01(50.86)a</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6.52(0.33)c</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18.51(2.20)a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6.38(0.26)b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0.33(0.08)a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0.24(0.03)a</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10-20</w:t>
            </w:r>
          </w:p>
        </w:tc>
        <w:tc>
          <w:tcPr>
            <w:tcW w:w="168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218.34(22.53)b</w:t>
            </w:r>
          </w:p>
        </w:tc>
        <w:tc>
          <w:tcPr>
            <w:tcW w:w="15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402.13(32.29)b</w:t>
            </w:r>
          </w:p>
        </w:tc>
        <w:tc>
          <w:tcPr>
            <w:tcW w:w="15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178.97(22.29)b</w:t>
            </w:r>
          </w:p>
        </w:tc>
        <w:tc>
          <w:tcPr>
            <w:tcW w:w="17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8.22(1.20)b</w:t>
            </w:r>
          </w:p>
        </w:tc>
        <w:tc>
          <w:tcPr>
            <w:tcW w:w="129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17.15(1.03)a</w:t>
            </w:r>
          </w:p>
        </w:tc>
        <w:tc>
          <w:tcPr>
            <w:tcW w:w="116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6.58(0.33)b</w:t>
            </w:r>
          </w:p>
        </w:tc>
        <w:tc>
          <w:tcPr>
            <w:tcW w:w="12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0.27(0.07)a</w:t>
            </w:r>
          </w:p>
        </w:tc>
        <w:tc>
          <w:tcPr>
            <w:tcW w:w="141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0.19(0.03)b</w:t>
            </w:r>
          </w:p>
        </w:tc>
      </w:tr>
      <w:tr>
        <w:tblPrEx>
          <w:shd w:val="clear" w:color="auto" w:fill="auto"/>
          <w:tblCellMar>
            <w:top w:w="0" w:type="dxa"/>
            <w:left w:w="0" w:type="dxa"/>
            <w:bottom w:w="0" w:type="dxa"/>
            <w:right w:w="0" w:type="dxa"/>
          </w:tblCellMar>
        </w:tblPrEx>
        <w:trPr>
          <w:trHeight w:val="315" w:hRule="atLeast"/>
          <w:jc w:val="center"/>
        </w:trPr>
        <w:tc>
          <w:tcPr>
            <w:tcW w:w="1027" w:type="dxa"/>
            <w:vMerge w:val="continue"/>
            <w:tcBorders>
              <w:top w:val="nil"/>
              <w:left w:val="nil"/>
              <w:bottom w:val="single" w:color="auto" w:sz="4"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20-30</w:t>
            </w:r>
          </w:p>
        </w:tc>
        <w:tc>
          <w:tcPr>
            <w:tcW w:w="1682"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152.02(28.15)c</w:t>
            </w:r>
          </w:p>
        </w:tc>
        <w:tc>
          <w:tcPr>
            <w:tcW w:w="1575"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273.49(21.26)c</w:t>
            </w:r>
          </w:p>
        </w:tc>
        <w:tc>
          <w:tcPr>
            <w:tcW w:w="154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83.44(16.35)c</w:t>
            </w:r>
          </w:p>
        </w:tc>
        <w:tc>
          <w:tcPr>
            <w:tcW w:w="1761"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9.58(0.83)a</w:t>
            </w:r>
          </w:p>
        </w:tc>
        <w:tc>
          <w:tcPr>
            <w:tcW w:w="1293"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16.89(0.64)a</w:t>
            </w:r>
          </w:p>
        </w:tc>
        <w:tc>
          <w:tcPr>
            <w:tcW w:w="1168"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6.96(0.33)a</w:t>
            </w:r>
          </w:p>
        </w:tc>
        <w:tc>
          <w:tcPr>
            <w:tcW w:w="12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0.13(0.03)b</w:t>
            </w:r>
          </w:p>
        </w:tc>
        <w:tc>
          <w:tcPr>
            <w:tcW w:w="1410"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0.09(0.02)c</w:t>
            </w:r>
          </w:p>
        </w:tc>
      </w:tr>
    </w:tbl>
    <w:p>
      <w:pPr>
        <w:keepNext w:val="0"/>
        <w:keepLines w:val="0"/>
        <w:pageBreakBefore w:val="0"/>
        <w:widowControl w:val="0"/>
        <w:kinsoku/>
        <w:wordWrap/>
        <w:overflowPunct/>
        <w:topLinePunct w:val="0"/>
        <w:autoSpaceDE/>
        <w:autoSpaceDN/>
        <w:bidi w:val="0"/>
        <w:adjustRightInd/>
        <w:snapToGrid/>
        <w:spacing w:after="157" w:afterLines="50" w:line="360" w:lineRule="auto"/>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Each value represents the mean ± SE (n = 5). Different lowercase letters following the means in the same column denote significant differences among different three soil depths in single sampling time (</w:t>
      </w:r>
      <w:r>
        <w:rPr>
          <w:rFonts w:hint="eastAsia" w:ascii="Times New Roman" w:hAnsi="Times New Roman" w:cs="Times New Roman"/>
          <w:b w:val="0"/>
          <w:bCs/>
          <w:i/>
          <w:iCs/>
          <w:color w:val="auto"/>
          <w:sz w:val="21"/>
          <w:szCs w:val="21"/>
          <w:lang w:val="en-US" w:eastAsia="zh-CN"/>
        </w:rPr>
        <w:t xml:space="preserve">P </w:t>
      </w:r>
      <w:r>
        <w:rPr>
          <w:rFonts w:hint="default" w:ascii="Times New Roman" w:hAnsi="Times New Roman" w:cs="Times New Roman"/>
          <w:b w:val="0"/>
          <w:bCs/>
          <w:color w:val="auto"/>
          <w:sz w:val="21"/>
          <w:szCs w:val="21"/>
          <w:lang w:val="en-US" w:eastAsia="zh-CN"/>
        </w:rPr>
        <w:t xml:space="preserve">&lt; 0.05). </w:t>
      </w:r>
    </w:p>
    <w:p>
      <w:pPr>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br w:type="page"/>
      </w: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cs="Times New Roman"/>
          <w:b w:val="0"/>
          <w:bCs/>
          <w:color w:val="auto"/>
          <w:sz w:val="21"/>
          <w:szCs w:val="21"/>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bCs w:val="0"/>
          <w:color w:val="auto"/>
          <w:sz w:val="21"/>
          <w:szCs w:val="21"/>
          <w:lang w:val="en-US" w:eastAsia="zh-CN"/>
        </w:rPr>
        <w:t>Table S</w:t>
      </w:r>
      <w:r>
        <w:rPr>
          <w:rFonts w:hint="eastAsia" w:ascii="Times New Roman" w:hAnsi="Times New Roman" w:eastAsia="宋体" w:cs="Times New Roman"/>
          <w:b/>
          <w:bCs w:val="0"/>
          <w:color w:val="auto"/>
          <w:sz w:val="21"/>
          <w:szCs w:val="21"/>
          <w:lang w:val="en-US" w:eastAsia="zh-CN"/>
        </w:rPr>
        <w:t>4</w:t>
      </w:r>
      <w:r>
        <w:rPr>
          <w:rFonts w:hint="default" w:ascii="Times New Roman" w:hAnsi="Times New Roman" w:eastAsia="宋体" w:cs="Times New Roman"/>
          <w:b/>
          <w:bCs w:val="0"/>
          <w:color w:val="auto"/>
          <w:sz w:val="21"/>
          <w:szCs w:val="21"/>
          <w:lang w:val="en-US" w:eastAsia="zh-CN"/>
        </w:rPr>
        <w:t xml:space="preserve">. </w:t>
      </w:r>
      <w:r>
        <w:rPr>
          <w:rFonts w:hint="default" w:ascii="Times New Roman" w:hAnsi="Times New Roman" w:eastAsia="宋体" w:cs="Times New Roman"/>
          <w:b w:val="0"/>
          <w:bCs/>
          <w:color w:val="auto"/>
          <w:sz w:val="21"/>
          <w:szCs w:val="21"/>
          <w:lang w:val="en-US" w:eastAsia="zh-CN"/>
        </w:rPr>
        <w:t>Results of the repeated measures ANOVA showing the effects of soil depths (</w:t>
      </w:r>
      <w:r>
        <w:rPr>
          <w:rFonts w:hint="default" w:ascii="Times New Roman" w:hAnsi="Times New Roman" w:eastAsia="宋体" w:cs="Times New Roman"/>
          <w:b w:val="0"/>
          <w:bCs/>
          <w:i/>
          <w:iCs/>
          <w:color w:val="auto"/>
          <w:sz w:val="21"/>
          <w:szCs w:val="21"/>
          <w:lang w:val="en-US" w:eastAsia="zh-CN"/>
        </w:rPr>
        <w:t>D</w:t>
      </w:r>
      <w:r>
        <w:rPr>
          <w:rFonts w:hint="default" w:ascii="Times New Roman" w:hAnsi="Times New Roman" w:eastAsia="宋体" w:cs="Times New Roman"/>
          <w:b w:val="0"/>
          <w:bCs/>
          <w:color w:val="auto"/>
          <w:sz w:val="21"/>
          <w:szCs w:val="21"/>
          <w:lang w:val="en-US" w:eastAsia="zh-CN"/>
        </w:rPr>
        <w:t>), sampling time (</w:t>
      </w:r>
      <w:r>
        <w:rPr>
          <w:rFonts w:hint="default" w:ascii="Times New Roman" w:hAnsi="Times New Roman" w:eastAsia="宋体" w:cs="Times New Roman"/>
          <w:b w:val="0"/>
          <w:bCs/>
          <w:i/>
          <w:iCs/>
          <w:color w:val="auto"/>
          <w:sz w:val="21"/>
          <w:szCs w:val="21"/>
          <w:lang w:val="en-US" w:eastAsia="zh-CN"/>
        </w:rPr>
        <w:t>T</w:t>
      </w:r>
      <w:r>
        <w:rPr>
          <w:rFonts w:hint="default" w:ascii="Times New Roman" w:hAnsi="Times New Roman" w:eastAsia="宋体" w:cs="Times New Roman"/>
          <w:b w:val="0"/>
          <w:bCs/>
          <w:color w:val="auto"/>
          <w:sz w:val="21"/>
          <w:szCs w:val="21"/>
          <w:lang w:val="en-US" w:eastAsia="zh-CN"/>
        </w:rPr>
        <w:t>), and their interaction (</w:t>
      </w:r>
      <w:r>
        <w:rPr>
          <w:rFonts w:hint="default" w:ascii="Times New Roman" w:hAnsi="Times New Roman" w:eastAsia="宋体" w:cs="Times New Roman"/>
          <w:b w:val="0"/>
          <w:bCs/>
          <w:i/>
          <w:iCs/>
          <w:color w:val="auto"/>
          <w:sz w:val="21"/>
          <w:szCs w:val="21"/>
          <w:lang w:val="en-US" w:eastAsia="zh-CN"/>
        </w:rPr>
        <w:t xml:space="preserve">D </w:t>
      </w:r>
      <w:r>
        <w:rPr>
          <w:rFonts w:hint="default" w:ascii="Times New Roman" w:hAnsi="Times New Roman" w:eastAsia="宋体" w:cs="Times New Roman"/>
          <w:b w:val="0"/>
          <w:bCs/>
          <w:color w:val="auto"/>
          <w:sz w:val="21"/>
          <w:szCs w:val="21"/>
          <w:lang w:val="en-US" w:eastAsia="zh-CN"/>
        </w:rPr>
        <w:t xml:space="preserve">× </w:t>
      </w:r>
      <w:r>
        <w:rPr>
          <w:rFonts w:hint="default" w:ascii="Times New Roman" w:hAnsi="Times New Roman" w:eastAsia="宋体" w:cs="Times New Roman"/>
          <w:b w:val="0"/>
          <w:bCs/>
          <w:i/>
          <w:iCs/>
          <w:color w:val="auto"/>
          <w:sz w:val="21"/>
          <w:szCs w:val="21"/>
          <w:lang w:val="en-US" w:eastAsia="zh-CN"/>
        </w:rPr>
        <w:t>T</w:t>
      </w:r>
      <w:r>
        <w:rPr>
          <w:rFonts w:hint="default" w:ascii="Times New Roman" w:hAnsi="Times New Roman" w:eastAsia="宋体" w:cs="Times New Roman"/>
          <w:b w:val="0"/>
          <w:bCs/>
          <w:color w:val="auto"/>
          <w:sz w:val="21"/>
          <w:szCs w:val="21"/>
          <w:lang w:val="en-US" w:eastAsia="zh-CN"/>
        </w:rPr>
        <w:t>) on concentration and contribution of soil C components of rhizosphere</w:t>
      </w:r>
    </w:p>
    <w:tbl>
      <w:tblPr>
        <w:tblStyle w:val="3"/>
        <w:tblW w:w="8070" w:type="dxa"/>
        <w:jc w:val="center"/>
        <w:shd w:val="clear" w:color="auto" w:fill="auto"/>
        <w:tblLayout w:type="fixed"/>
        <w:tblCellMar>
          <w:top w:w="0" w:type="dxa"/>
          <w:left w:w="0" w:type="dxa"/>
          <w:bottom w:w="0" w:type="dxa"/>
          <w:right w:w="0" w:type="dxa"/>
        </w:tblCellMar>
      </w:tblPr>
      <w:tblGrid>
        <w:gridCol w:w="2959"/>
        <w:gridCol w:w="1457"/>
        <w:gridCol w:w="1918"/>
        <w:gridCol w:w="1736"/>
      </w:tblGrid>
      <w:tr>
        <w:tblPrEx>
          <w:shd w:val="clear" w:color="auto" w:fill="auto"/>
          <w:tblCellMar>
            <w:top w:w="0" w:type="dxa"/>
            <w:left w:w="0" w:type="dxa"/>
            <w:bottom w:w="0" w:type="dxa"/>
            <w:right w:w="0" w:type="dxa"/>
          </w:tblCellMar>
        </w:tblPrEx>
        <w:trPr>
          <w:trHeight w:val="315" w:hRule="atLeast"/>
          <w:jc w:val="center"/>
        </w:trPr>
        <w:tc>
          <w:tcPr>
            <w:tcW w:w="2959" w:type="dxa"/>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bookmarkStart w:id="4" w:name="OLE_LINK7"/>
          </w:p>
        </w:tc>
        <w:tc>
          <w:tcPr>
            <w:tcW w:w="1457" w:type="dxa"/>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Soil depth (</w:t>
            </w:r>
            <w:r>
              <w:rPr>
                <w:rFonts w:hint="default" w:ascii="Times New Roman" w:hAnsi="Times New Roman" w:eastAsia="宋体" w:cs="Times New Roman"/>
                <w:i/>
                <w:iCs/>
                <w:color w:val="000000"/>
                <w:kern w:val="0"/>
                <w:sz w:val="21"/>
                <w:szCs w:val="21"/>
                <w:highlight w:val="none"/>
                <w:u w:val="none"/>
                <w:lang w:val="en-US" w:eastAsia="zh-CN" w:bidi="ar"/>
              </w:rPr>
              <w:t>D</w:t>
            </w:r>
            <w:r>
              <w:rPr>
                <w:rFonts w:hint="default" w:ascii="Times New Roman" w:hAnsi="Times New Roman" w:eastAsia="宋体" w:cs="Times New Roman"/>
                <w:i w:val="0"/>
                <w:color w:val="000000"/>
                <w:kern w:val="0"/>
                <w:sz w:val="21"/>
                <w:szCs w:val="21"/>
                <w:highlight w:val="none"/>
                <w:u w:val="none"/>
                <w:lang w:val="en-US" w:eastAsia="zh-CN" w:bidi="ar"/>
              </w:rPr>
              <w:t>)</w:t>
            </w:r>
          </w:p>
        </w:tc>
        <w:tc>
          <w:tcPr>
            <w:tcW w:w="1918" w:type="dxa"/>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Sampling time (</w:t>
            </w:r>
            <w:r>
              <w:rPr>
                <w:rFonts w:hint="default" w:ascii="Times New Roman" w:hAnsi="Times New Roman" w:eastAsia="宋体" w:cs="Times New Roman"/>
                <w:i/>
                <w:iCs/>
                <w:color w:val="000000"/>
                <w:kern w:val="0"/>
                <w:sz w:val="21"/>
                <w:szCs w:val="21"/>
                <w:highlight w:val="none"/>
                <w:u w:val="none"/>
                <w:lang w:val="en-US" w:eastAsia="zh-CN" w:bidi="ar"/>
              </w:rPr>
              <w:t>T</w:t>
            </w:r>
            <w:r>
              <w:rPr>
                <w:rFonts w:hint="default" w:ascii="Times New Roman" w:hAnsi="Times New Roman" w:eastAsia="宋体" w:cs="Times New Roman"/>
                <w:i w:val="0"/>
                <w:color w:val="000000"/>
                <w:kern w:val="0"/>
                <w:sz w:val="21"/>
                <w:szCs w:val="21"/>
                <w:highlight w:val="none"/>
                <w:u w:val="none"/>
                <w:lang w:val="en-US" w:eastAsia="zh-CN" w:bidi="ar"/>
              </w:rPr>
              <w:t>)</w:t>
            </w:r>
          </w:p>
        </w:tc>
        <w:tc>
          <w:tcPr>
            <w:tcW w:w="1736" w:type="dxa"/>
            <w:tcBorders>
              <w:top w:val="single" w:color="auto" w:sz="4" w:space="0"/>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iCs/>
                <w:color w:val="000000"/>
                <w:kern w:val="0"/>
                <w:sz w:val="21"/>
                <w:szCs w:val="21"/>
                <w:highlight w:val="none"/>
                <w:u w:val="none"/>
                <w:lang w:val="en-US" w:eastAsia="zh-CN" w:bidi="ar"/>
              </w:rPr>
              <w:t>D</w:t>
            </w: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宋体" w:cs="Times New Roman"/>
                <w:i/>
                <w:iCs/>
                <w:color w:val="000000"/>
                <w:kern w:val="0"/>
                <w:sz w:val="21"/>
                <w:szCs w:val="21"/>
                <w:highlight w:val="none"/>
                <w:u w:val="none"/>
                <w:lang w:val="en-US" w:eastAsia="zh-CN" w:bidi="ar"/>
              </w:rPr>
              <w:t>T</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Soil organic carbon (mg/g soil)</w:t>
            </w:r>
          </w:p>
        </w:tc>
        <w:tc>
          <w:tcPr>
            <w:tcW w:w="1457" w:type="dxa"/>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0.007</w:t>
            </w:r>
          </w:p>
        </w:tc>
        <w:tc>
          <w:tcPr>
            <w:tcW w:w="1736" w:type="dxa"/>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0.069</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MurA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0.023</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0.007</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GalN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0.012</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0.006</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0.025</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GluN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0.308</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0.134</w:t>
            </w:r>
          </w:p>
        </w:tc>
      </w:tr>
      <w:tr>
        <w:tblPrEx>
          <w:shd w:val="clear" w:color="auto" w:fill="auto"/>
          <w:tblCellMar>
            <w:top w:w="0" w:type="dxa"/>
            <w:left w:w="0" w:type="dxa"/>
            <w:bottom w:w="0" w:type="dxa"/>
            <w:right w:w="0" w:type="dxa"/>
          </w:tblCellMar>
        </w:tblPrEx>
        <w:trPr>
          <w:trHeight w:val="27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Amino sugar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0.257</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0.715</w:t>
            </w:r>
          </w:p>
        </w:tc>
      </w:tr>
      <w:tr>
        <w:tblPrEx>
          <w:shd w:val="clear" w:color="auto" w:fill="auto"/>
          <w:tblCellMar>
            <w:top w:w="0" w:type="dxa"/>
            <w:left w:w="0" w:type="dxa"/>
            <w:bottom w:w="0" w:type="dxa"/>
            <w:right w:w="0" w:type="dxa"/>
          </w:tblCellMar>
        </w:tblPrEx>
        <w:trPr>
          <w:trHeight w:val="36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Fungal residues C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0.205</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0.070</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Bacterial residues C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0.023</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0.007</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Microbial residues C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0.763</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0.575</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Long-chain fatty acids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val="0"/>
                <w:bCs w:val="0"/>
                <w:i w:val="0"/>
                <w:color w:val="000000"/>
                <w:kern w:val="0"/>
                <w:sz w:val="21"/>
                <w:szCs w:val="21"/>
                <w:highlight w:val="none"/>
                <w:u w:val="none"/>
                <w:lang w:val="en-US" w:eastAsia="zh-CN" w:bidi="ar"/>
              </w:rPr>
              <w:t>0.065</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0.398</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Cutin </w:t>
            </w:r>
            <w:r>
              <w:rPr>
                <w:rFonts w:hint="default" w:ascii="Times New Roman" w:hAnsi="Times New Roman" w:eastAsia="宋体" w:cs="Times New Roman"/>
                <w:i w:val="0"/>
                <w:color w:val="000000"/>
                <w:kern w:val="0"/>
                <w:sz w:val="21"/>
                <w:szCs w:val="21"/>
                <w:highlight w:val="none"/>
                <w:u w:val="none"/>
                <w:lang w:val="en-US" w:eastAsia="zh-CN" w:bidi="ar"/>
              </w:rPr>
              <w:t>(mg/g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0.040</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Suberin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Lignin phenols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0.044</w:t>
            </w:r>
          </w:p>
        </w:tc>
      </w:tr>
      <w:tr>
        <w:tblPrEx>
          <w:shd w:val="clear" w:color="auto" w:fill="auto"/>
          <w:tblCellMar>
            <w:top w:w="0" w:type="dxa"/>
            <w:left w:w="0" w:type="dxa"/>
            <w:bottom w:w="0" w:type="dxa"/>
            <w:right w:w="0" w:type="dxa"/>
          </w:tblCellMar>
        </w:tblPrEx>
        <w:trPr>
          <w:trHeight w:val="36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Plant-derived C (mg/g soil)</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r>
      <w:tr>
        <w:tblPrEx>
          <w:shd w:val="clear" w:color="auto" w:fill="auto"/>
          <w:tblCellMar>
            <w:top w:w="0" w:type="dxa"/>
            <w:left w:w="0" w:type="dxa"/>
            <w:bottom w:w="0" w:type="dxa"/>
            <w:right w:w="0" w:type="dxa"/>
          </w:tblCellMar>
        </w:tblPrEx>
        <w:trPr>
          <w:trHeight w:val="34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Fungal residues C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0.004</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0.021</w:t>
            </w:r>
          </w:p>
        </w:tc>
      </w:tr>
      <w:tr>
        <w:tblPrEx>
          <w:shd w:val="clear" w:color="auto" w:fill="auto"/>
          <w:tblCellMar>
            <w:top w:w="0" w:type="dxa"/>
            <w:left w:w="0" w:type="dxa"/>
            <w:bottom w:w="0" w:type="dxa"/>
            <w:right w:w="0" w:type="dxa"/>
          </w:tblCellMar>
        </w:tblPrEx>
        <w:trPr>
          <w:trHeight w:val="36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Bacterial residues C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0.102</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0.594</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0.121</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Microbial-derived C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0.003</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0.020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0.117</w:t>
            </w:r>
          </w:p>
        </w:tc>
      </w:tr>
      <w:tr>
        <w:tblPrEx>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Long-chain fatty acids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val="0"/>
                <w:bCs w:val="0"/>
                <w:i w:val="0"/>
                <w:color w:val="000000"/>
                <w:kern w:val="0"/>
                <w:sz w:val="21"/>
                <w:szCs w:val="21"/>
                <w:highlight w:val="none"/>
                <w:u w:val="none"/>
                <w:lang w:val="en-US" w:eastAsia="zh-CN" w:bidi="ar"/>
              </w:rPr>
              <w:t>0.873</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val="0"/>
                <w:bCs w:val="0"/>
                <w:i w:val="0"/>
                <w:color w:val="000000"/>
                <w:kern w:val="0"/>
                <w:sz w:val="21"/>
                <w:szCs w:val="21"/>
                <w:highlight w:val="none"/>
                <w:u w:val="none"/>
                <w:lang w:val="en-US" w:eastAsia="zh-CN" w:bidi="ar"/>
              </w:rPr>
              <w:t>0.151</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C</w:t>
            </w:r>
            <w:r>
              <w:rPr>
                <w:rFonts w:hint="default" w:ascii="Times New Roman" w:hAnsi="Times New Roman" w:eastAsia="宋体" w:cs="Times New Roman"/>
                <w:i w:val="0"/>
                <w:iCs w:val="0"/>
                <w:color w:val="000000"/>
                <w:kern w:val="0"/>
                <w:sz w:val="21"/>
                <w:szCs w:val="21"/>
                <w:highlight w:val="none"/>
                <w:u w:val="none"/>
                <w:lang w:val="en-US" w:eastAsia="zh-CN" w:bidi="ar"/>
              </w:rPr>
              <w:t>utin</w:t>
            </w:r>
            <w:r>
              <w:rPr>
                <w:rFonts w:hint="default" w:ascii="Times New Roman" w:hAnsi="Times New Roman" w:eastAsia="宋体" w:cs="Times New Roman"/>
                <w:i w:val="0"/>
                <w:color w:val="000000"/>
                <w:kern w:val="0"/>
                <w:sz w:val="21"/>
                <w:szCs w:val="21"/>
                <w:highlight w:val="none"/>
                <w:u w:val="none"/>
                <w:lang w:val="en-US" w:eastAsia="zh-CN" w:bidi="ar"/>
              </w:rPr>
              <w:t xml:space="preserve">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b/>
                <w:bCs/>
                <w:i w:val="0"/>
                <w:iCs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0.448</w:t>
            </w:r>
          </w:p>
        </w:tc>
      </w:tr>
      <w:tr>
        <w:tblPrEx>
          <w:shd w:val="clear" w:color="auto" w:fill="auto"/>
          <w:tblCellMar>
            <w:top w:w="0" w:type="dxa"/>
            <w:left w:w="0" w:type="dxa"/>
            <w:bottom w:w="0" w:type="dxa"/>
            <w:right w:w="0" w:type="dxa"/>
          </w:tblCellMar>
        </w:tblPrEx>
        <w:trPr>
          <w:trHeight w:val="33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Suberin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b/>
                <w:bCs/>
                <w:i w:val="0"/>
                <w:iCs w:val="0"/>
                <w:color w:val="000000"/>
                <w:kern w:val="0"/>
                <w:sz w:val="21"/>
                <w:szCs w:val="21"/>
                <w:highlight w:val="none"/>
                <w:u w:val="none"/>
                <w:lang w:val="en-US" w:eastAsia="zh-CN" w:bidi="ar"/>
              </w:rPr>
              <w:t>0.032</w:t>
            </w:r>
          </w:p>
        </w:tc>
      </w:tr>
      <w:tr>
        <w:tblPrEx>
          <w:shd w:val="clear" w:color="auto" w:fill="auto"/>
          <w:tblCellMar>
            <w:top w:w="0" w:type="dxa"/>
            <w:left w:w="0" w:type="dxa"/>
            <w:bottom w:w="0" w:type="dxa"/>
            <w:right w:w="0" w:type="dxa"/>
          </w:tblCellMar>
        </w:tblPrEx>
        <w:trPr>
          <w:trHeight w:val="330" w:hRule="atLeast"/>
          <w:jc w:val="center"/>
        </w:trPr>
        <w:tc>
          <w:tcPr>
            <w:tcW w:w="295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default" w:ascii="Times New Roman" w:hAnsi="Times New Roman" w:eastAsia="宋体" w:cs="Times New Roman"/>
                <w:i w:val="0"/>
                <w:color w:val="000000"/>
                <w:kern w:val="0"/>
                <w:sz w:val="21"/>
                <w:szCs w:val="21"/>
                <w:highlight w:val="none"/>
                <w:u w:val="none"/>
                <w:lang w:val="en-US" w:eastAsia="zh-CN" w:bidi="ar"/>
              </w:rPr>
              <w:t>Lignin phenols (% SOC)</w:t>
            </w:r>
          </w:p>
        </w:tc>
        <w:tc>
          <w:tcPr>
            <w:tcW w:w="145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2"/>
                <w:sz w:val="21"/>
                <w:szCs w:val="21"/>
                <w:highlight w:val="none"/>
                <w:u w:val="none"/>
                <w:lang w:val="en-US" w:eastAsia="zh-CN" w:bidi="ar-SA"/>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0.432</w:t>
            </w:r>
          </w:p>
        </w:tc>
      </w:tr>
      <w:tr>
        <w:tblPrEx>
          <w:shd w:val="clear" w:color="auto" w:fill="auto"/>
          <w:tblCellMar>
            <w:top w:w="0" w:type="dxa"/>
            <w:left w:w="0" w:type="dxa"/>
            <w:bottom w:w="0" w:type="dxa"/>
            <w:right w:w="0" w:type="dxa"/>
          </w:tblCellMar>
        </w:tblPrEx>
        <w:trPr>
          <w:trHeight w:val="315" w:hRule="atLeast"/>
          <w:jc w:val="center"/>
        </w:trPr>
        <w:tc>
          <w:tcPr>
            <w:tcW w:w="2959"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Plant-derived C (% SOC)</w:t>
            </w:r>
          </w:p>
        </w:tc>
        <w:tc>
          <w:tcPr>
            <w:tcW w:w="1457"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918"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b/>
                <w:bCs/>
                <w:i w:val="0"/>
                <w:color w:val="000000"/>
                <w:kern w:val="0"/>
                <w:sz w:val="21"/>
                <w:szCs w:val="21"/>
                <w:highlight w:val="none"/>
                <w:u w:val="none"/>
                <w:lang w:val="en-US" w:eastAsia="zh-CN" w:bidi="ar"/>
              </w:rPr>
            </w:pPr>
            <w:r>
              <w:rPr>
                <w:rFonts w:hint="default" w:ascii="Times New Roman" w:hAnsi="Times New Roman" w:eastAsia="宋体" w:cs="Times New Roman"/>
                <w:b/>
                <w:bCs/>
                <w:i w:val="0"/>
                <w:color w:val="000000"/>
                <w:kern w:val="0"/>
                <w:sz w:val="21"/>
                <w:szCs w:val="21"/>
                <w:highlight w:val="none"/>
                <w:u w:val="none"/>
                <w:lang w:val="en-US" w:eastAsia="zh-CN" w:bidi="ar"/>
              </w:rPr>
              <w:t>0.000</w:t>
            </w:r>
          </w:p>
        </w:tc>
        <w:tc>
          <w:tcPr>
            <w:tcW w:w="1736"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0.685</w:t>
            </w:r>
          </w:p>
        </w:tc>
      </w:tr>
      <w:bookmarkEnd w:id="4"/>
    </w:tbl>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eastAsia="宋体" w:cs="Times New Roman"/>
          <w:b w:val="0"/>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auto"/>
        <w:textAlignment w:val="auto"/>
        <w:rPr>
          <w:rFonts w:hint="default" w:ascii="Times New Roman" w:hAnsi="Times New Roman" w:cs="Times New Roman"/>
          <w:sz w:val="21"/>
          <w:szCs w:val="21"/>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harisSIL-Itali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022C73"/>
    <w:rsid w:val="07CA34F7"/>
    <w:rsid w:val="197E45F1"/>
    <w:rsid w:val="28FA17E1"/>
    <w:rsid w:val="439D62AE"/>
    <w:rsid w:val="44616A6E"/>
    <w:rsid w:val="48A45236"/>
    <w:rsid w:val="49022C73"/>
    <w:rsid w:val="541B0D7B"/>
    <w:rsid w:val="58B8189F"/>
    <w:rsid w:val="64660FAB"/>
    <w:rsid w:val="6D391A95"/>
    <w:rsid w:val="6DFC6A44"/>
    <w:rsid w:val="765C4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style01"/>
    <w:basedOn w:val="5"/>
    <w:qFormat/>
    <w:uiPriority w:val="0"/>
    <w:rPr>
      <w:rFonts w:ascii="CharisSIL-Italic" w:hAnsi="CharisSIL-Italic" w:eastAsia="CharisSIL-Italic" w:cs="CharisSIL-Italic"/>
      <w:i/>
      <w:iCs/>
      <w:color w:val="000000"/>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2021-03-17T06:56:00Z</dcterms:created>
  <dc:creator>**satisfaction～</dc:creator>
  <cp:lastModifiedBy>**satisfaction～</cp:lastModifiedBy>
  <dcterms:modified xsi:type="dcterms:W3CDTF">2021-05-12T09:18:34Z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DA1BFB9203DE438A90B5C1A90B9E3233</vt:lpwstr>
  </property>
</Properties>
</file>