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51A21D" w14:textId="68FDF6B6" w:rsidR="000D6E1E" w:rsidRPr="000D6E1E" w:rsidRDefault="00C44A23" w:rsidP="000D6E1E">
      <w:pPr>
        <w:spacing w:after="240" w:line="360" w:lineRule="auto"/>
        <w:ind w:left="567" w:hanging="567"/>
        <w:jc w:val="both"/>
        <w:rPr>
          <w:rStyle w:val="af2"/>
          <w:b/>
          <w:bCs/>
          <w:i w:val="0"/>
          <w:iCs w:val="0"/>
          <w:color w:val="000000" w:themeColor="text1"/>
          <w:sz w:val="28"/>
          <w:szCs w:val="28"/>
        </w:rPr>
      </w:pPr>
      <w:r>
        <w:rPr>
          <w:rStyle w:val="af2"/>
          <w:b/>
          <w:bCs/>
          <w:i w:val="0"/>
          <w:iCs w:val="0"/>
          <w:color w:val="000000" w:themeColor="text1"/>
          <w:sz w:val="28"/>
          <w:szCs w:val="28"/>
        </w:rPr>
        <w:t>Supplementary Material S</w:t>
      </w:r>
      <w:r w:rsidR="000D6E1E" w:rsidRPr="000D6E1E">
        <w:rPr>
          <w:rStyle w:val="af2"/>
          <w:b/>
          <w:bCs/>
          <w:i w:val="0"/>
          <w:iCs w:val="0"/>
          <w:color w:val="000000" w:themeColor="text1"/>
          <w:sz w:val="28"/>
          <w:szCs w:val="28"/>
        </w:rPr>
        <w:t>3</w:t>
      </w:r>
    </w:p>
    <w:p w14:paraId="4381A6F6" w14:textId="6B2A5235" w:rsidR="00432C3F" w:rsidRPr="000D6E1E" w:rsidRDefault="000D6E1E" w:rsidP="00432C3F">
      <w:pPr>
        <w:spacing w:line="360" w:lineRule="auto"/>
        <w:ind w:left="567" w:hanging="567"/>
        <w:jc w:val="both"/>
        <w:rPr>
          <w:rStyle w:val="af2"/>
          <w:i w:val="0"/>
          <w:iCs w:val="0"/>
          <w:color w:val="000000" w:themeColor="text1"/>
        </w:rPr>
      </w:pPr>
      <w:r>
        <w:rPr>
          <w:rStyle w:val="af2"/>
          <w:b/>
          <w:bCs/>
          <w:i w:val="0"/>
          <w:iCs w:val="0"/>
          <w:color w:val="000000" w:themeColor="text1"/>
        </w:rPr>
        <w:t xml:space="preserve">I. </w:t>
      </w:r>
      <w:r w:rsidR="00432C3F" w:rsidRPr="000D6E1E">
        <w:rPr>
          <w:rStyle w:val="af2"/>
          <w:b/>
          <w:bCs/>
          <w:i w:val="0"/>
          <w:iCs w:val="0"/>
          <w:color w:val="000000" w:themeColor="text1"/>
        </w:rPr>
        <w:t>Details about the SSAP protocol and analysis</w:t>
      </w:r>
    </w:p>
    <w:p w14:paraId="5FEF0E1F" w14:textId="1BD859A4" w:rsidR="00432C3F" w:rsidRDefault="00432C3F" w:rsidP="000D6E1E">
      <w:pPr>
        <w:spacing w:after="960"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At the first step, 125 ng DNA was digested with </w:t>
      </w:r>
      <w:proofErr w:type="spellStart"/>
      <w:r w:rsidRPr="00B221BE">
        <w:rPr>
          <w:i/>
          <w:iCs/>
          <w:color w:val="000000" w:themeColor="text1"/>
        </w:rPr>
        <w:t>Taq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 restriction endonuclease (NEB) for 3h at 65°C in 40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volume containing 1x </w:t>
      </w:r>
      <w:proofErr w:type="spellStart"/>
      <w:r w:rsidRPr="00B221BE">
        <w:rPr>
          <w:color w:val="000000" w:themeColor="text1"/>
        </w:rPr>
        <w:t>NEBuffer</w:t>
      </w:r>
      <w:proofErr w:type="spellEnd"/>
      <w:r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4, 100 </w:t>
      </w:r>
      <w:proofErr w:type="spellStart"/>
      <w:r w:rsidRPr="00B221BE">
        <w:rPr>
          <w:color w:val="000000" w:themeColor="text1"/>
        </w:rPr>
        <w:t>μg</w:t>
      </w:r>
      <w:proofErr w:type="spellEnd"/>
      <w:r w:rsidRPr="00B221BE">
        <w:rPr>
          <w:color w:val="000000" w:themeColor="text1"/>
        </w:rPr>
        <w:t xml:space="preserve">/ml BSA and 10U </w:t>
      </w:r>
      <w:proofErr w:type="spellStart"/>
      <w:r w:rsidRPr="00B221BE">
        <w:rPr>
          <w:i/>
          <w:iCs/>
          <w:color w:val="000000" w:themeColor="text1"/>
        </w:rPr>
        <w:t>Taq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. Subsequent adapter ligation was performed in the same tubes or plates by adding 10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ligation mixtures for obtaining final concentrations of 1x </w:t>
      </w:r>
      <w:proofErr w:type="spellStart"/>
      <w:r w:rsidRPr="00B221BE">
        <w:rPr>
          <w:color w:val="000000" w:themeColor="text1"/>
        </w:rPr>
        <w:t>NEBuffer</w:t>
      </w:r>
      <w:proofErr w:type="spellEnd"/>
      <w:r w:rsidRPr="00B221BE">
        <w:rPr>
          <w:color w:val="000000" w:themeColor="text1"/>
        </w:rPr>
        <w:t xml:space="preserve"> 4, 100 </w:t>
      </w:r>
      <w:proofErr w:type="spellStart"/>
      <w:r w:rsidRPr="00B221BE">
        <w:rPr>
          <w:color w:val="000000" w:themeColor="text1"/>
        </w:rPr>
        <w:t>μg</w:t>
      </w:r>
      <w:proofErr w:type="spellEnd"/>
      <w:r w:rsidRPr="00B221BE">
        <w:rPr>
          <w:color w:val="000000" w:themeColor="text1"/>
        </w:rPr>
        <w:t xml:space="preserve">/ml BSA, 50 </w:t>
      </w:r>
      <w:proofErr w:type="spellStart"/>
      <w:r w:rsidRPr="00B221BE">
        <w:rPr>
          <w:color w:val="000000" w:themeColor="text1"/>
        </w:rPr>
        <w:t>pmol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EA5306">
        <w:rPr>
          <w:i/>
          <w:iCs/>
          <w:color w:val="000000" w:themeColor="text1"/>
        </w:rPr>
        <w:t>Taq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 adaptor, 1 mM ATP and 3U T4 DNA Ligase (Invitrogen). The mix was incubated at 37°C for 6h followed by 65°C for 1h, and then diluted twice with 50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deionized water. Next, two subsequent rounds of PCR were performed. First, 5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of </w:t>
      </w:r>
      <w:proofErr w:type="spellStart"/>
      <w:r w:rsidRPr="00B221BE">
        <w:rPr>
          <w:color w:val="000000" w:themeColor="text1"/>
        </w:rPr>
        <w:t>ligaton</w:t>
      </w:r>
      <w:proofErr w:type="spellEnd"/>
      <w:r w:rsidRPr="00B221BE">
        <w:rPr>
          <w:color w:val="000000" w:themeColor="text1"/>
        </w:rPr>
        <w:t xml:space="preserve"> products were amplified in 25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mix with final concentrations of 1U </w:t>
      </w:r>
      <w:proofErr w:type="spellStart"/>
      <w:r w:rsidRPr="00B221BE">
        <w:rPr>
          <w:color w:val="000000" w:themeColor="text1"/>
        </w:rPr>
        <w:t>HotStarTaq</w:t>
      </w:r>
      <w:proofErr w:type="spellEnd"/>
      <w:r w:rsidRPr="00B221BE">
        <w:rPr>
          <w:color w:val="000000" w:themeColor="text1"/>
        </w:rPr>
        <w:t xml:space="preserve"> DNA polymerase (</w:t>
      </w:r>
      <w:proofErr w:type="spellStart"/>
      <w:r w:rsidRPr="00B221BE">
        <w:rPr>
          <w:color w:val="000000" w:themeColor="text1"/>
        </w:rPr>
        <w:t>Qiagen</w:t>
      </w:r>
      <w:proofErr w:type="spellEnd"/>
      <w:r w:rsidRPr="00B221BE">
        <w:rPr>
          <w:color w:val="000000" w:themeColor="text1"/>
        </w:rPr>
        <w:t xml:space="preserve">), 1.5 </w:t>
      </w:r>
      <w:proofErr w:type="spellStart"/>
      <w:r w:rsidRPr="00B221BE">
        <w:rPr>
          <w:color w:val="000000" w:themeColor="text1"/>
        </w:rPr>
        <w:t>mM</w:t>
      </w:r>
      <w:proofErr w:type="spellEnd"/>
      <w:r w:rsidRPr="00B221BE">
        <w:rPr>
          <w:color w:val="000000" w:themeColor="text1"/>
        </w:rPr>
        <w:t xml:space="preserve"> MgCl</w:t>
      </w:r>
      <w:r w:rsidRPr="00B221BE">
        <w:rPr>
          <w:color w:val="000000" w:themeColor="text1"/>
          <w:vertAlign w:val="subscript"/>
        </w:rPr>
        <w:t>2</w:t>
      </w:r>
      <w:r w:rsidRPr="00B221BE">
        <w:rPr>
          <w:color w:val="000000" w:themeColor="text1"/>
        </w:rPr>
        <w:t xml:space="preserve">, 20 </w:t>
      </w:r>
      <w:proofErr w:type="spellStart"/>
      <w:r w:rsidRPr="00B221BE">
        <w:rPr>
          <w:color w:val="000000" w:themeColor="text1"/>
        </w:rPr>
        <w:t>μM</w:t>
      </w:r>
      <w:proofErr w:type="spellEnd"/>
      <w:r w:rsidRPr="00B221BE">
        <w:rPr>
          <w:color w:val="000000" w:themeColor="text1"/>
        </w:rPr>
        <w:t xml:space="preserve"> dNTPs each, 0.2 </w:t>
      </w:r>
      <w:proofErr w:type="spellStart"/>
      <w:r w:rsidRPr="00B221BE">
        <w:rPr>
          <w:color w:val="000000" w:themeColor="text1"/>
        </w:rPr>
        <w:t>μM</w:t>
      </w:r>
      <w:proofErr w:type="spellEnd"/>
      <w:r w:rsidRPr="00B221BE">
        <w:rPr>
          <w:color w:val="000000" w:themeColor="text1"/>
        </w:rPr>
        <w:t xml:space="preserve"> LTR primer and 1x PCR buffer. The PCR program consisted of enzyme activation for 14 min 30 sec at 95°C, 30 cycles of denaturation at 95°C for 30 s, annealing at 62°C for 1 min, an extension at 72°C for 2 min, followed by a final extension of 10 min at 72°C. Next, 15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of the first PCR product was amplified in 25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mix with final concentrations of 1U </w:t>
      </w:r>
      <w:r w:rsidRPr="00B221BE">
        <w:rPr>
          <w:i/>
          <w:iCs/>
          <w:color w:val="000000" w:themeColor="text1"/>
        </w:rPr>
        <w:t>Taq</w:t>
      </w:r>
      <w:r w:rsidRPr="00B221BE">
        <w:rPr>
          <w:color w:val="000000" w:themeColor="text1"/>
        </w:rPr>
        <w:t xml:space="preserve"> DNA polymerase (Qiagen), 1.5 </w:t>
      </w:r>
      <w:proofErr w:type="spellStart"/>
      <w:r w:rsidRPr="00B221BE">
        <w:rPr>
          <w:color w:val="000000" w:themeColor="text1"/>
        </w:rPr>
        <w:t>mM</w:t>
      </w:r>
      <w:proofErr w:type="spellEnd"/>
      <w:r w:rsidRPr="00B221BE">
        <w:rPr>
          <w:color w:val="000000" w:themeColor="text1"/>
        </w:rPr>
        <w:t xml:space="preserve"> MgCl</w:t>
      </w:r>
      <w:r w:rsidRPr="00B221BE">
        <w:rPr>
          <w:color w:val="000000" w:themeColor="text1"/>
          <w:vertAlign w:val="subscript"/>
        </w:rPr>
        <w:t>2</w:t>
      </w:r>
      <w:r w:rsidRPr="00B221BE">
        <w:rPr>
          <w:color w:val="000000" w:themeColor="text1"/>
        </w:rPr>
        <w:t xml:space="preserve">, 200 </w:t>
      </w:r>
      <w:proofErr w:type="spellStart"/>
      <w:r w:rsidRPr="00B221BE">
        <w:rPr>
          <w:color w:val="000000" w:themeColor="text1"/>
        </w:rPr>
        <w:t>μM</w:t>
      </w:r>
      <w:proofErr w:type="spellEnd"/>
      <w:r w:rsidRPr="00B221BE">
        <w:rPr>
          <w:color w:val="000000" w:themeColor="text1"/>
        </w:rPr>
        <w:t xml:space="preserve"> dNTPs each, 1 </w:t>
      </w:r>
      <w:proofErr w:type="spellStart"/>
      <w:r w:rsidRPr="00B221BE">
        <w:rPr>
          <w:color w:val="000000" w:themeColor="text1"/>
        </w:rPr>
        <w:t>μM</w:t>
      </w:r>
      <w:proofErr w:type="spellEnd"/>
      <w:r w:rsidRPr="00B221BE">
        <w:rPr>
          <w:color w:val="000000" w:themeColor="text1"/>
        </w:rPr>
        <w:t xml:space="preserve"> LTR primer, 1 </w:t>
      </w:r>
      <w:proofErr w:type="spellStart"/>
      <w:r w:rsidRPr="00B221BE">
        <w:rPr>
          <w:color w:val="000000" w:themeColor="text1"/>
        </w:rPr>
        <w:t>μM</w:t>
      </w:r>
      <w:proofErr w:type="spellEnd"/>
      <w:r w:rsidRPr="00B221BE">
        <w:rPr>
          <w:color w:val="000000" w:themeColor="text1"/>
        </w:rPr>
        <w:t xml:space="preserve"> adapter primer and 1x PCR buffer. The second-round PCR program consisted of 35 cycles of denaturation at 95°C for 30 s, annealing at 62°C for 1 min, an extension at 72°C for 2 min, followed by a final extension of 10 min at 72°C. The LTR primer</w:t>
      </w:r>
      <w:r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s</w:t>
      </w:r>
      <w:r>
        <w:rPr>
          <w:color w:val="000000" w:themeColor="text1"/>
        </w:rPr>
        <w:t>equences</w:t>
      </w:r>
      <w:r w:rsidRPr="00B221BE">
        <w:rPr>
          <w:color w:val="000000" w:themeColor="text1"/>
        </w:rPr>
        <w:t xml:space="preserve"> used were 5'-labeled with TET or HEX. PCR products were separated on </w:t>
      </w:r>
      <w:proofErr w:type="spellStart"/>
      <w:r w:rsidRPr="00B221BE">
        <w:rPr>
          <w:color w:val="000000" w:themeColor="text1"/>
        </w:rPr>
        <w:t>MegaBACE</w:t>
      </w:r>
      <w:proofErr w:type="spellEnd"/>
      <w:r w:rsidRPr="00B221BE">
        <w:rPr>
          <w:color w:val="000000" w:themeColor="text1"/>
        </w:rPr>
        <w:t xml:space="preserve"> 1000 capillary electrophoresis system (GE Healthcare) according to manufacturer’s recommendations. Electropherograms obtained with nine primer combinations (using 3’-selective bases ACG, AG, CAG, GAC, CTG for </w:t>
      </w:r>
      <w:proofErr w:type="spellStart"/>
      <w:r w:rsidRPr="00B221BE">
        <w:rPr>
          <w:i/>
          <w:iCs/>
          <w:color w:val="000000" w:themeColor="text1"/>
        </w:rPr>
        <w:t>Jeli</w:t>
      </w:r>
      <w:proofErr w:type="spellEnd"/>
      <w:r w:rsidRPr="00B221BE">
        <w:rPr>
          <w:color w:val="000000" w:themeColor="text1"/>
        </w:rPr>
        <w:t xml:space="preserve"> LTR primers and CAGT, TGAC, AGTC and ACTG for </w:t>
      </w:r>
      <w:r w:rsidRPr="00B221BE">
        <w:rPr>
          <w:i/>
          <w:iCs/>
          <w:color w:val="000000" w:themeColor="text1"/>
        </w:rPr>
        <w:t>BARE-1</w:t>
      </w:r>
      <w:r w:rsidRPr="00B221BE">
        <w:rPr>
          <w:color w:val="000000" w:themeColor="text1"/>
        </w:rPr>
        <w:t xml:space="preserve"> LTR primers) were scored automatically by </w:t>
      </w:r>
      <w:proofErr w:type="spellStart"/>
      <w:r w:rsidRPr="00B221BE">
        <w:rPr>
          <w:color w:val="000000" w:themeColor="text1"/>
        </w:rPr>
        <w:t>MegaBACE</w:t>
      </w:r>
      <w:proofErr w:type="spellEnd"/>
      <w:r w:rsidRPr="00B221BE">
        <w:rPr>
          <w:color w:val="000000" w:themeColor="text1"/>
        </w:rPr>
        <w:t xml:space="preserve"> proprietary software with complete manual check.</w:t>
      </w:r>
    </w:p>
    <w:p w14:paraId="6C0B64EE" w14:textId="3FEEAD94" w:rsidR="00432C3F" w:rsidRPr="000D6E1E" w:rsidRDefault="000D6E1E" w:rsidP="00432C3F">
      <w:pPr>
        <w:spacing w:line="360" w:lineRule="auto"/>
        <w:ind w:left="567" w:hanging="567"/>
        <w:jc w:val="both"/>
        <w:rPr>
          <w:rStyle w:val="af2"/>
          <w:b/>
          <w:bCs/>
          <w:i w:val="0"/>
          <w:iCs w:val="0"/>
          <w:color w:val="000000" w:themeColor="text1"/>
        </w:rPr>
      </w:pPr>
      <w:r>
        <w:rPr>
          <w:rStyle w:val="af2"/>
          <w:b/>
          <w:bCs/>
          <w:i w:val="0"/>
          <w:iCs w:val="0"/>
          <w:color w:val="000000" w:themeColor="text1"/>
        </w:rPr>
        <w:t xml:space="preserve">II. </w:t>
      </w:r>
      <w:r w:rsidR="00432C3F" w:rsidRPr="000D6E1E">
        <w:rPr>
          <w:rStyle w:val="af2"/>
          <w:b/>
          <w:bCs/>
          <w:i w:val="0"/>
          <w:iCs w:val="0"/>
          <w:color w:val="000000" w:themeColor="text1"/>
        </w:rPr>
        <w:t>Details about the AFLP protocol and analysis</w:t>
      </w:r>
    </w:p>
    <w:p w14:paraId="0C2BFA52" w14:textId="39EB9EDA" w:rsidR="00432C3F" w:rsidRPr="00B221BE" w:rsidRDefault="00432C3F" w:rsidP="00432C3F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Initially, eight genotypes, namely 2484, 2495 (all </w:t>
      </w:r>
      <w:r w:rsidRPr="00B221BE">
        <w:rPr>
          <w:i/>
          <w:color w:val="000000" w:themeColor="text1"/>
        </w:rPr>
        <w:t>T. timopheevii</w:t>
      </w:r>
      <w:r w:rsidRPr="00B221BE">
        <w:rPr>
          <w:color w:val="000000" w:themeColor="text1"/>
        </w:rPr>
        <w:t xml:space="preserve">), 2660, 2683, 2671, 2677 (all </w:t>
      </w:r>
      <w:r w:rsidRPr="00B221BE">
        <w:rPr>
          <w:i/>
          <w:color w:val="000000" w:themeColor="text1"/>
        </w:rPr>
        <w:t>T. araraticum</w:t>
      </w:r>
      <w:r>
        <w:rPr>
          <w:color w:val="000000" w:themeColor="text1"/>
        </w:rPr>
        <w:t>),</w:t>
      </w:r>
      <w:r w:rsidRPr="00B221BE">
        <w:rPr>
          <w:color w:val="000000" w:themeColor="text1"/>
        </w:rPr>
        <w:t xml:space="preserve"> and 3313, 3354 (all </w:t>
      </w:r>
      <w:r w:rsidRPr="00B221BE">
        <w:rPr>
          <w:i/>
          <w:color w:val="000000" w:themeColor="text1"/>
        </w:rPr>
        <w:t xml:space="preserve">T. </w:t>
      </w:r>
      <w:proofErr w:type="spellStart"/>
      <w:r w:rsidRPr="00B221BE">
        <w:rPr>
          <w:i/>
          <w:color w:val="000000" w:themeColor="text1"/>
        </w:rPr>
        <w:t>dicoccoides</w:t>
      </w:r>
      <w:proofErr w:type="spellEnd"/>
      <w:r w:rsidRPr="00B221BE">
        <w:rPr>
          <w:iCs/>
          <w:color w:val="000000" w:themeColor="text1"/>
        </w:rPr>
        <w:t xml:space="preserve">, </w:t>
      </w:r>
      <w:r w:rsidR="00C44A23">
        <w:t>Supplementary Table S2</w:t>
      </w:r>
      <w:r w:rsidRPr="00DA1F97">
        <w:t xml:space="preserve">), </w:t>
      </w:r>
      <w:r w:rsidRPr="00B221BE">
        <w:rPr>
          <w:color w:val="000000" w:themeColor="text1"/>
        </w:rPr>
        <w:t xml:space="preserve">were screened with 40 AFLP primer combinations in order to select most promising primer combinations for the analysis. Only combinations that yielded a high number of polymorphic fragments between the eight genotypes but also reliably scoreable DNA markers were considered. In total, six AFLP primer combinations (EACA-MAAG, EACA-MACC, EACC-MAAA, EACC-MACG, EAGA-MAGT, EAGC-MACG) were used to screen the collection of 104 lines. Restriction-ligation mixtures were performed in a total volume of 11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containing 10X T4 DNA Ligase buffer, 0.5 M </w:t>
      </w:r>
      <w:proofErr w:type="spellStart"/>
      <w:r w:rsidRPr="00B221BE">
        <w:rPr>
          <w:color w:val="000000" w:themeColor="text1"/>
        </w:rPr>
        <w:t>NaCl</w:t>
      </w:r>
      <w:proofErr w:type="spellEnd"/>
      <w:r w:rsidRPr="00B221BE">
        <w:rPr>
          <w:color w:val="000000" w:themeColor="text1"/>
        </w:rPr>
        <w:t>, 1 mg/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BSA, 5 </w:t>
      </w:r>
      <w:proofErr w:type="spellStart"/>
      <w:r w:rsidRPr="00B221BE">
        <w:rPr>
          <w:color w:val="000000" w:themeColor="text1"/>
        </w:rPr>
        <w:t>pmol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lastRenderedPageBreak/>
        <w:t>EcoR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 adaptor, 50 </w:t>
      </w:r>
      <w:proofErr w:type="spellStart"/>
      <w:r w:rsidRPr="00B221BE">
        <w:rPr>
          <w:color w:val="000000" w:themeColor="text1"/>
        </w:rPr>
        <w:t>pmol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Mse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 adaptor, 10 μ/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Eco</w:t>
      </w:r>
      <w:r w:rsidRPr="00B221BE">
        <w:rPr>
          <w:color w:val="000000" w:themeColor="text1"/>
        </w:rPr>
        <w:t>RI</w:t>
      </w:r>
      <w:proofErr w:type="spellEnd"/>
      <w:r w:rsidRPr="00B221BE">
        <w:rPr>
          <w:color w:val="000000" w:themeColor="text1"/>
        </w:rPr>
        <w:t xml:space="preserve"> enzyme, 5 μ/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T4 DNA Ligase enzyme, and 50–100 ng of DNA. Restriction-ligation mixtures were then incubated at 37°C for 8 h. The pre-selective amplification was performed according to </w:t>
      </w:r>
      <w:proofErr w:type="spellStart"/>
      <w:r w:rsidRPr="00B221BE">
        <w:rPr>
          <w:color w:val="000000" w:themeColor="text1"/>
        </w:rPr>
        <w:t>Zabeau</w:t>
      </w:r>
      <w:proofErr w:type="spellEnd"/>
      <w:r w:rsidRPr="00B221BE">
        <w:rPr>
          <w:color w:val="000000" w:themeColor="text1"/>
        </w:rPr>
        <w:t xml:space="preserve"> and </w:t>
      </w:r>
      <w:proofErr w:type="spellStart"/>
      <w:r w:rsidRPr="00B221BE">
        <w:rPr>
          <w:color w:val="000000" w:themeColor="text1"/>
        </w:rPr>
        <w:t>Vos</w:t>
      </w:r>
      <w:proofErr w:type="spellEnd"/>
      <w:r w:rsidRPr="00DA1F97">
        <w:t xml:space="preserve"> </w:t>
      </w:r>
      <w:r>
        <w:t>(</w:t>
      </w:r>
      <w:r w:rsidRPr="00DA1F97">
        <w:t>1993</w:t>
      </w:r>
      <w:r>
        <w:t>)</w:t>
      </w:r>
      <w:r w:rsidRPr="00DA1F97">
        <w:t xml:space="preserve">, </w:t>
      </w:r>
      <w:r w:rsidRPr="00B221BE">
        <w:rPr>
          <w:color w:val="000000" w:themeColor="text1"/>
        </w:rPr>
        <w:t xml:space="preserve">with modifications according to </w:t>
      </w:r>
      <w:proofErr w:type="spellStart"/>
      <w:r w:rsidRPr="00B221BE">
        <w:rPr>
          <w:color w:val="000000" w:themeColor="text1"/>
        </w:rPr>
        <w:t>Alt</w:t>
      </w:r>
      <w:r>
        <w:rPr>
          <w:color w:val="000000" w:themeColor="text1"/>
        </w:rPr>
        <w:t>ı</w:t>
      </w:r>
      <w:r w:rsidRPr="00B221BE">
        <w:rPr>
          <w:color w:val="000000" w:themeColor="text1"/>
        </w:rPr>
        <w:t>ntas</w:t>
      </w:r>
      <w:proofErr w:type="spellEnd"/>
      <w:r w:rsidRPr="00B221BE">
        <w:rPr>
          <w:color w:val="000000" w:themeColor="text1"/>
        </w:rPr>
        <w:t>̧</w:t>
      </w:r>
      <w:r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et al. </w:t>
      </w:r>
      <w:r>
        <w:t>(</w:t>
      </w:r>
      <w:r w:rsidRPr="00DA1F97">
        <w:t>2008</w:t>
      </w:r>
      <w:r>
        <w:t>)</w:t>
      </w:r>
      <w:r w:rsidRPr="00DA1F97">
        <w:t xml:space="preserve">. </w:t>
      </w:r>
      <w:r w:rsidRPr="00B221BE">
        <w:rPr>
          <w:color w:val="000000" w:themeColor="text1"/>
        </w:rPr>
        <w:t xml:space="preserve">Subsequently, the selective amplification was carried out in a final volume of 20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containing 10X PCR buffer, 25 mM MgCl</w:t>
      </w:r>
      <w:r w:rsidRPr="00B221BE">
        <w:rPr>
          <w:color w:val="000000" w:themeColor="text1"/>
          <w:vertAlign w:val="subscript"/>
        </w:rPr>
        <w:t>2</w:t>
      </w:r>
      <w:r w:rsidRPr="00B221BE">
        <w:rPr>
          <w:color w:val="000000" w:themeColor="text1"/>
        </w:rPr>
        <w:t xml:space="preserve">, 2.5 </w:t>
      </w:r>
      <w:proofErr w:type="spellStart"/>
      <w:r w:rsidRPr="00B221BE">
        <w:rPr>
          <w:color w:val="000000" w:themeColor="text1"/>
        </w:rPr>
        <w:t>mM</w:t>
      </w:r>
      <w:proofErr w:type="spellEnd"/>
      <w:r w:rsidRPr="00B221BE">
        <w:rPr>
          <w:color w:val="000000" w:themeColor="text1"/>
        </w:rPr>
        <w:t xml:space="preserve"> dNTP, 5 </w:t>
      </w:r>
      <w:proofErr w:type="spellStart"/>
      <w:r w:rsidRPr="00B221BE">
        <w:rPr>
          <w:color w:val="000000" w:themeColor="text1"/>
        </w:rPr>
        <w:t>pmol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Eco</w:t>
      </w:r>
      <w:r w:rsidRPr="00B221BE">
        <w:rPr>
          <w:color w:val="000000" w:themeColor="text1"/>
        </w:rPr>
        <w:t>RI</w:t>
      </w:r>
      <w:proofErr w:type="spellEnd"/>
      <w:r w:rsidRPr="00B221BE">
        <w:rPr>
          <w:color w:val="000000" w:themeColor="text1"/>
        </w:rPr>
        <w:t xml:space="preserve">, 5 </w:t>
      </w:r>
      <w:proofErr w:type="spellStart"/>
      <w:r w:rsidRPr="00B221BE">
        <w:rPr>
          <w:color w:val="000000" w:themeColor="text1"/>
        </w:rPr>
        <w:t>pmol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Mse</w:t>
      </w:r>
      <w:r w:rsidRPr="00B221BE">
        <w:rPr>
          <w:color w:val="000000" w:themeColor="text1"/>
        </w:rPr>
        <w:t>I</w:t>
      </w:r>
      <w:proofErr w:type="spellEnd"/>
      <w:r w:rsidRPr="00B221BE">
        <w:rPr>
          <w:color w:val="000000" w:themeColor="text1"/>
        </w:rPr>
        <w:t xml:space="preserve">, 1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i/>
          <w:color w:val="000000" w:themeColor="text1"/>
        </w:rPr>
        <w:t>Taq</w:t>
      </w:r>
      <w:proofErr w:type="spellEnd"/>
      <w:r w:rsidRPr="00B221BE">
        <w:rPr>
          <w:color w:val="000000" w:themeColor="text1"/>
        </w:rPr>
        <w:t xml:space="preserve">, and pre-amplified DNA. The PCR program consisted of 20 cycles of denaturation at 94°C for 30 s, annealing at 56°C for 30 s, an extension at 72°C for 2 min, followed by a final extension of 30 min at 60°C. Ten microliters of the AFLP selective amplification product were mixed with 10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of loading buffer, denatured at 94 °C for 5 min, and placed on ice. The LI-COR 4300 DNA Analyzer was used for AFLP analysis. After a pre-run of electrophoresis at 40 W for 15 min on LI-COR, 1 </w:t>
      </w:r>
      <w:proofErr w:type="spellStart"/>
      <w:r w:rsidRPr="00B221BE">
        <w:rPr>
          <w:color w:val="000000" w:themeColor="text1"/>
        </w:rPr>
        <w:t>μl</w:t>
      </w:r>
      <w:proofErr w:type="spellEnd"/>
      <w:r w:rsidRPr="00B221BE">
        <w:rPr>
          <w:color w:val="000000" w:themeColor="text1"/>
        </w:rPr>
        <w:t xml:space="preserve"> of the amplified product was loaded onto a 6 % denaturing polyacrylamide gel (19:1) with 0.5× TBE buffer and run at 40 W until the loading dye reached the bottom of the gel. Autoradiographs were scored for the absence (0) or presence (1) of AFLP bands manually and independently at least twice.</w:t>
      </w:r>
    </w:p>
    <w:p w14:paraId="0E2ED902" w14:textId="77777777" w:rsidR="00432C3F" w:rsidRPr="00B221BE" w:rsidRDefault="00432C3F" w:rsidP="00432C3F">
      <w:pPr>
        <w:spacing w:line="360" w:lineRule="auto"/>
        <w:jc w:val="both"/>
        <w:rPr>
          <w:color w:val="000000" w:themeColor="text1"/>
        </w:rPr>
      </w:pPr>
    </w:p>
    <w:p w14:paraId="3647E490" w14:textId="77777777" w:rsidR="00432C3F" w:rsidRPr="00B221BE" w:rsidRDefault="00432C3F" w:rsidP="00432C3F">
      <w:pPr>
        <w:pStyle w:val="afe"/>
        <w:spacing w:before="0" w:beforeAutospacing="0" w:after="120" w:afterAutospacing="0" w:line="360" w:lineRule="auto"/>
        <w:jc w:val="both"/>
        <w:rPr>
          <w:b/>
          <w:bCs/>
          <w:color w:val="000000" w:themeColor="text1"/>
          <w:lang w:val="en-US"/>
        </w:rPr>
      </w:pPr>
      <w:r w:rsidRPr="00B221BE">
        <w:rPr>
          <w:b/>
          <w:bCs/>
          <w:color w:val="000000" w:themeColor="text1"/>
          <w:lang w:val="en-US"/>
        </w:rPr>
        <w:t>References</w:t>
      </w:r>
    </w:p>
    <w:p w14:paraId="7F18430C" w14:textId="77777777" w:rsidR="00432C3F" w:rsidRPr="00B221BE" w:rsidRDefault="00432C3F" w:rsidP="00432C3F">
      <w:pPr>
        <w:ind w:left="567" w:hanging="567"/>
        <w:jc w:val="both"/>
        <w:rPr>
          <w:color w:val="000000" w:themeColor="text1"/>
        </w:rPr>
      </w:pPr>
      <w:proofErr w:type="spellStart"/>
      <w:r w:rsidRPr="00B221BE">
        <w:rPr>
          <w:color w:val="000000" w:themeColor="text1"/>
        </w:rPr>
        <w:t>Alt</w:t>
      </w:r>
      <w:r>
        <w:rPr>
          <w:color w:val="000000" w:themeColor="text1"/>
        </w:rPr>
        <w:t>ı</w:t>
      </w:r>
      <w:r w:rsidRPr="00B221BE">
        <w:rPr>
          <w:color w:val="000000" w:themeColor="text1"/>
        </w:rPr>
        <w:t>ntas</w:t>
      </w:r>
      <w:proofErr w:type="spellEnd"/>
      <w:r w:rsidRPr="00B221BE">
        <w:rPr>
          <w:color w:val="000000" w:themeColor="text1"/>
        </w:rPr>
        <w:t xml:space="preserve">̧ S, </w:t>
      </w:r>
      <w:proofErr w:type="spellStart"/>
      <w:r w:rsidRPr="00B221BE">
        <w:rPr>
          <w:color w:val="000000" w:themeColor="text1"/>
        </w:rPr>
        <w:t>Toklu</w:t>
      </w:r>
      <w:proofErr w:type="spellEnd"/>
      <w:r w:rsidRPr="00B221BE">
        <w:rPr>
          <w:color w:val="000000" w:themeColor="text1"/>
        </w:rPr>
        <w:t xml:space="preserve"> F, </w:t>
      </w:r>
      <w:proofErr w:type="spellStart"/>
      <w:r w:rsidRPr="00B221BE">
        <w:rPr>
          <w:color w:val="000000" w:themeColor="text1"/>
        </w:rPr>
        <w:t>Kafkas</w:t>
      </w:r>
      <w:proofErr w:type="spellEnd"/>
      <w:r w:rsidRPr="00B221BE">
        <w:rPr>
          <w:color w:val="000000" w:themeColor="text1"/>
        </w:rPr>
        <w:t xml:space="preserve"> S, Kilian B, </w:t>
      </w:r>
      <w:proofErr w:type="spellStart"/>
      <w:r w:rsidRPr="00B221BE">
        <w:rPr>
          <w:color w:val="000000" w:themeColor="text1"/>
        </w:rPr>
        <w:t>Brandolini</w:t>
      </w:r>
      <w:proofErr w:type="spellEnd"/>
      <w:r w:rsidRPr="00B221BE">
        <w:rPr>
          <w:color w:val="000000" w:themeColor="text1"/>
        </w:rPr>
        <w:t xml:space="preserve"> A, </w:t>
      </w:r>
      <w:proofErr w:type="spellStart"/>
      <w:r w:rsidRPr="00B221BE">
        <w:rPr>
          <w:color w:val="000000" w:themeColor="text1"/>
        </w:rPr>
        <w:t>Özkan</w:t>
      </w:r>
      <w:proofErr w:type="spellEnd"/>
      <w:r w:rsidRPr="00B221BE">
        <w:rPr>
          <w:color w:val="000000" w:themeColor="text1"/>
        </w:rPr>
        <w:t xml:space="preserve"> H. Estimating genetic diversity in durum and bread wheat cultivars from Turkey using AFLP and SAMPL markers. Plant Breed. 2008; doi:10.1111/j.1439-0523.2007.01424.x</w:t>
      </w:r>
    </w:p>
    <w:p w14:paraId="60D12249" w14:textId="4F401DBE" w:rsidR="00432C3F" w:rsidRDefault="00432C3F" w:rsidP="00432C3F">
      <w:pPr>
        <w:ind w:left="567" w:hanging="567"/>
        <w:jc w:val="both"/>
        <w:rPr>
          <w:color w:val="000000" w:themeColor="text1"/>
          <w:lang w:eastAsia="tr-TR"/>
        </w:rPr>
      </w:pPr>
      <w:proofErr w:type="spellStart"/>
      <w:r w:rsidRPr="00B221BE">
        <w:rPr>
          <w:color w:val="000000" w:themeColor="text1"/>
        </w:rPr>
        <w:t>Zabeau</w:t>
      </w:r>
      <w:proofErr w:type="spellEnd"/>
      <w:r w:rsidRPr="00B221BE">
        <w:rPr>
          <w:color w:val="000000" w:themeColor="text1"/>
        </w:rPr>
        <w:t xml:space="preserve"> M, </w:t>
      </w:r>
      <w:proofErr w:type="spellStart"/>
      <w:r w:rsidRPr="00B221BE">
        <w:rPr>
          <w:color w:val="000000" w:themeColor="text1"/>
        </w:rPr>
        <w:t>Vos</w:t>
      </w:r>
      <w:proofErr w:type="spellEnd"/>
      <w:r w:rsidRPr="00B221BE">
        <w:rPr>
          <w:color w:val="000000" w:themeColor="text1"/>
        </w:rPr>
        <w:t xml:space="preserve"> P. Selective restriction fragment amplification: a general method for DNA fingerprinting. European patent application number 92402629.7; publication number 0534858 Al; 1993.</w:t>
      </w:r>
    </w:p>
    <w:p w14:paraId="69C1E933" w14:textId="77777777" w:rsidR="000D6E1E" w:rsidRPr="00B221BE" w:rsidRDefault="000D6E1E" w:rsidP="004A11C3">
      <w:pPr>
        <w:spacing w:after="960"/>
        <w:jc w:val="both"/>
        <w:rPr>
          <w:color w:val="000000" w:themeColor="text1"/>
        </w:rPr>
      </w:pPr>
    </w:p>
    <w:p w14:paraId="3BA20071" w14:textId="077236A2" w:rsidR="0031112B" w:rsidRPr="000D6E1E" w:rsidRDefault="000D6E1E" w:rsidP="0031112B">
      <w:pPr>
        <w:spacing w:line="360" w:lineRule="auto"/>
        <w:ind w:left="567" w:hanging="567"/>
        <w:jc w:val="both"/>
        <w:rPr>
          <w:rStyle w:val="af2"/>
          <w:b/>
          <w:bCs/>
          <w:i w:val="0"/>
          <w:iCs w:val="0"/>
          <w:color w:val="000000" w:themeColor="text1"/>
        </w:rPr>
      </w:pPr>
      <w:r w:rsidRPr="000D6E1E">
        <w:rPr>
          <w:rStyle w:val="af2"/>
          <w:b/>
          <w:bCs/>
          <w:i w:val="0"/>
          <w:iCs w:val="0"/>
          <w:color w:val="000000" w:themeColor="text1"/>
        </w:rPr>
        <w:t>III.</w:t>
      </w:r>
      <w:r w:rsidR="0031112B" w:rsidRPr="000D6E1E">
        <w:rPr>
          <w:rStyle w:val="af2"/>
          <w:b/>
          <w:bCs/>
          <w:i w:val="0"/>
          <w:iCs w:val="0"/>
          <w:color w:val="000000" w:themeColor="text1"/>
        </w:rPr>
        <w:t xml:space="preserve"> Details about the C-banding and FISH protocols and analyses</w:t>
      </w:r>
    </w:p>
    <w:p w14:paraId="50F7C8D0" w14:textId="77777777" w:rsidR="0031112B" w:rsidRPr="00940D1E" w:rsidRDefault="0031112B" w:rsidP="0031112B">
      <w:pPr>
        <w:spacing w:line="360" w:lineRule="auto"/>
        <w:jc w:val="both"/>
        <w:rPr>
          <w:i/>
          <w:iCs/>
          <w:color w:val="000000" w:themeColor="text1"/>
        </w:rPr>
      </w:pPr>
      <w:proofErr w:type="spellStart"/>
      <w:r>
        <w:rPr>
          <w:i/>
          <w:iCs/>
          <w:color w:val="000000" w:themeColor="text1"/>
        </w:rPr>
        <w:t>Passportization</w:t>
      </w:r>
      <w:proofErr w:type="spellEnd"/>
      <w:r>
        <w:rPr>
          <w:i/>
          <w:iCs/>
          <w:color w:val="000000" w:themeColor="text1"/>
        </w:rPr>
        <w:t xml:space="preserve"> in the </w:t>
      </w:r>
      <w:r w:rsidRPr="00940D1E">
        <w:rPr>
          <w:i/>
          <w:iCs/>
          <w:color w:val="000000" w:themeColor="text1"/>
        </w:rPr>
        <w:t>C-banding analysis</w:t>
      </w:r>
    </w:p>
    <w:p w14:paraId="4CDFC4A1" w14:textId="63C76C08" w:rsidR="0031112B" w:rsidRPr="00B221BE" w:rsidRDefault="0031112B" w:rsidP="0031112B">
      <w:pPr>
        <w:spacing w:after="120" w:line="360" w:lineRule="auto"/>
        <w:jc w:val="both"/>
        <w:rPr>
          <w:smallCaps/>
          <w:color w:val="000000" w:themeColor="text1"/>
          <w:lang w:eastAsia="ru-RU"/>
        </w:rPr>
      </w:pPr>
      <w:r w:rsidRPr="00B221BE">
        <w:rPr>
          <w:color w:val="000000" w:themeColor="text1"/>
        </w:rPr>
        <w:t xml:space="preserve">The </w:t>
      </w:r>
      <w:proofErr w:type="spellStart"/>
      <w:r w:rsidRPr="00B221BE">
        <w:rPr>
          <w:color w:val="000000" w:themeColor="text1"/>
        </w:rPr>
        <w:t>idiogram</w:t>
      </w:r>
      <w:proofErr w:type="spellEnd"/>
      <w:r w:rsidRPr="00B221BE">
        <w:rPr>
          <w:color w:val="000000" w:themeColor="text1"/>
        </w:rPr>
        <w:t xml:space="preserve"> </w:t>
      </w:r>
      <w:r>
        <w:rPr>
          <w:color w:val="000000" w:themeColor="text1"/>
        </w:rPr>
        <w:t>(</w:t>
      </w:r>
      <w:r w:rsidRPr="00C44A23">
        <w:rPr>
          <w:color w:val="000000" w:themeColor="text1"/>
        </w:rPr>
        <w:t xml:space="preserve">Fig. </w:t>
      </w:r>
      <w:r w:rsidR="00C44A23" w:rsidRPr="00C44A23">
        <w:rPr>
          <w:color w:val="000000" w:themeColor="text1"/>
        </w:rPr>
        <w:t>1</w:t>
      </w:r>
      <w:bookmarkStart w:id="0" w:name="_GoBack"/>
      <w:bookmarkEnd w:id="0"/>
      <w:r>
        <w:rPr>
          <w:color w:val="000000" w:themeColor="text1"/>
        </w:rPr>
        <w:t xml:space="preserve">) </w:t>
      </w:r>
      <w:r w:rsidRPr="00B221BE">
        <w:rPr>
          <w:color w:val="000000" w:themeColor="text1"/>
        </w:rPr>
        <w:t xml:space="preserve">contained 131 bands distributed among fourteen </w:t>
      </w:r>
      <w:proofErr w:type="gramStart"/>
      <w:r w:rsidRPr="00B221BE">
        <w:rPr>
          <w:color w:val="000000" w:themeColor="text1"/>
        </w:rPr>
        <w:t>A</w:t>
      </w:r>
      <w:r w:rsidRPr="00B221BE">
        <w:rPr>
          <w:color w:val="000000" w:themeColor="text1"/>
          <w:vertAlign w:val="superscript"/>
        </w:rPr>
        <w:t>t</w:t>
      </w:r>
      <w:proofErr w:type="gramEnd"/>
      <w:r w:rsidRPr="00B221BE">
        <w:rPr>
          <w:color w:val="000000" w:themeColor="text1"/>
        </w:rPr>
        <w:t xml:space="preserve"> and G-genome chromosomes, however, only 96 informative C-bands were considered for </w:t>
      </w:r>
      <w:r>
        <w:rPr>
          <w:color w:val="000000" w:themeColor="text1"/>
        </w:rPr>
        <w:t xml:space="preserve">the </w:t>
      </w:r>
      <w:r w:rsidRPr="00B221BE">
        <w:rPr>
          <w:color w:val="000000" w:themeColor="text1"/>
        </w:rPr>
        <w:t>construction</w:t>
      </w:r>
      <w:r w:rsidRPr="0079760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of </w:t>
      </w:r>
      <w:r w:rsidRPr="00B221BE">
        <w:rPr>
          <w:color w:val="000000" w:themeColor="text1"/>
        </w:rPr>
        <w:t xml:space="preserve">chromosomal passports. The remaining 35 bands were excluded from </w:t>
      </w:r>
      <w:r>
        <w:rPr>
          <w:color w:val="000000" w:themeColor="text1"/>
        </w:rPr>
        <w:t xml:space="preserve">the </w:t>
      </w:r>
      <w:r w:rsidRPr="00B221BE">
        <w:rPr>
          <w:color w:val="000000" w:themeColor="text1"/>
        </w:rPr>
        <w:t xml:space="preserve">analysis because they were either invariable in size or inconsistent and difficult to score. In contrast to our previous </w:t>
      </w:r>
      <w:r w:rsidRPr="00DA1F97">
        <w:t xml:space="preserve">report </w:t>
      </w:r>
      <w:r>
        <w:t>(</w:t>
      </w:r>
      <w:r w:rsidRPr="00DA1F97">
        <w:t>Badaeva et al. 2015</w:t>
      </w:r>
      <w:r>
        <w:rPr>
          <w:rFonts w:eastAsiaTheme="minorHAnsi"/>
        </w:rPr>
        <w:t>)</w:t>
      </w:r>
      <w:r w:rsidRPr="00DA1F97">
        <w:t xml:space="preserve">, </w:t>
      </w:r>
      <w:r w:rsidRPr="00B221BE">
        <w:rPr>
          <w:color w:val="000000" w:themeColor="text1"/>
        </w:rPr>
        <w:t>the size of C-bands was estimated using a 6-grade scale – from “0” for C-</w:t>
      </w:r>
      <w:r w:rsidRPr="0079760A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bands which were absent at a particular position, to “5” for very large bands (over 1 µm). In addition to the band size, we considered the pericentromeric inversion often observed on the chromosome 4G. The absence of inversion was encoded as “2”, the presence, as “3”. </w:t>
      </w:r>
      <w:proofErr w:type="spellStart"/>
      <w:r w:rsidRPr="00B221BE">
        <w:rPr>
          <w:color w:val="000000" w:themeColor="text1"/>
        </w:rPr>
        <w:t>NeighborNet</w:t>
      </w:r>
      <w:proofErr w:type="spellEnd"/>
      <w:r w:rsidRPr="00B221BE">
        <w:rPr>
          <w:color w:val="000000" w:themeColor="text1"/>
        </w:rPr>
        <w:t xml:space="preserve"> planar graph</w:t>
      </w:r>
      <w:r w:rsidRPr="00B221BE">
        <w:rPr>
          <w:color w:val="000000" w:themeColor="text1"/>
          <w:lang w:eastAsia="ru-RU"/>
        </w:rPr>
        <w:t xml:space="preserve"> between all 265 wheat genotypes was constructed based on the karyotype of each line using </w:t>
      </w:r>
      <w:proofErr w:type="spellStart"/>
      <w:r w:rsidRPr="00B221BE">
        <w:rPr>
          <w:color w:val="000000" w:themeColor="text1"/>
        </w:rPr>
        <w:lastRenderedPageBreak/>
        <w:t>SplitsTree</w:t>
      </w:r>
      <w:proofErr w:type="spellEnd"/>
      <w:r w:rsidRPr="00B221BE">
        <w:rPr>
          <w:smallCaps/>
          <w:color w:val="000000" w:themeColor="text1"/>
          <w:lang w:eastAsia="ru-RU"/>
        </w:rPr>
        <w:t xml:space="preserve"> </w:t>
      </w:r>
      <w:r w:rsidRPr="00B221BE">
        <w:rPr>
          <w:color w:val="000000" w:themeColor="text1"/>
        </w:rPr>
        <w:t>4.15.</w:t>
      </w:r>
      <w:r w:rsidRPr="00DA1F97">
        <w:t>1</w:t>
      </w:r>
      <w:r w:rsidRPr="00DA1F97">
        <w:rPr>
          <w:smallCaps/>
          <w:lang w:eastAsia="ru-RU"/>
        </w:rPr>
        <w:t xml:space="preserve"> </w:t>
      </w:r>
      <w:r>
        <w:rPr>
          <w:lang w:eastAsia="ru-RU"/>
        </w:rPr>
        <w:t>(</w:t>
      </w:r>
      <w:proofErr w:type="spellStart"/>
      <w:r w:rsidRPr="00DA1F97">
        <w:rPr>
          <w:lang w:eastAsia="ru-RU"/>
        </w:rPr>
        <w:t>Huson</w:t>
      </w:r>
      <w:proofErr w:type="spellEnd"/>
      <w:r w:rsidRPr="00DA1F97">
        <w:rPr>
          <w:lang w:eastAsia="ru-RU"/>
        </w:rPr>
        <w:t xml:space="preserve"> and Bryant 2006</w:t>
      </w:r>
      <w:r>
        <w:rPr>
          <w:rFonts w:eastAsiaTheme="minorHAnsi"/>
        </w:rPr>
        <w:t>)</w:t>
      </w:r>
      <w:r w:rsidRPr="00DA1F97">
        <w:rPr>
          <w:lang w:eastAsia="ru-RU"/>
        </w:rPr>
        <w:t xml:space="preserve">. </w:t>
      </w:r>
      <w:r w:rsidRPr="00B221BE">
        <w:rPr>
          <w:color w:val="000000" w:themeColor="text1"/>
          <w:lang w:eastAsia="ru-RU"/>
        </w:rPr>
        <w:t>C-bands were equally weighted and coded for each individual at all loci using the size estimated.</w:t>
      </w:r>
    </w:p>
    <w:p w14:paraId="3F873200" w14:textId="77777777" w:rsidR="0031112B" w:rsidRPr="00B221BE" w:rsidRDefault="0031112B" w:rsidP="0031112B">
      <w:pPr>
        <w:spacing w:line="360" w:lineRule="auto"/>
        <w:jc w:val="both"/>
        <w:rPr>
          <w:color w:val="000000" w:themeColor="text1"/>
        </w:rPr>
      </w:pPr>
    </w:p>
    <w:p w14:paraId="4095F7DA" w14:textId="22583364" w:rsidR="0031112B" w:rsidRPr="008C0884" w:rsidRDefault="0031112B" w:rsidP="008C0884">
      <w:pPr>
        <w:spacing w:line="360" w:lineRule="auto"/>
        <w:jc w:val="both"/>
        <w:rPr>
          <w:i/>
          <w:iCs/>
          <w:color w:val="000000" w:themeColor="text1"/>
        </w:rPr>
      </w:pPr>
      <w:r w:rsidRPr="008C0884">
        <w:rPr>
          <w:i/>
          <w:iCs/>
          <w:color w:val="000000" w:themeColor="text1"/>
        </w:rPr>
        <w:t>Fluorescence in situ hybridization (FISH)</w:t>
      </w:r>
    </w:p>
    <w:p w14:paraId="54523578" w14:textId="7899F6EB" w:rsidR="0031112B" w:rsidRPr="00B221BE" w:rsidRDefault="0031112B" w:rsidP="0031112B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probes were labeled with Fluorescein and biotin and detected using anti-Fluorescein- </w:t>
      </w:r>
      <w:r>
        <w:rPr>
          <w:color w:val="000000" w:themeColor="text1"/>
        </w:rPr>
        <w:t>F</w:t>
      </w:r>
      <w:r w:rsidRPr="00B221BE">
        <w:rPr>
          <w:color w:val="000000" w:themeColor="text1"/>
        </w:rPr>
        <w:t>luorescein/ Oregon green, rabbit IgG fraction, Alexa Fluor 488 conjugate (Molecular Probes, USA) and streptavidin-Cy-3 (</w:t>
      </w:r>
      <w:proofErr w:type="spellStart"/>
      <w:r w:rsidRPr="00B221BE">
        <w:rPr>
          <w:color w:val="000000" w:themeColor="text1"/>
        </w:rPr>
        <w:t>Amersham</w:t>
      </w:r>
      <w:proofErr w:type="spellEnd"/>
      <w:r w:rsidRPr="00B221BE">
        <w:rPr>
          <w:color w:val="000000" w:themeColor="text1"/>
        </w:rPr>
        <w:t xml:space="preserve"> Pharmacia Biotech, USA) according to </w:t>
      </w:r>
      <w:r>
        <w:t>(</w:t>
      </w:r>
      <w:proofErr w:type="spellStart"/>
      <w:r w:rsidRPr="00DA1F97">
        <w:t>Zoshchuk</w:t>
      </w:r>
      <w:proofErr w:type="spellEnd"/>
      <w:r w:rsidRPr="00DA1F97">
        <w:t xml:space="preserve"> et al. 2007</w:t>
      </w:r>
      <w:r>
        <w:rPr>
          <w:rFonts w:eastAsiaTheme="minorHAnsi"/>
        </w:rPr>
        <w:t>)</w:t>
      </w:r>
      <w:r w:rsidRPr="00DA1F97">
        <w:t xml:space="preserve">. </w:t>
      </w:r>
      <w:r w:rsidRPr="00B221BE">
        <w:rPr>
          <w:color w:val="000000" w:themeColor="text1"/>
        </w:rPr>
        <w:t xml:space="preserve">The slides were counter-stained with DAPI (4′,6-diamidino-2-phenylindole) in </w:t>
      </w:r>
      <w:proofErr w:type="spellStart"/>
      <w:r w:rsidRPr="00B221BE">
        <w:rPr>
          <w:color w:val="000000" w:themeColor="text1"/>
        </w:rPr>
        <w:t>Vectashield</w:t>
      </w:r>
      <w:proofErr w:type="spellEnd"/>
      <w:r w:rsidRPr="00B221BE">
        <w:rPr>
          <w:color w:val="000000" w:themeColor="text1"/>
        </w:rPr>
        <w:t xml:space="preserve"> mounting media (Vector laboratories, Peterborough, UK) and analyzed on a Zeiss Imager D-1 microscope. Selected metaphase cells were captured with an </w:t>
      </w:r>
      <w:proofErr w:type="spellStart"/>
      <w:r w:rsidRPr="00B221BE">
        <w:rPr>
          <w:color w:val="000000" w:themeColor="text1"/>
        </w:rPr>
        <w:t>AxioCam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HRm</w:t>
      </w:r>
      <w:proofErr w:type="spellEnd"/>
      <w:r w:rsidRPr="00B221BE">
        <w:rPr>
          <w:color w:val="000000" w:themeColor="text1"/>
        </w:rPr>
        <w:t xml:space="preserve"> digital camera using software </w:t>
      </w:r>
      <w:proofErr w:type="spellStart"/>
      <w:r w:rsidRPr="00B221BE">
        <w:rPr>
          <w:color w:val="000000" w:themeColor="text1"/>
        </w:rPr>
        <w:t>AxioVision</w:t>
      </w:r>
      <w:proofErr w:type="spellEnd"/>
      <w:r w:rsidRPr="00B221BE">
        <w:rPr>
          <w:color w:val="000000" w:themeColor="text1"/>
        </w:rPr>
        <w:t>, version 4.6.3. Images were processed in Adobe Photoshop, version CS6 (Adobe Systems, Edinburgh, UK).</w:t>
      </w:r>
    </w:p>
    <w:p w14:paraId="70DA1D2C" w14:textId="77777777" w:rsidR="0031112B" w:rsidRPr="00B221BE" w:rsidRDefault="0031112B" w:rsidP="0031112B">
      <w:pPr>
        <w:spacing w:line="360" w:lineRule="auto"/>
        <w:jc w:val="both"/>
        <w:rPr>
          <w:color w:val="000000" w:themeColor="text1"/>
        </w:rPr>
      </w:pPr>
    </w:p>
    <w:p w14:paraId="7A9E265A" w14:textId="77777777" w:rsidR="0031112B" w:rsidRPr="00B221BE" w:rsidRDefault="0031112B" w:rsidP="0031112B">
      <w:pPr>
        <w:pStyle w:val="afe"/>
        <w:spacing w:before="0" w:beforeAutospacing="0" w:after="120" w:afterAutospacing="0" w:line="360" w:lineRule="auto"/>
        <w:jc w:val="both"/>
        <w:rPr>
          <w:b/>
          <w:bCs/>
          <w:color w:val="000000" w:themeColor="text1"/>
          <w:lang w:val="en-US"/>
        </w:rPr>
      </w:pPr>
      <w:r w:rsidRPr="00B221BE">
        <w:rPr>
          <w:b/>
          <w:bCs/>
          <w:color w:val="000000" w:themeColor="text1"/>
          <w:lang w:val="en-US"/>
        </w:rPr>
        <w:t>References</w:t>
      </w:r>
    </w:p>
    <w:p w14:paraId="20325730" w14:textId="77777777" w:rsidR="0031112B" w:rsidRPr="00B221BE" w:rsidRDefault="0031112B" w:rsidP="0031112B">
      <w:pPr>
        <w:ind w:left="567" w:hanging="567"/>
        <w:jc w:val="both"/>
        <w:rPr>
          <w:color w:val="000000" w:themeColor="text1"/>
        </w:rPr>
      </w:pPr>
      <w:proofErr w:type="spellStart"/>
      <w:r w:rsidRPr="00B221BE">
        <w:rPr>
          <w:color w:val="000000" w:themeColor="text1"/>
        </w:rPr>
        <w:t>Badaeva</w:t>
      </w:r>
      <w:proofErr w:type="spellEnd"/>
      <w:r w:rsidRPr="00B221BE">
        <w:rPr>
          <w:color w:val="000000" w:themeColor="text1"/>
        </w:rPr>
        <w:t xml:space="preserve"> ED, </w:t>
      </w:r>
      <w:proofErr w:type="spellStart"/>
      <w:r w:rsidRPr="00B221BE">
        <w:rPr>
          <w:color w:val="000000" w:themeColor="text1"/>
        </w:rPr>
        <w:t>Keilwagen</w:t>
      </w:r>
      <w:proofErr w:type="spellEnd"/>
      <w:r w:rsidRPr="00B221BE">
        <w:rPr>
          <w:color w:val="000000" w:themeColor="text1"/>
        </w:rPr>
        <w:t xml:space="preserve"> J, </w:t>
      </w:r>
      <w:proofErr w:type="spellStart"/>
      <w:r w:rsidRPr="00B221BE">
        <w:rPr>
          <w:color w:val="000000" w:themeColor="text1"/>
        </w:rPr>
        <w:t>Knüpffer</w:t>
      </w:r>
      <w:proofErr w:type="spellEnd"/>
      <w:r w:rsidRPr="00B221BE">
        <w:rPr>
          <w:color w:val="000000" w:themeColor="text1"/>
        </w:rPr>
        <w:t xml:space="preserve"> H, </w:t>
      </w:r>
      <w:proofErr w:type="spellStart"/>
      <w:r w:rsidRPr="00B221BE">
        <w:rPr>
          <w:color w:val="000000" w:themeColor="text1"/>
        </w:rPr>
        <w:t>Waßermann</w:t>
      </w:r>
      <w:proofErr w:type="spellEnd"/>
      <w:r w:rsidRPr="00B221BE">
        <w:rPr>
          <w:color w:val="000000" w:themeColor="text1"/>
        </w:rPr>
        <w:t xml:space="preserve"> L, </w:t>
      </w:r>
      <w:proofErr w:type="spellStart"/>
      <w:r w:rsidRPr="00B221BE">
        <w:rPr>
          <w:color w:val="000000" w:themeColor="text1"/>
        </w:rPr>
        <w:t>Dedkova</w:t>
      </w:r>
      <w:proofErr w:type="spellEnd"/>
      <w:r w:rsidRPr="00B221BE">
        <w:rPr>
          <w:color w:val="000000" w:themeColor="text1"/>
        </w:rPr>
        <w:t xml:space="preserve"> OS, </w:t>
      </w:r>
      <w:proofErr w:type="spellStart"/>
      <w:r w:rsidRPr="00B221BE">
        <w:rPr>
          <w:color w:val="000000" w:themeColor="text1"/>
        </w:rPr>
        <w:t>Mitrofanova</w:t>
      </w:r>
      <w:proofErr w:type="spellEnd"/>
      <w:r w:rsidRPr="00B221BE">
        <w:rPr>
          <w:color w:val="000000" w:themeColor="text1"/>
        </w:rPr>
        <w:t xml:space="preserve"> OP, et al. Chromosomal passports provide new insights into diffusion of emmer wheat. </w:t>
      </w:r>
      <w:proofErr w:type="spellStart"/>
      <w:r w:rsidRPr="00B221BE">
        <w:rPr>
          <w:color w:val="000000" w:themeColor="text1"/>
        </w:rPr>
        <w:t>PLoS</w:t>
      </w:r>
      <w:proofErr w:type="spellEnd"/>
      <w:r w:rsidRPr="00B221BE">
        <w:rPr>
          <w:color w:val="000000" w:themeColor="text1"/>
        </w:rPr>
        <w:t xml:space="preserve"> ONE. 2015b; </w:t>
      </w:r>
      <w:proofErr w:type="spellStart"/>
      <w:r w:rsidRPr="00B221BE">
        <w:rPr>
          <w:color w:val="000000" w:themeColor="text1"/>
        </w:rPr>
        <w:t>doi</w:t>
      </w:r>
      <w:proofErr w:type="spellEnd"/>
      <w:r w:rsidRPr="00B221BE">
        <w:rPr>
          <w:color w:val="000000" w:themeColor="text1"/>
        </w:rPr>
        <w:t>: 10.1371/journal.pone.0128556</w:t>
      </w:r>
    </w:p>
    <w:p w14:paraId="46479618" w14:textId="77777777" w:rsidR="0031112B" w:rsidRPr="00B221BE" w:rsidRDefault="0031112B" w:rsidP="0031112B">
      <w:pPr>
        <w:ind w:left="567" w:hanging="567"/>
        <w:jc w:val="both"/>
        <w:rPr>
          <w:color w:val="000000" w:themeColor="text1"/>
        </w:rPr>
      </w:pPr>
      <w:proofErr w:type="spellStart"/>
      <w:r w:rsidRPr="00B221BE">
        <w:rPr>
          <w:color w:val="000000" w:themeColor="text1"/>
        </w:rPr>
        <w:t>Huson</w:t>
      </w:r>
      <w:proofErr w:type="spellEnd"/>
      <w:r w:rsidRPr="00B221BE">
        <w:rPr>
          <w:color w:val="000000" w:themeColor="text1"/>
        </w:rPr>
        <w:t xml:space="preserve"> DH, Bryant D. Application of phylogenetic networks in evolutionary studies. </w:t>
      </w:r>
      <w:proofErr w:type="spellStart"/>
      <w:r w:rsidRPr="00B221BE">
        <w:rPr>
          <w:color w:val="000000" w:themeColor="text1"/>
        </w:rPr>
        <w:t>Mol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Biol</w:t>
      </w:r>
      <w:proofErr w:type="spellEnd"/>
      <w:r w:rsidRPr="00B221BE">
        <w:rPr>
          <w:color w:val="000000" w:themeColor="text1"/>
        </w:rPr>
        <w:t xml:space="preserve"> </w:t>
      </w:r>
      <w:proofErr w:type="spellStart"/>
      <w:r w:rsidRPr="00B221BE">
        <w:rPr>
          <w:color w:val="000000" w:themeColor="text1"/>
        </w:rPr>
        <w:t>Evol</w:t>
      </w:r>
      <w:proofErr w:type="spellEnd"/>
      <w:r w:rsidRPr="00B221BE">
        <w:rPr>
          <w:color w:val="000000" w:themeColor="text1"/>
        </w:rPr>
        <w:t xml:space="preserve">. 2006; </w:t>
      </w:r>
      <w:proofErr w:type="spellStart"/>
      <w:r w:rsidRPr="00B221BE">
        <w:rPr>
          <w:color w:val="000000" w:themeColor="text1"/>
        </w:rPr>
        <w:t>doi</w:t>
      </w:r>
      <w:proofErr w:type="spellEnd"/>
      <w:r w:rsidRPr="00B221BE">
        <w:rPr>
          <w:color w:val="000000" w:themeColor="text1"/>
        </w:rPr>
        <w:t>: 10.1093/</w:t>
      </w:r>
      <w:proofErr w:type="spellStart"/>
      <w:r w:rsidRPr="00B221BE">
        <w:rPr>
          <w:color w:val="000000" w:themeColor="text1"/>
        </w:rPr>
        <w:t>molbev</w:t>
      </w:r>
      <w:proofErr w:type="spellEnd"/>
      <w:r w:rsidRPr="00B221BE">
        <w:rPr>
          <w:color w:val="000000" w:themeColor="text1"/>
        </w:rPr>
        <w:t>/msj030</w:t>
      </w:r>
    </w:p>
    <w:p w14:paraId="23140C53" w14:textId="6BD4F5B2" w:rsidR="0031112B" w:rsidRPr="00BA7417" w:rsidRDefault="0031112B" w:rsidP="00BA7417">
      <w:pPr>
        <w:ind w:left="567" w:hanging="567"/>
        <w:jc w:val="both"/>
        <w:rPr>
          <w:rStyle w:val="af2"/>
          <w:i w:val="0"/>
          <w:iCs w:val="0"/>
          <w:color w:val="000000" w:themeColor="text1"/>
        </w:rPr>
      </w:pPr>
      <w:proofErr w:type="spellStart"/>
      <w:r w:rsidRPr="00B221BE">
        <w:rPr>
          <w:color w:val="000000" w:themeColor="text1"/>
        </w:rPr>
        <w:t>Zoshchuk</w:t>
      </w:r>
      <w:proofErr w:type="spellEnd"/>
      <w:r w:rsidRPr="00B221BE">
        <w:rPr>
          <w:color w:val="000000" w:themeColor="text1"/>
        </w:rPr>
        <w:t xml:space="preserve"> S, </w:t>
      </w:r>
      <w:proofErr w:type="spellStart"/>
      <w:r w:rsidRPr="00B221BE">
        <w:rPr>
          <w:color w:val="000000" w:themeColor="text1"/>
        </w:rPr>
        <w:t>Badaeva</w:t>
      </w:r>
      <w:proofErr w:type="spellEnd"/>
      <w:r w:rsidRPr="00B221BE">
        <w:rPr>
          <w:color w:val="000000" w:themeColor="text1"/>
        </w:rPr>
        <w:t xml:space="preserve"> E, </w:t>
      </w:r>
      <w:proofErr w:type="spellStart"/>
      <w:r w:rsidRPr="00B221BE">
        <w:rPr>
          <w:color w:val="000000" w:themeColor="text1"/>
        </w:rPr>
        <w:t>Zoshchuk</w:t>
      </w:r>
      <w:proofErr w:type="spellEnd"/>
      <w:r w:rsidRPr="00B221BE">
        <w:rPr>
          <w:color w:val="000000" w:themeColor="text1"/>
        </w:rPr>
        <w:t xml:space="preserve"> N, </w:t>
      </w:r>
      <w:proofErr w:type="spellStart"/>
      <w:r w:rsidRPr="00B221BE">
        <w:rPr>
          <w:color w:val="000000" w:themeColor="text1"/>
        </w:rPr>
        <w:t>Adonina</w:t>
      </w:r>
      <w:proofErr w:type="spellEnd"/>
      <w:r w:rsidRPr="00B221BE">
        <w:rPr>
          <w:color w:val="000000" w:themeColor="text1"/>
        </w:rPr>
        <w:t xml:space="preserve"> I, </w:t>
      </w:r>
      <w:proofErr w:type="spellStart"/>
      <w:r w:rsidRPr="00B221BE">
        <w:rPr>
          <w:color w:val="000000" w:themeColor="text1"/>
        </w:rPr>
        <w:t>Shcherban</w:t>
      </w:r>
      <w:proofErr w:type="spellEnd"/>
      <w:r w:rsidRPr="00B221BE">
        <w:rPr>
          <w:color w:val="000000" w:themeColor="text1"/>
        </w:rPr>
        <w:t xml:space="preserve">’ A, Salina E. Intraspecific divergence in wheats of the Timopheevii group as revealed by </w:t>
      </w:r>
      <w:r w:rsidRPr="001D3900">
        <w:rPr>
          <w:i/>
          <w:color w:val="000000" w:themeColor="text1"/>
        </w:rPr>
        <w:t>in situ</w:t>
      </w:r>
      <w:r w:rsidRPr="00B221BE">
        <w:rPr>
          <w:color w:val="000000" w:themeColor="text1"/>
        </w:rPr>
        <w:t xml:space="preserve"> hybridization with tandem repeats of the Spelt1 and Spelt52 families. Russ J Genet. 2007; </w:t>
      </w:r>
      <w:proofErr w:type="spellStart"/>
      <w:r w:rsidRPr="00B221BE">
        <w:rPr>
          <w:color w:val="000000" w:themeColor="text1"/>
        </w:rPr>
        <w:t>doi</w:t>
      </w:r>
      <w:proofErr w:type="spellEnd"/>
      <w:r w:rsidRPr="00B221BE">
        <w:rPr>
          <w:color w:val="000000" w:themeColor="text1"/>
        </w:rPr>
        <w:t>: 10.1134/S1022795407060063.</w:t>
      </w:r>
    </w:p>
    <w:sectPr w:rsidR="0031112B" w:rsidRPr="00BA7417" w:rsidSect="000E5CD9">
      <w:footerReference w:type="even" r:id="rId9"/>
      <w:footerReference w:type="default" r:id="rId10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FA69C" w14:textId="77777777" w:rsidR="00CD1BB8" w:rsidRDefault="00CD1BB8">
      <w:r>
        <w:separator/>
      </w:r>
    </w:p>
  </w:endnote>
  <w:endnote w:type="continuationSeparator" w:id="0">
    <w:p w14:paraId="58706D93" w14:textId="77777777" w:rsidR="00CD1BB8" w:rsidRDefault="00CD1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695886256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20575C64" w14:textId="1891F5AF" w:rsidR="009E512A" w:rsidRDefault="009E512A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6D5CE8AE" w14:textId="77777777" w:rsidR="009E512A" w:rsidRDefault="009E512A" w:rsidP="009E512A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76450464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751C2B19" w14:textId="523FFA9D" w:rsidR="009E512A" w:rsidRDefault="009E512A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C44A23">
          <w:rPr>
            <w:rStyle w:val="a3"/>
            <w:noProof/>
          </w:rPr>
          <w:t>3</w:t>
        </w:r>
        <w:r>
          <w:rPr>
            <w:rStyle w:val="a3"/>
          </w:rPr>
          <w:fldChar w:fldCharType="end"/>
        </w:r>
      </w:p>
    </w:sdtContent>
  </w:sdt>
  <w:p w14:paraId="04C0D79C" w14:textId="77777777" w:rsidR="009E512A" w:rsidRDefault="009E512A" w:rsidP="009E512A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7B70E7" w14:textId="77777777" w:rsidR="00CD1BB8" w:rsidRDefault="00CD1BB8">
      <w:r>
        <w:separator/>
      </w:r>
    </w:p>
  </w:footnote>
  <w:footnote w:type="continuationSeparator" w:id="0">
    <w:p w14:paraId="5C2340DD" w14:textId="77777777" w:rsidR="00CD1BB8" w:rsidRDefault="00CD1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Q1NzGzMDc2MTJR0lEKTi0uzszPAymwqAUAFlVE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062C5"/>
    <w:rsid w:val="00010811"/>
    <w:rsid w:val="000108A0"/>
    <w:rsid w:val="00010BBE"/>
    <w:rsid w:val="00012D33"/>
    <w:rsid w:val="000130B8"/>
    <w:rsid w:val="0001336A"/>
    <w:rsid w:val="00014E1C"/>
    <w:rsid w:val="00015391"/>
    <w:rsid w:val="00015BE9"/>
    <w:rsid w:val="00015E64"/>
    <w:rsid w:val="000163B0"/>
    <w:rsid w:val="0001667B"/>
    <w:rsid w:val="00017795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4690"/>
    <w:rsid w:val="00046420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5636"/>
    <w:rsid w:val="0005630B"/>
    <w:rsid w:val="000577F5"/>
    <w:rsid w:val="0006017D"/>
    <w:rsid w:val="000602C9"/>
    <w:rsid w:val="00060400"/>
    <w:rsid w:val="0006047C"/>
    <w:rsid w:val="00061A91"/>
    <w:rsid w:val="00061B11"/>
    <w:rsid w:val="00061E30"/>
    <w:rsid w:val="00062580"/>
    <w:rsid w:val="0006266C"/>
    <w:rsid w:val="000632D2"/>
    <w:rsid w:val="000633D4"/>
    <w:rsid w:val="00063F78"/>
    <w:rsid w:val="000642E7"/>
    <w:rsid w:val="00064661"/>
    <w:rsid w:val="00064B36"/>
    <w:rsid w:val="00065A7F"/>
    <w:rsid w:val="00066050"/>
    <w:rsid w:val="0006651F"/>
    <w:rsid w:val="00066594"/>
    <w:rsid w:val="000665E6"/>
    <w:rsid w:val="00066A23"/>
    <w:rsid w:val="00066E24"/>
    <w:rsid w:val="0006778F"/>
    <w:rsid w:val="00070B6A"/>
    <w:rsid w:val="0007199D"/>
    <w:rsid w:val="00071F62"/>
    <w:rsid w:val="00072571"/>
    <w:rsid w:val="00073E4F"/>
    <w:rsid w:val="00074A8D"/>
    <w:rsid w:val="00076162"/>
    <w:rsid w:val="00076EA9"/>
    <w:rsid w:val="00077456"/>
    <w:rsid w:val="00080BE0"/>
    <w:rsid w:val="00081ADD"/>
    <w:rsid w:val="0008272F"/>
    <w:rsid w:val="00083DB6"/>
    <w:rsid w:val="000845A9"/>
    <w:rsid w:val="000855C7"/>
    <w:rsid w:val="000856BE"/>
    <w:rsid w:val="0008572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FBA"/>
    <w:rsid w:val="000A01E4"/>
    <w:rsid w:val="000A0359"/>
    <w:rsid w:val="000A16DD"/>
    <w:rsid w:val="000A2BA1"/>
    <w:rsid w:val="000A2BC7"/>
    <w:rsid w:val="000A2D01"/>
    <w:rsid w:val="000A35E0"/>
    <w:rsid w:val="000A605D"/>
    <w:rsid w:val="000A6091"/>
    <w:rsid w:val="000A64FE"/>
    <w:rsid w:val="000A6C7A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4FEC"/>
    <w:rsid w:val="000B63A5"/>
    <w:rsid w:val="000B67B1"/>
    <w:rsid w:val="000B6D49"/>
    <w:rsid w:val="000C043E"/>
    <w:rsid w:val="000C14CD"/>
    <w:rsid w:val="000C1583"/>
    <w:rsid w:val="000C19C0"/>
    <w:rsid w:val="000C2C64"/>
    <w:rsid w:val="000C3320"/>
    <w:rsid w:val="000C4E7D"/>
    <w:rsid w:val="000C5D6C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1E"/>
    <w:rsid w:val="000D6EA3"/>
    <w:rsid w:val="000D7162"/>
    <w:rsid w:val="000D7442"/>
    <w:rsid w:val="000E033A"/>
    <w:rsid w:val="000E2701"/>
    <w:rsid w:val="000E3CE8"/>
    <w:rsid w:val="000E4175"/>
    <w:rsid w:val="000E48E8"/>
    <w:rsid w:val="000E5B93"/>
    <w:rsid w:val="000E5CD9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587D"/>
    <w:rsid w:val="00116B6F"/>
    <w:rsid w:val="00117710"/>
    <w:rsid w:val="001178C9"/>
    <w:rsid w:val="0012156F"/>
    <w:rsid w:val="001221D7"/>
    <w:rsid w:val="00122849"/>
    <w:rsid w:val="0012329F"/>
    <w:rsid w:val="00124C37"/>
    <w:rsid w:val="001250C6"/>
    <w:rsid w:val="001267C2"/>
    <w:rsid w:val="00130272"/>
    <w:rsid w:val="001306E9"/>
    <w:rsid w:val="0013077F"/>
    <w:rsid w:val="00130C7A"/>
    <w:rsid w:val="00131534"/>
    <w:rsid w:val="001324EF"/>
    <w:rsid w:val="00132849"/>
    <w:rsid w:val="001330A2"/>
    <w:rsid w:val="00134546"/>
    <w:rsid w:val="00135B89"/>
    <w:rsid w:val="00135C84"/>
    <w:rsid w:val="001366F9"/>
    <w:rsid w:val="00136730"/>
    <w:rsid w:val="00136DF4"/>
    <w:rsid w:val="00137ED2"/>
    <w:rsid w:val="0014094F"/>
    <w:rsid w:val="00140E63"/>
    <w:rsid w:val="001416CF"/>
    <w:rsid w:val="001421C0"/>
    <w:rsid w:val="0014566F"/>
    <w:rsid w:val="001469A5"/>
    <w:rsid w:val="0014784F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C8B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04F6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73C9"/>
    <w:rsid w:val="001814C8"/>
    <w:rsid w:val="00182490"/>
    <w:rsid w:val="00182661"/>
    <w:rsid w:val="001833D8"/>
    <w:rsid w:val="00183445"/>
    <w:rsid w:val="00184138"/>
    <w:rsid w:val="0018426D"/>
    <w:rsid w:val="0018435D"/>
    <w:rsid w:val="00184A23"/>
    <w:rsid w:val="00185560"/>
    <w:rsid w:val="00185864"/>
    <w:rsid w:val="00187098"/>
    <w:rsid w:val="001877DE"/>
    <w:rsid w:val="001879BE"/>
    <w:rsid w:val="00187BD9"/>
    <w:rsid w:val="00190EA3"/>
    <w:rsid w:val="001950D1"/>
    <w:rsid w:val="00195A99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420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90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5E12"/>
    <w:rsid w:val="001F64EF"/>
    <w:rsid w:val="001F7867"/>
    <w:rsid w:val="0020080E"/>
    <w:rsid w:val="00201FA7"/>
    <w:rsid w:val="002020E0"/>
    <w:rsid w:val="00202FFD"/>
    <w:rsid w:val="00203030"/>
    <w:rsid w:val="002051B7"/>
    <w:rsid w:val="00205E47"/>
    <w:rsid w:val="002070BE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3BB4"/>
    <w:rsid w:val="00234CC4"/>
    <w:rsid w:val="00235882"/>
    <w:rsid w:val="00235B9F"/>
    <w:rsid w:val="002360D8"/>
    <w:rsid w:val="00236EE3"/>
    <w:rsid w:val="002406B3"/>
    <w:rsid w:val="00242188"/>
    <w:rsid w:val="00242EB3"/>
    <w:rsid w:val="002432E6"/>
    <w:rsid w:val="002434C6"/>
    <w:rsid w:val="0024368F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270E"/>
    <w:rsid w:val="0025575C"/>
    <w:rsid w:val="00255B3E"/>
    <w:rsid w:val="002577ED"/>
    <w:rsid w:val="00257A29"/>
    <w:rsid w:val="00260320"/>
    <w:rsid w:val="00260593"/>
    <w:rsid w:val="00260F14"/>
    <w:rsid w:val="002614A3"/>
    <w:rsid w:val="00261C96"/>
    <w:rsid w:val="002622AD"/>
    <w:rsid w:val="002631E5"/>
    <w:rsid w:val="00263789"/>
    <w:rsid w:val="00264559"/>
    <w:rsid w:val="0026482F"/>
    <w:rsid w:val="002649A3"/>
    <w:rsid w:val="00264CB8"/>
    <w:rsid w:val="00265842"/>
    <w:rsid w:val="00267934"/>
    <w:rsid w:val="002713D0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15C"/>
    <w:rsid w:val="00276639"/>
    <w:rsid w:val="002772B4"/>
    <w:rsid w:val="0028070D"/>
    <w:rsid w:val="00280C9D"/>
    <w:rsid w:val="00283CE6"/>
    <w:rsid w:val="00283E0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2B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18F5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227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0E79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12B"/>
    <w:rsid w:val="00311420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3286"/>
    <w:rsid w:val="00333945"/>
    <w:rsid w:val="003339BB"/>
    <w:rsid w:val="00335469"/>
    <w:rsid w:val="00335D25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0B8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5DE"/>
    <w:rsid w:val="00371904"/>
    <w:rsid w:val="00371CFA"/>
    <w:rsid w:val="00372812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8C3"/>
    <w:rsid w:val="00395A0E"/>
    <w:rsid w:val="0039701B"/>
    <w:rsid w:val="003A0AC1"/>
    <w:rsid w:val="003A0B14"/>
    <w:rsid w:val="003A0C7B"/>
    <w:rsid w:val="003A1AFA"/>
    <w:rsid w:val="003A22D7"/>
    <w:rsid w:val="003A2762"/>
    <w:rsid w:val="003A300B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0744"/>
    <w:rsid w:val="003C1194"/>
    <w:rsid w:val="003C1797"/>
    <w:rsid w:val="003C3127"/>
    <w:rsid w:val="003C5756"/>
    <w:rsid w:val="003C61AF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E7408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B21"/>
    <w:rsid w:val="00403EA7"/>
    <w:rsid w:val="00404E55"/>
    <w:rsid w:val="00405F30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1698C"/>
    <w:rsid w:val="0042182F"/>
    <w:rsid w:val="00422041"/>
    <w:rsid w:val="00423A77"/>
    <w:rsid w:val="00423F0E"/>
    <w:rsid w:val="00424FE7"/>
    <w:rsid w:val="00425FA0"/>
    <w:rsid w:val="0042658C"/>
    <w:rsid w:val="00426841"/>
    <w:rsid w:val="00426E69"/>
    <w:rsid w:val="004310E5"/>
    <w:rsid w:val="00432208"/>
    <w:rsid w:val="0043268A"/>
    <w:rsid w:val="00432C3F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0F9D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2D1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41F2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697"/>
    <w:rsid w:val="00477D5D"/>
    <w:rsid w:val="004805CE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6FD"/>
    <w:rsid w:val="00492214"/>
    <w:rsid w:val="00492782"/>
    <w:rsid w:val="00492911"/>
    <w:rsid w:val="00493423"/>
    <w:rsid w:val="0049343F"/>
    <w:rsid w:val="004935BB"/>
    <w:rsid w:val="004941FC"/>
    <w:rsid w:val="0049567C"/>
    <w:rsid w:val="00496865"/>
    <w:rsid w:val="00496C6E"/>
    <w:rsid w:val="004978FB"/>
    <w:rsid w:val="004A00B1"/>
    <w:rsid w:val="004A0465"/>
    <w:rsid w:val="004A0CA9"/>
    <w:rsid w:val="004A11C3"/>
    <w:rsid w:val="004A157D"/>
    <w:rsid w:val="004A2265"/>
    <w:rsid w:val="004A25FE"/>
    <w:rsid w:val="004A2D81"/>
    <w:rsid w:val="004A3EA6"/>
    <w:rsid w:val="004A5EEF"/>
    <w:rsid w:val="004A62CD"/>
    <w:rsid w:val="004A62D6"/>
    <w:rsid w:val="004A69B4"/>
    <w:rsid w:val="004B0E86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3C17"/>
    <w:rsid w:val="004C505C"/>
    <w:rsid w:val="004C55A9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1D1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DC4"/>
    <w:rsid w:val="004F5E22"/>
    <w:rsid w:val="004F6333"/>
    <w:rsid w:val="004F74C4"/>
    <w:rsid w:val="0050016E"/>
    <w:rsid w:val="00500695"/>
    <w:rsid w:val="00500BEB"/>
    <w:rsid w:val="00502E67"/>
    <w:rsid w:val="0050367B"/>
    <w:rsid w:val="005039AB"/>
    <w:rsid w:val="005056D2"/>
    <w:rsid w:val="00505E7F"/>
    <w:rsid w:val="0050633D"/>
    <w:rsid w:val="00507139"/>
    <w:rsid w:val="00510203"/>
    <w:rsid w:val="00510C8E"/>
    <w:rsid w:val="005110BB"/>
    <w:rsid w:val="0051159B"/>
    <w:rsid w:val="00511C34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1FB1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56D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6766"/>
    <w:rsid w:val="00537375"/>
    <w:rsid w:val="0053787E"/>
    <w:rsid w:val="005378AD"/>
    <w:rsid w:val="00537938"/>
    <w:rsid w:val="0054004B"/>
    <w:rsid w:val="00540B67"/>
    <w:rsid w:val="005418E8"/>
    <w:rsid w:val="0054223E"/>
    <w:rsid w:val="00543889"/>
    <w:rsid w:val="00544470"/>
    <w:rsid w:val="0054578B"/>
    <w:rsid w:val="00545E47"/>
    <w:rsid w:val="005466B7"/>
    <w:rsid w:val="00546F0A"/>
    <w:rsid w:val="005470A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8A6"/>
    <w:rsid w:val="00553908"/>
    <w:rsid w:val="005541B1"/>
    <w:rsid w:val="005559B0"/>
    <w:rsid w:val="00557E02"/>
    <w:rsid w:val="005603DC"/>
    <w:rsid w:val="00560513"/>
    <w:rsid w:val="00561F1B"/>
    <w:rsid w:val="00563535"/>
    <w:rsid w:val="00563692"/>
    <w:rsid w:val="00563916"/>
    <w:rsid w:val="005656D0"/>
    <w:rsid w:val="00565825"/>
    <w:rsid w:val="00565D47"/>
    <w:rsid w:val="00565FE3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2DE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87F79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62"/>
    <w:rsid w:val="005A36F7"/>
    <w:rsid w:val="005A3DE0"/>
    <w:rsid w:val="005A4C35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1947"/>
    <w:rsid w:val="005E19C7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184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0CF"/>
    <w:rsid w:val="005F234B"/>
    <w:rsid w:val="005F7586"/>
    <w:rsid w:val="005F7624"/>
    <w:rsid w:val="005F7E28"/>
    <w:rsid w:val="00600AE2"/>
    <w:rsid w:val="00600DE8"/>
    <w:rsid w:val="006015C8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3A5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09F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36A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280"/>
    <w:rsid w:val="00662CF3"/>
    <w:rsid w:val="006631F7"/>
    <w:rsid w:val="00663451"/>
    <w:rsid w:val="00663678"/>
    <w:rsid w:val="00665542"/>
    <w:rsid w:val="0066563F"/>
    <w:rsid w:val="00665AB5"/>
    <w:rsid w:val="00666691"/>
    <w:rsid w:val="00666CBA"/>
    <w:rsid w:val="006675CD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5E26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B79DB"/>
    <w:rsid w:val="006C3AB6"/>
    <w:rsid w:val="006C419F"/>
    <w:rsid w:val="006C4A03"/>
    <w:rsid w:val="006C5085"/>
    <w:rsid w:val="006C51D6"/>
    <w:rsid w:val="006C557F"/>
    <w:rsid w:val="006C56BD"/>
    <w:rsid w:val="006C5D5E"/>
    <w:rsid w:val="006C656C"/>
    <w:rsid w:val="006C702E"/>
    <w:rsid w:val="006C7E73"/>
    <w:rsid w:val="006D08B7"/>
    <w:rsid w:val="006D1924"/>
    <w:rsid w:val="006D199A"/>
    <w:rsid w:val="006D1C9E"/>
    <w:rsid w:val="006D1DD5"/>
    <w:rsid w:val="006D28BC"/>
    <w:rsid w:val="006D2C03"/>
    <w:rsid w:val="006D4A21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93B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511"/>
    <w:rsid w:val="007106F0"/>
    <w:rsid w:val="00711734"/>
    <w:rsid w:val="007117AB"/>
    <w:rsid w:val="00712BCC"/>
    <w:rsid w:val="0071326D"/>
    <w:rsid w:val="00713B38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18C"/>
    <w:rsid w:val="00736333"/>
    <w:rsid w:val="007365CA"/>
    <w:rsid w:val="007365D1"/>
    <w:rsid w:val="00737A7C"/>
    <w:rsid w:val="00740523"/>
    <w:rsid w:val="00740AF3"/>
    <w:rsid w:val="00740EE4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2F3F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2FCC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0A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00F"/>
    <w:rsid w:val="007D164A"/>
    <w:rsid w:val="007D1990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AC"/>
    <w:rsid w:val="007F44E6"/>
    <w:rsid w:val="007F4EFB"/>
    <w:rsid w:val="007F631B"/>
    <w:rsid w:val="007F63DD"/>
    <w:rsid w:val="007F6881"/>
    <w:rsid w:val="007F7705"/>
    <w:rsid w:val="007F78A5"/>
    <w:rsid w:val="007F7BDF"/>
    <w:rsid w:val="00800FED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28C"/>
    <w:rsid w:val="008074D6"/>
    <w:rsid w:val="008101DF"/>
    <w:rsid w:val="0081035F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3F2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190F"/>
    <w:rsid w:val="00842C1E"/>
    <w:rsid w:val="0084306E"/>
    <w:rsid w:val="00843763"/>
    <w:rsid w:val="00843ABF"/>
    <w:rsid w:val="008455C1"/>
    <w:rsid w:val="00846848"/>
    <w:rsid w:val="00846AF1"/>
    <w:rsid w:val="00847543"/>
    <w:rsid w:val="0084756F"/>
    <w:rsid w:val="00847B17"/>
    <w:rsid w:val="0085160C"/>
    <w:rsid w:val="0085168F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3561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DC7"/>
    <w:rsid w:val="00887FF1"/>
    <w:rsid w:val="008903AE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88B"/>
    <w:rsid w:val="008965CE"/>
    <w:rsid w:val="00896A3A"/>
    <w:rsid w:val="008A060D"/>
    <w:rsid w:val="008A0BEB"/>
    <w:rsid w:val="008A0F1F"/>
    <w:rsid w:val="008A1182"/>
    <w:rsid w:val="008A12C9"/>
    <w:rsid w:val="008A1C24"/>
    <w:rsid w:val="008A205A"/>
    <w:rsid w:val="008A2234"/>
    <w:rsid w:val="008A292E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6BC1"/>
    <w:rsid w:val="008B7133"/>
    <w:rsid w:val="008B73D4"/>
    <w:rsid w:val="008B7761"/>
    <w:rsid w:val="008C02D2"/>
    <w:rsid w:val="008C0632"/>
    <w:rsid w:val="008C0884"/>
    <w:rsid w:val="008C1015"/>
    <w:rsid w:val="008C1624"/>
    <w:rsid w:val="008C25BA"/>
    <w:rsid w:val="008C2DD5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1882"/>
    <w:rsid w:val="008E1C93"/>
    <w:rsid w:val="008E382B"/>
    <w:rsid w:val="008E38D8"/>
    <w:rsid w:val="008E3F82"/>
    <w:rsid w:val="008E484D"/>
    <w:rsid w:val="008E59BE"/>
    <w:rsid w:val="008E5B44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26FD"/>
    <w:rsid w:val="008F50F0"/>
    <w:rsid w:val="008F5DE0"/>
    <w:rsid w:val="008F6318"/>
    <w:rsid w:val="008F6574"/>
    <w:rsid w:val="008F6FC1"/>
    <w:rsid w:val="008F73BB"/>
    <w:rsid w:val="0090074E"/>
    <w:rsid w:val="00900FE6"/>
    <w:rsid w:val="009019A4"/>
    <w:rsid w:val="00901BBC"/>
    <w:rsid w:val="0090231F"/>
    <w:rsid w:val="00902A40"/>
    <w:rsid w:val="00902E64"/>
    <w:rsid w:val="00903160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4DD"/>
    <w:rsid w:val="00916E20"/>
    <w:rsid w:val="0091718D"/>
    <w:rsid w:val="009178F0"/>
    <w:rsid w:val="00917AA8"/>
    <w:rsid w:val="00920A3C"/>
    <w:rsid w:val="00922842"/>
    <w:rsid w:val="00923160"/>
    <w:rsid w:val="00924D90"/>
    <w:rsid w:val="00925045"/>
    <w:rsid w:val="0092544D"/>
    <w:rsid w:val="00925533"/>
    <w:rsid w:val="00926187"/>
    <w:rsid w:val="00926FC8"/>
    <w:rsid w:val="00930492"/>
    <w:rsid w:val="00931372"/>
    <w:rsid w:val="009315F7"/>
    <w:rsid w:val="00931A2A"/>
    <w:rsid w:val="00932D6C"/>
    <w:rsid w:val="00933225"/>
    <w:rsid w:val="00933317"/>
    <w:rsid w:val="0093367A"/>
    <w:rsid w:val="0093370F"/>
    <w:rsid w:val="00935DE3"/>
    <w:rsid w:val="00936892"/>
    <w:rsid w:val="00937C0E"/>
    <w:rsid w:val="00937DA2"/>
    <w:rsid w:val="00937E44"/>
    <w:rsid w:val="0094034B"/>
    <w:rsid w:val="00940D1E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0EA6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5F0"/>
    <w:rsid w:val="00964AD0"/>
    <w:rsid w:val="0096544C"/>
    <w:rsid w:val="0096553F"/>
    <w:rsid w:val="00965681"/>
    <w:rsid w:val="00965E7B"/>
    <w:rsid w:val="00966C68"/>
    <w:rsid w:val="00966CC2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6D33"/>
    <w:rsid w:val="009870B6"/>
    <w:rsid w:val="009873C8"/>
    <w:rsid w:val="00990055"/>
    <w:rsid w:val="009917D3"/>
    <w:rsid w:val="009923B2"/>
    <w:rsid w:val="00993E77"/>
    <w:rsid w:val="00995177"/>
    <w:rsid w:val="0099562E"/>
    <w:rsid w:val="0099591B"/>
    <w:rsid w:val="00995D3E"/>
    <w:rsid w:val="00996A6F"/>
    <w:rsid w:val="00997050"/>
    <w:rsid w:val="00997712"/>
    <w:rsid w:val="00997D77"/>
    <w:rsid w:val="009A0E62"/>
    <w:rsid w:val="009A1053"/>
    <w:rsid w:val="009A13F0"/>
    <w:rsid w:val="009A25F4"/>
    <w:rsid w:val="009A28CB"/>
    <w:rsid w:val="009A3932"/>
    <w:rsid w:val="009A44CE"/>
    <w:rsid w:val="009A461F"/>
    <w:rsid w:val="009A57DF"/>
    <w:rsid w:val="009A5EDC"/>
    <w:rsid w:val="009A6051"/>
    <w:rsid w:val="009A6BCC"/>
    <w:rsid w:val="009A707E"/>
    <w:rsid w:val="009A7105"/>
    <w:rsid w:val="009A7CC3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3F7A"/>
    <w:rsid w:val="009B5CFF"/>
    <w:rsid w:val="009B6072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512A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2D57"/>
    <w:rsid w:val="00A0420F"/>
    <w:rsid w:val="00A04F51"/>
    <w:rsid w:val="00A04FF4"/>
    <w:rsid w:val="00A05140"/>
    <w:rsid w:val="00A052C2"/>
    <w:rsid w:val="00A05C12"/>
    <w:rsid w:val="00A06BD6"/>
    <w:rsid w:val="00A06DD6"/>
    <w:rsid w:val="00A1040B"/>
    <w:rsid w:val="00A12686"/>
    <w:rsid w:val="00A14925"/>
    <w:rsid w:val="00A14FAD"/>
    <w:rsid w:val="00A15E1A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67AE"/>
    <w:rsid w:val="00A47352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0CF"/>
    <w:rsid w:val="00A62D86"/>
    <w:rsid w:val="00A64853"/>
    <w:rsid w:val="00A707CF"/>
    <w:rsid w:val="00A70C29"/>
    <w:rsid w:val="00A711EC"/>
    <w:rsid w:val="00A712F9"/>
    <w:rsid w:val="00A715F5"/>
    <w:rsid w:val="00A72331"/>
    <w:rsid w:val="00A73148"/>
    <w:rsid w:val="00A73D27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35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078C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5D4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7A9"/>
    <w:rsid w:val="00AE5BF1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969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6D1C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1BE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06C1"/>
    <w:rsid w:val="00B41480"/>
    <w:rsid w:val="00B41FB2"/>
    <w:rsid w:val="00B43571"/>
    <w:rsid w:val="00B439DE"/>
    <w:rsid w:val="00B43F57"/>
    <w:rsid w:val="00B447F7"/>
    <w:rsid w:val="00B47B2A"/>
    <w:rsid w:val="00B47F3D"/>
    <w:rsid w:val="00B50121"/>
    <w:rsid w:val="00B501FE"/>
    <w:rsid w:val="00B50474"/>
    <w:rsid w:val="00B52119"/>
    <w:rsid w:val="00B52AB4"/>
    <w:rsid w:val="00B53494"/>
    <w:rsid w:val="00B54D77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59A"/>
    <w:rsid w:val="00B70D20"/>
    <w:rsid w:val="00B72005"/>
    <w:rsid w:val="00B72320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A7417"/>
    <w:rsid w:val="00BB0826"/>
    <w:rsid w:val="00BB0E97"/>
    <w:rsid w:val="00BB1050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630"/>
    <w:rsid w:val="00BC078C"/>
    <w:rsid w:val="00BC09BD"/>
    <w:rsid w:val="00BC0C69"/>
    <w:rsid w:val="00BC23AB"/>
    <w:rsid w:val="00BC37A1"/>
    <w:rsid w:val="00BC3DF0"/>
    <w:rsid w:val="00BC4393"/>
    <w:rsid w:val="00BC5FC9"/>
    <w:rsid w:val="00BC6FC8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6FD5"/>
    <w:rsid w:val="00BE7697"/>
    <w:rsid w:val="00BF0D26"/>
    <w:rsid w:val="00BF1B07"/>
    <w:rsid w:val="00BF272D"/>
    <w:rsid w:val="00BF2803"/>
    <w:rsid w:val="00BF28ED"/>
    <w:rsid w:val="00BF3F79"/>
    <w:rsid w:val="00BF439D"/>
    <w:rsid w:val="00BF4913"/>
    <w:rsid w:val="00BF4E29"/>
    <w:rsid w:val="00BF4EAD"/>
    <w:rsid w:val="00BF50DB"/>
    <w:rsid w:val="00BF6003"/>
    <w:rsid w:val="00BF6483"/>
    <w:rsid w:val="00BF64E0"/>
    <w:rsid w:val="00BF6ADD"/>
    <w:rsid w:val="00BF750D"/>
    <w:rsid w:val="00C01D9B"/>
    <w:rsid w:val="00C02971"/>
    <w:rsid w:val="00C04B73"/>
    <w:rsid w:val="00C05680"/>
    <w:rsid w:val="00C056B5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8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A23"/>
    <w:rsid w:val="00C4662B"/>
    <w:rsid w:val="00C46996"/>
    <w:rsid w:val="00C50CF2"/>
    <w:rsid w:val="00C50DA0"/>
    <w:rsid w:val="00C51086"/>
    <w:rsid w:val="00C51A24"/>
    <w:rsid w:val="00C51B82"/>
    <w:rsid w:val="00C52082"/>
    <w:rsid w:val="00C52529"/>
    <w:rsid w:val="00C52764"/>
    <w:rsid w:val="00C528E9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962"/>
    <w:rsid w:val="00C83C81"/>
    <w:rsid w:val="00C84693"/>
    <w:rsid w:val="00C86731"/>
    <w:rsid w:val="00C86B01"/>
    <w:rsid w:val="00C870C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02DB"/>
    <w:rsid w:val="00CA1651"/>
    <w:rsid w:val="00CA2197"/>
    <w:rsid w:val="00CA2F6A"/>
    <w:rsid w:val="00CA337D"/>
    <w:rsid w:val="00CA3EEC"/>
    <w:rsid w:val="00CA4725"/>
    <w:rsid w:val="00CA4EAF"/>
    <w:rsid w:val="00CA5001"/>
    <w:rsid w:val="00CA56D1"/>
    <w:rsid w:val="00CA5B33"/>
    <w:rsid w:val="00CA5E38"/>
    <w:rsid w:val="00CA5F65"/>
    <w:rsid w:val="00CB1443"/>
    <w:rsid w:val="00CB5C90"/>
    <w:rsid w:val="00CB5F7F"/>
    <w:rsid w:val="00CB6F5D"/>
    <w:rsid w:val="00CB758C"/>
    <w:rsid w:val="00CB7BD7"/>
    <w:rsid w:val="00CC03A9"/>
    <w:rsid w:val="00CC0807"/>
    <w:rsid w:val="00CC1559"/>
    <w:rsid w:val="00CC1B4C"/>
    <w:rsid w:val="00CC1C0A"/>
    <w:rsid w:val="00CC2E10"/>
    <w:rsid w:val="00CC313E"/>
    <w:rsid w:val="00CC388A"/>
    <w:rsid w:val="00CC60AC"/>
    <w:rsid w:val="00CD0DCA"/>
    <w:rsid w:val="00CD14C1"/>
    <w:rsid w:val="00CD19DA"/>
    <w:rsid w:val="00CD1BB8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0FC6"/>
    <w:rsid w:val="00D01AA7"/>
    <w:rsid w:val="00D02209"/>
    <w:rsid w:val="00D0372B"/>
    <w:rsid w:val="00D03DF5"/>
    <w:rsid w:val="00D044C6"/>
    <w:rsid w:val="00D04BE3"/>
    <w:rsid w:val="00D05A3C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358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9B2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D89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5EFF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5EE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4DBA"/>
    <w:rsid w:val="00D950C3"/>
    <w:rsid w:val="00D95DC7"/>
    <w:rsid w:val="00D95F90"/>
    <w:rsid w:val="00D972C7"/>
    <w:rsid w:val="00DA0369"/>
    <w:rsid w:val="00DA0C23"/>
    <w:rsid w:val="00DA13D8"/>
    <w:rsid w:val="00DA17CE"/>
    <w:rsid w:val="00DA1F97"/>
    <w:rsid w:val="00DA244C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0E75"/>
    <w:rsid w:val="00DB259A"/>
    <w:rsid w:val="00DB35C4"/>
    <w:rsid w:val="00DB4116"/>
    <w:rsid w:val="00DB4B63"/>
    <w:rsid w:val="00DB6369"/>
    <w:rsid w:val="00DC08A2"/>
    <w:rsid w:val="00DC1569"/>
    <w:rsid w:val="00DC22A2"/>
    <w:rsid w:val="00DC27EA"/>
    <w:rsid w:val="00DC30E5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09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3C2F"/>
    <w:rsid w:val="00E056E5"/>
    <w:rsid w:val="00E05829"/>
    <w:rsid w:val="00E05A77"/>
    <w:rsid w:val="00E06877"/>
    <w:rsid w:val="00E06CB8"/>
    <w:rsid w:val="00E06E35"/>
    <w:rsid w:val="00E10C36"/>
    <w:rsid w:val="00E113B0"/>
    <w:rsid w:val="00E127B7"/>
    <w:rsid w:val="00E134D7"/>
    <w:rsid w:val="00E13738"/>
    <w:rsid w:val="00E15006"/>
    <w:rsid w:val="00E15855"/>
    <w:rsid w:val="00E1599A"/>
    <w:rsid w:val="00E1617C"/>
    <w:rsid w:val="00E16B92"/>
    <w:rsid w:val="00E17A95"/>
    <w:rsid w:val="00E20AA1"/>
    <w:rsid w:val="00E20E8F"/>
    <w:rsid w:val="00E21123"/>
    <w:rsid w:val="00E21DC5"/>
    <w:rsid w:val="00E234CC"/>
    <w:rsid w:val="00E239BF"/>
    <w:rsid w:val="00E24AD4"/>
    <w:rsid w:val="00E24C2B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BAB"/>
    <w:rsid w:val="00E55F44"/>
    <w:rsid w:val="00E56F94"/>
    <w:rsid w:val="00E573F3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0FC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1FB"/>
    <w:rsid w:val="00E86593"/>
    <w:rsid w:val="00E86C75"/>
    <w:rsid w:val="00E87E2A"/>
    <w:rsid w:val="00E9021B"/>
    <w:rsid w:val="00E90821"/>
    <w:rsid w:val="00E90ACF"/>
    <w:rsid w:val="00E90E2B"/>
    <w:rsid w:val="00E91851"/>
    <w:rsid w:val="00E918C1"/>
    <w:rsid w:val="00E9253C"/>
    <w:rsid w:val="00E93ACD"/>
    <w:rsid w:val="00E94365"/>
    <w:rsid w:val="00E957B4"/>
    <w:rsid w:val="00E957D1"/>
    <w:rsid w:val="00EA1DFB"/>
    <w:rsid w:val="00EA2A71"/>
    <w:rsid w:val="00EA3F4E"/>
    <w:rsid w:val="00EA47BB"/>
    <w:rsid w:val="00EA4B73"/>
    <w:rsid w:val="00EA5306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1CCB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E6422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6BE"/>
    <w:rsid w:val="00F04E96"/>
    <w:rsid w:val="00F06817"/>
    <w:rsid w:val="00F06BBF"/>
    <w:rsid w:val="00F06CFF"/>
    <w:rsid w:val="00F06E45"/>
    <w:rsid w:val="00F06F6D"/>
    <w:rsid w:val="00F11BCE"/>
    <w:rsid w:val="00F12155"/>
    <w:rsid w:val="00F12FE6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0ED2"/>
    <w:rsid w:val="00F31CCA"/>
    <w:rsid w:val="00F32428"/>
    <w:rsid w:val="00F325B3"/>
    <w:rsid w:val="00F32C87"/>
    <w:rsid w:val="00F34D57"/>
    <w:rsid w:val="00F35A01"/>
    <w:rsid w:val="00F35CA8"/>
    <w:rsid w:val="00F36A51"/>
    <w:rsid w:val="00F37EBE"/>
    <w:rsid w:val="00F40762"/>
    <w:rsid w:val="00F40DEF"/>
    <w:rsid w:val="00F41047"/>
    <w:rsid w:val="00F41056"/>
    <w:rsid w:val="00F41180"/>
    <w:rsid w:val="00F4181C"/>
    <w:rsid w:val="00F41E40"/>
    <w:rsid w:val="00F435A9"/>
    <w:rsid w:val="00F43E65"/>
    <w:rsid w:val="00F4402F"/>
    <w:rsid w:val="00F4452F"/>
    <w:rsid w:val="00F44621"/>
    <w:rsid w:val="00F45DAC"/>
    <w:rsid w:val="00F4633F"/>
    <w:rsid w:val="00F46C08"/>
    <w:rsid w:val="00F50C53"/>
    <w:rsid w:val="00F516E7"/>
    <w:rsid w:val="00F528EB"/>
    <w:rsid w:val="00F52B49"/>
    <w:rsid w:val="00F530E0"/>
    <w:rsid w:val="00F53212"/>
    <w:rsid w:val="00F53E7B"/>
    <w:rsid w:val="00F53F8E"/>
    <w:rsid w:val="00F54859"/>
    <w:rsid w:val="00F56356"/>
    <w:rsid w:val="00F56C4C"/>
    <w:rsid w:val="00F57619"/>
    <w:rsid w:val="00F578C1"/>
    <w:rsid w:val="00F6053B"/>
    <w:rsid w:val="00F61BE6"/>
    <w:rsid w:val="00F621B6"/>
    <w:rsid w:val="00F6232B"/>
    <w:rsid w:val="00F63E23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487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7F"/>
    <w:rsid w:val="00F90195"/>
    <w:rsid w:val="00F90574"/>
    <w:rsid w:val="00F90C76"/>
    <w:rsid w:val="00F91D51"/>
    <w:rsid w:val="00F937A0"/>
    <w:rsid w:val="00F937C2"/>
    <w:rsid w:val="00F93F7D"/>
    <w:rsid w:val="00F94228"/>
    <w:rsid w:val="00F95B30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206"/>
    <w:rsid w:val="00FA2BD1"/>
    <w:rsid w:val="00FA2EA9"/>
    <w:rsid w:val="00FA3D00"/>
    <w:rsid w:val="00FA40FA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B73A4"/>
    <w:rsid w:val="00FC0ADD"/>
    <w:rsid w:val="00FC1486"/>
    <w:rsid w:val="00FC29A4"/>
    <w:rsid w:val="00FC2AB2"/>
    <w:rsid w:val="00FC2BD4"/>
    <w:rsid w:val="00FC3BB8"/>
    <w:rsid w:val="00FC5568"/>
    <w:rsid w:val="00FC59C4"/>
    <w:rsid w:val="00FC5BAE"/>
    <w:rsid w:val="00FC61AC"/>
    <w:rsid w:val="00FC6BDC"/>
    <w:rsid w:val="00FC73DF"/>
    <w:rsid w:val="00FC79DA"/>
    <w:rsid w:val="00FC7BF8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1CB"/>
    <w:rsid w:val="00FD636E"/>
    <w:rsid w:val="00FD6F0D"/>
    <w:rsid w:val="00FE16D9"/>
    <w:rsid w:val="00FE175D"/>
    <w:rsid w:val="00FE1FA5"/>
    <w:rsid w:val="00FE421E"/>
    <w:rsid w:val="00FE45B0"/>
    <w:rsid w:val="00FE45DA"/>
    <w:rsid w:val="00FE484D"/>
    <w:rsid w:val="00FE5279"/>
    <w:rsid w:val="00FE7FFB"/>
    <w:rsid w:val="00FF0DD3"/>
    <w:rsid w:val="00FF1F77"/>
    <w:rsid w:val="00FF2322"/>
    <w:rsid w:val="00FF4101"/>
    <w:rsid w:val="00F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7DF5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val="de-DE"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  <w:rPr>
      <w:lang w:val="de-DE"/>
    </w:r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213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0A0B0FD5-B090-452A-BE64-B25962D6B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1027</Words>
  <Characters>5856</Characters>
  <Application>Microsoft Office Word</Application>
  <DocSecurity>0</DocSecurity>
  <Lines>48</Lines>
  <Paragraphs>13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6870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2021-01-06T06:58:00Z</cp:lastPrinted>
  <dcterms:created xsi:type="dcterms:W3CDTF">2021-05-10T12:23:00Z</dcterms:created>
  <dcterms:modified xsi:type="dcterms:W3CDTF">2021-05-12T10:57:00Z</dcterms:modified>
</cp:coreProperties>
</file>