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A32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upplementary Table 1. The hub genes obtained from WGCNA for AML. </w:t>
      </w:r>
    </w:p>
    <w:p w:rsidR="00D85A32" w:rsidRPr="00AE20E1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upplementary Table 2. The overlapped genes of modules correlating with NPM1 significantly, by analysis based on TCGA and </w:t>
      </w:r>
      <w:proofErr w:type="spellStart"/>
      <w:r>
        <w:rPr>
          <w:rFonts w:ascii="Times New Roman" w:hAnsi="Times New Roman" w:cs="Times New Roman"/>
          <w:sz w:val="24"/>
        </w:rPr>
        <w:t>BeatAML</w:t>
      </w:r>
      <w:proofErr w:type="spellEnd"/>
      <w:r>
        <w:rPr>
          <w:rFonts w:ascii="Times New Roman" w:hAnsi="Times New Roman" w:cs="Times New Roman"/>
          <w:sz w:val="24"/>
        </w:rPr>
        <w:t xml:space="preserve"> database, respectively.</w:t>
      </w:r>
    </w:p>
    <w:p w:rsidR="0033598B" w:rsidRDefault="0033598B"/>
    <w:p w:rsidR="00D85A32" w:rsidRDefault="00D85A32"/>
    <w:p w:rsidR="00D85A32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upplementary Figure 1.</w:t>
      </w:r>
      <w:r w:rsidRPr="00DF6FB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r w:rsidRPr="00DF6FBF">
        <w:rPr>
          <w:rFonts w:ascii="Times New Roman" w:hAnsi="Times New Roman" w:cs="Times New Roman"/>
          <w:sz w:val="24"/>
        </w:rPr>
        <w:t xml:space="preserve">hierarchical cluster </w:t>
      </w:r>
      <w:proofErr w:type="spellStart"/>
      <w:r w:rsidRPr="00DF6FBF">
        <w:rPr>
          <w:rFonts w:ascii="Times New Roman" w:hAnsi="Times New Roman" w:cs="Times New Roman"/>
          <w:sz w:val="24"/>
        </w:rPr>
        <w:t>dendrogram</w:t>
      </w:r>
      <w:proofErr w:type="spellEnd"/>
      <w:r w:rsidRPr="00DF6FBF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DF6FBF">
        <w:rPr>
          <w:rFonts w:ascii="Times New Roman" w:hAnsi="Times New Roman" w:cs="Times New Roman"/>
          <w:sz w:val="24"/>
        </w:rPr>
        <w:t>BeatAML</w:t>
      </w:r>
      <w:proofErr w:type="spellEnd"/>
      <w:r w:rsidRPr="00DF6FBF">
        <w:rPr>
          <w:rFonts w:ascii="Times New Roman" w:hAnsi="Times New Roman" w:cs="Times New Roman"/>
          <w:sz w:val="24"/>
        </w:rPr>
        <w:t xml:space="preserve"> samples. The tips of </w:t>
      </w:r>
      <w:proofErr w:type="spellStart"/>
      <w:r w:rsidRPr="00DF6FBF">
        <w:rPr>
          <w:rFonts w:ascii="Times New Roman" w:hAnsi="Times New Roman" w:cs="Times New Roman"/>
          <w:sz w:val="24"/>
        </w:rPr>
        <w:t>dendrogram</w:t>
      </w:r>
      <w:proofErr w:type="spellEnd"/>
      <w:r w:rsidRPr="00DF6FBF">
        <w:rPr>
          <w:rFonts w:ascii="Times New Roman" w:hAnsi="Times New Roman" w:cs="Times New Roman"/>
          <w:sz w:val="24"/>
        </w:rPr>
        <w:t xml:space="preserve"> referred to sample ID in </w:t>
      </w:r>
      <w:proofErr w:type="spellStart"/>
      <w:r w:rsidRPr="00DF6FBF">
        <w:rPr>
          <w:rFonts w:ascii="Times New Roman" w:hAnsi="Times New Roman" w:cs="Times New Roman"/>
          <w:sz w:val="24"/>
        </w:rPr>
        <w:t>BeatAML</w:t>
      </w:r>
      <w:proofErr w:type="spellEnd"/>
      <w:r w:rsidRPr="00DF6FBF">
        <w:rPr>
          <w:rFonts w:ascii="Times New Roman" w:hAnsi="Times New Roman" w:cs="Times New Roman"/>
          <w:sz w:val="24"/>
        </w:rPr>
        <w:t xml:space="preserve"> database. No obvious outliers were found in this figure.</w:t>
      </w:r>
    </w:p>
    <w:p w:rsidR="00D85A32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upplementary Figure 2. The whole PPI network for the ‘</w:t>
      </w:r>
      <w:proofErr w:type="spellStart"/>
      <w:r>
        <w:rPr>
          <w:rFonts w:ascii="Times New Roman" w:hAnsi="Times New Roman" w:cs="Times New Roman"/>
          <w:sz w:val="24"/>
        </w:rPr>
        <w:t>lightyellow</w:t>
      </w:r>
      <w:proofErr w:type="spellEnd"/>
      <w:r>
        <w:rPr>
          <w:rFonts w:ascii="Times New Roman" w:hAnsi="Times New Roman" w:cs="Times New Roman"/>
          <w:sz w:val="24"/>
        </w:rPr>
        <w:t>’ module.</w:t>
      </w:r>
    </w:p>
    <w:p w:rsidR="00D85A32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upplementary Figure 3. The whole PPI network for the ‘</w:t>
      </w:r>
      <w:proofErr w:type="spellStart"/>
      <w:r>
        <w:rPr>
          <w:rFonts w:ascii="Times New Roman" w:hAnsi="Times New Roman" w:cs="Times New Roman"/>
          <w:sz w:val="24"/>
        </w:rPr>
        <w:t>saddlebrown</w:t>
      </w:r>
      <w:proofErr w:type="spellEnd"/>
      <w:r>
        <w:rPr>
          <w:rFonts w:ascii="Times New Roman" w:hAnsi="Times New Roman" w:cs="Times New Roman"/>
          <w:sz w:val="24"/>
        </w:rPr>
        <w:t>’ module.</w:t>
      </w:r>
    </w:p>
    <w:p w:rsidR="00D85A32" w:rsidRPr="00DF6FBF" w:rsidRDefault="00D85A32" w:rsidP="00D85A32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4. The results of module-trait relationship by WGCNA using TCGA database.</w:t>
      </w:r>
    </w:p>
    <w:p w:rsidR="00D85A32" w:rsidRDefault="00D85A32">
      <w:bookmarkStart w:id="0" w:name="_GoBack"/>
      <w:bookmarkEnd w:id="0"/>
    </w:p>
    <w:sectPr w:rsidR="00D85A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32"/>
    <w:rsid w:val="0033598B"/>
    <w:rsid w:val="00D8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3493F"/>
  <w15:chartTrackingRefBased/>
  <w15:docId w15:val="{5951F616-99D6-4656-901D-1FBDC313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5A3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>Springer Nature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2020-08-07T13:33:00Z</dcterms:created>
  <dcterms:modified xsi:type="dcterms:W3CDTF">2020-08-07T13:33:00Z</dcterms:modified>
</cp:coreProperties>
</file>