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65D0" w14:textId="3B897086" w:rsidR="00AE3D1E" w:rsidRPr="00A61AE7" w:rsidRDefault="00F82025" w:rsidP="00A61AE7">
      <w:pPr>
        <w:rPr>
          <w:rFonts w:ascii="Times New Roman" w:hAnsi="Times New Roman" w:cs="Times New Roman"/>
          <w:sz w:val="24"/>
        </w:rPr>
      </w:pPr>
      <w:r w:rsidRPr="00A61AE7">
        <w:rPr>
          <w:rFonts w:ascii="Times New Roman" w:hAnsi="Times New Roman" w:cs="Times New Roman"/>
          <w:b/>
          <w:bCs/>
          <w:sz w:val="24"/>
        </w:rPr>
        <w:t>S</w:t>
      </w:r>
      <w:r w:rsidRPr="00A61AE7">
        <w:rPr>
          <w:rFonts w:ascii="Times New Roman" w:hAnsi="Times New Roman" w:cs="Times New Roman" w:hint="eastAsia"/>
          <w:b/>
          <w:bCs/>
          <w:sz w:val="24"/>
        </w:rPr>
        <w:t xml:space="preserve">upplementary </w:t>
      </w:r>
      <w:r w:rsidRPr="00A61AE7">
        <w:rPr>
          <w:rFonts w:ascii="Times New Roman" w:hAnsi="Times New Roman" w:cs="Times New Roman"/>
          <w:b/>
          <w:bCs/>
          <w:sz w:val="24"/>
        </w:rPr>
        <w:t xml:space="preserve">Table </w:t>
      </w:r>
      <w:r w:rsidRPr="00A61AE7">
        <w:rPr>
          <w:rFonts w:ascii="Times New Roman" w:hAnsi="Times New Roman" w:cs="Times New Roman" w:hint="eastAsia"/>
          <w:b/>
          <w:bCs/>
          <w:sz w:val="24"/>
        </w:rPr>
        <w:t xml:space="preserve">1 </w:t>
      </w:r>
      <w:r w:rsidRPr="00A61AE7">
        <w:rPr>
          <w:rFonts w:ascii="Times New Roman" w:hAnsi="Times New Roman" w:cs="Times New Roman"/>
          <w:sz w:val="24"/>
        </w:rPr>
        <w:t xml:space="preserve">Evaluation criteria for </w:t>
      </w:r>
      <w:r w:rsidRPr="00A61AE7">
        <w:rPr>
          <w:rFonts w:ascii="Times New Roman" w:hAnsi="Times New Roman" w:cs="Times New Roman" w:hint="eastAsia"/>
          <w:sz w:val="24"/>
        </w:rPr>
        <w:t xml:space="preserve">the </w:t>
      </w:r>
      <w:r w:rsidRPr="00A61AE7">
        <w:rPr>
          <w:rFonts w:ascii="Times New Roman" w:hAnsi="Times New Roman" w:cs="Times New Roman"/>
          <w:sz w:val="24"/>
        </w:rPr>
        <w:t>intestinal inflammation</w:t>
      </w:r>
      <w:r w:rsidRPr="00A61AE7">
        <w:rPr>
          <w:rFonts w:ascii="Times New Roman" w:hAnsi="Times New Roman" w:cs="Times New Roman" w:hint="eastAsia"/>
          <w:sz w:val="24"/>
        </w:rPr>
        <w:t xml:space="preserve"> status</w:t>
      </w:r>
    </w:p>
    <w:tbl>
      <w:tblPr>
        <w:tblStyle w:val="a5"/>
        <w:tblW w:w="4988" w:type="pct"/>
        <w:jc w:val="center"/>
        <w:tblLook w:val="04A0" w:firstRow="1" w:lastRow="0" w:firstColumn="1" w:lastColumn="0" w:noHBand="0" w:noVBand="1"/>
      </w:tblPr>
      <w:tblGrid>
        <w:gridCol w:w="2147"/>
        <w:gridCol w:w="4309"/>
        <w:gridCol w:w="2046"/>
      </w:tblGrid>
      <w:tr w:rsidR="00AE3D1E" w:rsidRPr="00A61AE7" w14:paraId="74C35F58" w14:textId="77777777" w:rsidTr="00796FEF">
        <w:trPr>
          <w:cantSplit/>
          <w:trHeight w:val="396"/>
          <w:tblHeader/>
          <w:jc w:val="center"/>
        </w:trPr>
        <w:tc>
          <w:tcPr>
            <w:tcW w:w="1263" w:type="pct"/>
            <w:vMerge w:val="restart"/>
            <w:vAlign w:val="center"/>
          </w:tcPr>
          <w:p w14:paraId="143E9C1B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The degree of </w:t>
            </w:r>
          </w:p>
          <w:p w14:paraId="0707B672" w14:textId="77777777" w:rsidR="00796FEF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inflammatory </w:t>
            </w:r>
          </w:p>
          <w:p w14:paraId="40F76C7C" w14:textId="3031F16D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cell infiltration</w:t>
            </w:r>
          </w:p>
        </w:tc>
        <w:tc>
          <w:tcPr>
            <w:tcW w:w="2533" w:type="pct"/>
            <w:vAlign w:val="center"/>
          </w:tcPr>
          <w:p w14:paraId="6F099F1F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1AE7">
              <w:rPr>
                <w:rFonts w:ascii="Times New Roman" w:hAnsi="Times New Roman" w:cs="Times New Roman"/>
                <w:b/>
                <w:bCs/>
                <w:sz w:val="24"/>
              </w:rPr>
              <w:t>Description</w:t>
            </w:r>
          </w:p>
        </w:tc>
        <w:tc>
          <w:tcPr>
            <w:tcW w:w="1203" w:type="pct"/>
            <w:vAlign w:val="center"/>
          </w:tcPr>
          <w:p w14:paraId="5F2A4C70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1AE7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</w:tr>
      <w:tr w:rsidR="00AE3D1E" w:rsidRPr="00A61AE7" w14:paraId="7DC07501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062D9A13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1E7C7BFC" w14:textId="5DE56A0D" w:rsidR="00AE3D1E" w:rsidRPr="00A61AE7" w:rsidRDefault="00A61AE7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A61AE7">
              <w:rPr>
                <w:rFonts w:ascii="Times New Roman" w:hAnsi="Times New Roman" w:cs="Times New Roman"/>
                <w:sz w:val="24"/>
              </w:rPr>
              <w:t>o inflammatory cell infiltration</w:t>
            </w:r>
          </w:p>
          <w:p w14:paraId="28AD250D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 in lamina propria</w:t>
            </w:r>
          </w:p>
        </w:tc>
        <w:tc>
          <w:tcPr>
            <w:tcW w:w="1203" w:type="pct"/>
            <w:vAlign w:val="center"/>
          </w:tcPr>
          <w:p w14:paraId="15732789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E3D1E" w:rsidRPr="00A61AE7" w14:paraId="4B666DD7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5B559714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7D91D3DF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Few inflammatory cells infiltration</w:t>
            </w:r>
          </w:p>
          <w:p w14:paraId="5E7A0AA5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 in lamina propria</w:t>
            </w:r>
          </w:p>
        </w:tc>
        <w:tc>
          <w:tcPr>
            <w:tcW w:w="1203" w:type="pct"/>
            <w:vAlign w:val="center"/>
          </w:tcPr>
          <w:p w14:paraId="0AF746DE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3D1E" w:rsidRPr="00A61AE7" w14:paraId="090CEBFF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3390BDFA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52D4F6BC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Numerous inflammatory cells infiltration</w:t>
            </w:r>
          </w:p>
          <w:p w14:paraId="4F0A7F1C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 in lamina propria</w:t>
            </w:r>
          </w:p>
        </w:tc>
        <w:tc>
          <w:tcPr>
            <w:tcW w:w="1203" w:type="pct"/>
            <w:vAlign w:val="center"/>
          </w:tcPr>
          <w:p w14:paraId="60BB35D4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E3D1E" w:rsidRPr="00A61AE7" w14:paraId="453C5DAB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4FC65147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0629011D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Crypt widening and enlargement,</w:t>
            </w:r>
          </w:p>
          <w:p w14:paraId="6E1C73B9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crypt abscess formation</w:t>
            </w:r>
          </w:p>
        </w:tc>
        <w:tc>
          <w:tcPr>
            <w:tcW w:w="1203" w:type="pct"/>
            <w:vAlign w:val="center"/>
          </w:tcPr>
          <w:p w14:paraId="54907744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E3D1E" w:rsidRPr="00A61AE7" w14:paraId="595A524D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37E24D87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7FC4F6CD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Numerous inflammatory cells</w:t>
            </w:r>
          </w:p>
          <w:p w14:paraId="423D109B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 extend into the submucosa</w:t>
            </w:r>
          </w:p>
        </w:tc>
        <w:tc>
          <w:tcPr>
            <w:tcW w:w="1203" w:type="pct"/>
            <w:vAlign w:val="center"/>
          </w:tcPr>
          <w:p w14:paraId="3BB2E725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E3D1E" w:rsidRPr="00A61AE7" w14:paraId="09538872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79144855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1A27E875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The inflammatory cells spread through the submucosal wall, submucosal abscess formation</w:t>
            </w:r>
          </w:p>
        </w:tc>
        <w:tc>
          <w:tcPr>
            <w:tcW w:w="1203" w:type="pct"/>
            <w:vAlign w:val="center"/>
          </w:tcPr>
          <w:p w14:paraId="080D827C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E3D1E" w:rsidRPr="00A61AE7" w14:paraId="06683E40" w14:textId="77777777" w:rsidTr="00796FEF">
        <w:trPr>
          <w:cantSplit/>
          <w:trHeight w:val="410"/>
          <w:tblHeader/>
          <w:jc w:val="center"/>
        </w:trPr>
        <w:tc>
          <w:tcPr>
            <w:tcW w:w="1263" w:type="pct"/>
            <w:vMerge w:val="restart"/>
            <w:vAlign w:val="center"/>
          </w:tcPr>
          <w:p w14:paraId="64A63622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Structural integrity of intestinal wall</w:t>
            </w:r>
          </w:p>
        </w:tc>
        <w:tc>
          <w:tcPr>
            <w:tcW w:w="2533" w:type="pct"/>
            <w:vAlign w:val="center"/>
          </w:tcPr>
          <w:p w14:paraId="5777A372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1AE7">
              <w:rPr>
                <w:rFonts w:ascii="Times New Roman" w:hAnsi="Times New Roman" w:cs="Times New Roman"/>
                <w:b/>
                <w:bCs/>
                <w:sz w:val="24"/>
              </w:rPr>
              <w:t>Description</w:t>
            </w:r>
          </w:p>
        </w:tc>
        <w:tc>
          <w:tcPr>
            <w:tcW w:w="1203" w:type="pct"/>
            <w:vAlign w:val="center"/>
          </w:tcPr>
          <w:p w14:paraId="23C6383D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1AE7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</w:tr>
      <w:tr w:rsidR="00AE3D1E" w:rsidRPr="00A61AE7" w14:paraId="60F1D4BA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6828D8AA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020CF38A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Structural integrity, clear epithelial layers</w:t>
            </w:r>
          </w:p>
        </w:tc>
        <w:tc>
          <w:tcPr>
            <w:tcW w:w="1203" w:type="pct"/>
            <w:vAlign w:val="center"/>
          </w:tcPr>
          <w:p w14:paraId="45E79953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E3D1E" w:rsidRPr="00A61AE7" w14:paraId="2DB47AC3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387AD0AB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5AA3F594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Minor epithelial damage</w:t>
            </w:r>
          </w:p>
        </w:tc>
        <w:tc>
          <w:tcPr>
            <w:tcW w:w="1203" w:type="pct"/>
            <w:vAlign w:val="center"/>
          </w:tcPr>
          <w:p w14:paraId="5F111737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3D1E" w:rsidRPr="00A61AE7" w14:paraId="77169764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7FD66640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5F1D962A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Crypt malmorphology,</w:t>
            </w:r>
          </w:p>
          <w:p w14:paraId="0D16BF46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 epithelial goblet cells decreasing</w:t>
            </w:r>
          </w:p>
        </w:tc>
        <w:tc>
          <w:tcPr>
            <w:tcW w:w="1203" w:type="pct"/>
            <w:vAlign w:val="center"/>
          </w:tcPr>
          <w:p w14:paraId="3CB49721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E3D1E" w:rsidRPr="00A61AE7" w14:paraId="46047FEA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38BABF54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6F4AD7D9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Angiogenesis, granuloma formation </w:t>
            </w:r>
          </w:p>
        </w:tc>
        <w:tc>
          <w:tcPr>
            <w:tcW w:w="1203" w:type="pct"/>
            <w:vAlign w:val="center"/>
          </w:tcPr>
          <w:p w14:paraId="254793F9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E3D1E" w:rsidRPr="00A61AE7" w14:paraId="7B45A611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35AC0049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2293C6EA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 xml:space="preserve">Massive necrosis of mucosal layer cells, </w:t>
            </w:r>
          </w:p>
          <w:p w14:paraId="1A42C30C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multiple crypt abscesses, ulceration formation</w:t>
            </w:r>
          </w:p>
        </w:tc>
        <w:tc>
          <w:tcPr>
            <w:tcW w:w="1203" w:type="pct"/>
            <w:vAlign w:val="center"/>
          </w:tcPr>
          <w:p w14:paraId="0E415424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E3D1E" w:rsidRPr="00A61AE7" w14:paraId="26F78262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3A00D4D6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4CF1D68E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Loss of normal intestinal epithelial layers, epithelial atrophy</w:t>
            </w:r>
          </w:p>
        </w:tc>
        <w:tc>
          <w:tcPr>
            <w:tcW w:w="1203" w:type="pct"/>
            <w:vAlign w:val="center"/>
          </w:tcPr>
          <w:p w14:paraId="74C0E3FE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E3D1E" w:rsidRPr="00A61AE7" w14:paraId="64BF28CB" w14:textId="77777777" w:rsidTr="00796FEF">
        <w:trPr>
          <w:cantSplit/>
          <w:trHeight w:val="184"/>
          <w:tblHeader/>
          <w:jc w:val="center"/>
        </w:trPr>
        <w:tc>
          <w:tcPr>
            <w:tcW w:w="1263" w:type="pct"/>
            <w:vMerge/>
            <w:vAlign w:val="center"/>
          </w:tcPr>
          <w:p w14:paraId="0051ADDE" w14:textId="77777777" w:rsidR="00AE3D1E" w:rsidRPr="00A61AE7" w:rsidRDefault="00AE3D1E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3" w:type="pct"/>
            <w:vAlign w:val="center"/>
          </w:tcPr>
          <w:p w14:paraId="5887BCF8" w14:textId="54317660" w:rsidR="00AE3D1E" w:rsidRPr="00A61AE7" w:rsidRDefault="00F25435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5435">
              <w:rPr>
                <w:rFonts w:ascii="Times New Roman" w:hAnsi="Times New Roman" w:cs="Times New Roman"/>
                <w:sz w:val="24"/>
              </w:rPr>
              <w:t>Pseudopolyp</w:t>
            </w:r>
            <w:r w:rsidR="00000000" w:rsidRPr="00A61AE7">
              <w:rPr>
                <w:rFonts w:ascii="Times New Roman" w:hAnsi="Times New Roman" w:cs="Times New Roman"/>
                <w:sz w:val="24"/>
              </w:rPr>
              <w:t xml:space="preserve"> formation</w:t>
            </w:r>
          </w:p>
        </w:tc>
        <w:tc>
          <w:tcPr>
            <w:tcW w:w="1203" w:type="pct"/>
            <w:vAlign w:val="center"/>
          </w:tcPr>
          <w:p w14:paraId="6A694D16" w14:textId="77777777" w:rsidR="00AE3D1E" w:rsidRPr="00A61AE7" w:rsidRDefault="00000000" w:rsidP="00796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AE7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14:paraId="5FBB8E82" w14:textId="77777777" w:rsidR="00AE3D1E" w:rsidRDefault="00AE3D1E" w:rsidP="00796FEF">
      <w:pPr>
        <w:rPr>
          <w:rFonts w:ascii="Times New Roman" w:hAnsi="Times New Roman" w:cs="Times New Roman"/>
        </w:rPr>
      </w:pPr>
    </w:p>
    <w:sectPr w:rsidR="00AE3D1E" w:rsidSect="00A61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A1AC6" w14:textId="77777777" w:rsidR="00782B68" w:rsidRDefault="00782B68" w:rsidP="00F82025">
      <w:r>
        <w:separator/>
      </w:r>
    </w:p>
  </w:endnote>
  <w:endnote w:type="continuationSeparator" w:id="0">
    <w:p w14:paraId="43A493E7" w14:textId="77777777" w:rsidR="00782B68" w:rsidRDefault="00782B68" w:rsidP="00F8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576BC" w14:textId="77777777" w:rsidR="00782B68" w:rsidRDefault="00782B68" w:rsidP="00F82025">
      <w:r>
        <w:separator/>
      </w:r>
    </w:p>
  </w:footnote>
  <w:footnote w:type="continuationSeparator" w:id="0">
    <w:p w14:paraId="032CE6AB" w14:textId="77777777" w:rsidR="00782B68" w:rsidRDefault="00782B68" w:rsidP="00F82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UxMTJjNTNiNThjMTVlMjQzMWM3NzNjY2ZkOGFjYTcifQ=="/>
  </w:docVars>
  <w:rsids>
    <w:rsidRoot w:val="00AE3D1E"/>
    <w:rsid w:val="000064A5"/>
    <w:rsid w:val="00013F0F"/>
    <w:rsid w:val="0002723B"/>
    <w:rsid w:val="00046483"/>
    <w:rsid w:val="00115462"/>
    <w:rsid w:val="00125D93"/>
    <w:rsid w:val="00131410"/>
    <w:rsid w:val="001A3FB5"/>
    <w:rsid w:val="001F2FFA"/>
    <w:rsid w:val="00320AD9"/>
    <w:rsid w:val="00344DAE"/>
    <w:rsid w:val="00352BC8"/>
    <w:rsid w:val="00366F1E"/>
    <w:rsid w:val="003773CF"/>
    <w:rsid w:val="003A74CD"/>
    <w:rsid w:val="003D66CA"/>
    <w:rsid w:val="00450ECB"/>
    <w:rsid w:val="004F02E6"/>
    <w:rsid w:val="005143C6"/>
    <w:rsid w:val="00526946"/>
    <w:rsid w:val="0055365F"/>
    <w:rsid w:val="005B2AE3"/>
    <w:rsid w:val="006610FB"/>
    <w:rsid w:val="00694472"/>
    <w:rsid w:val="00770996"/>
    <w:rsid w:val="00782B68"/>
    <w:rsid w:val="00796FEF"/>
    <w:rsid w:val="00851CD5"/>
    <w:rsid w:val="0086038F"/>
    <w:rsid w:val="00920031"/>
    <w:rsid w:val="00935785"/>
    <w:rsid w:val="00941D20"/>
    <w:rsid w:val="009D6037"/>
    <w:rsid w:val="009F7EC9"/>
    <w:rsid w:val="00A21539"/>
    <w:rsid w:val="00A53AF1"/>
    <w:rsid w:val="00A54C9E"/>
    <w:rsid w:val="00A61AE7"/>
    <w:rsid w:val="00A7283F"/>
    <w:rsid w:val="00AB4064"/>
    <w:rsid w:val="00AB557C"/>
    <w:rsid w:val="00AE3D1E"/>
    <w:rsid w:val="00B30270"/>
    <w:rsid w:val="00B43782"/>
    <w:rsid w:val="00B62301"/>
    <w:rsid w:val="00BE5477"/>
    <w:rsid w:val="00BF2246"/>
    <w:rsid w:val="00C41446"/>
    <w:rsid w:val="00C54655"/>
    <w:rsid w:val="00D11668"/>
    <w:rsid w:val="00DA2BF0"/>
    <w:rsid w:val="00DC2C50"/>
    <w:rsid w:val="00E2338F"/>
    <w:rsid w:val="00E24C49"/>
    <w:rsid w:val="00E9012B"/>
    <w:rsid w:val="00ED1749"/>
    <w:rsid w:val="00F06784"/>
    <w:rsid w:val="00F12506"/>
    <w:rsid w:val="00F25435"/>
    <w:rsid w:val="00F655A5"/>
    <w:rsid w:val="00F82025"/>
    <w:rsid w:val="0E7D059C"/>
    <w:rsid w:val="1C6A61E2"/>
    <w:rsid w:val="272C21D7"/>
    <w:rsid w:val="2E0223CE"/>
    <w:rsid w:val="2FF024D4"/>
    <w:rsid w:val="36DD3FC4"/>
    <w:rsid w:val="51F5455F"/>
    <w:rsid w:val="53203237"/>
    <w:rsid w:val="584C343B"/>
    <w:rsid w:val="588A1223"/>
    <w:rsid w:val="623E712D"/>
    <w:rsid w:val="64C6609C"/>
    <w:rsid w:val="685C6EC6"/>
    <w:rsid w:val="6BB97D35"/>
    <w:rsid w:val="7747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BCC6B4"/>
  <w15:docId w15:val="{CF874AB1-A44D-45E9-AE34-0B8848CA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4C00B-774C-4BDC-A9D0-521470E5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丽华 吴</cp:lastModifiedBy>
  <cp:revision>26</cp:revision>
  <dcterms:created xsi:type="dcterms:W3CDTF">2024-06-05T05:59:00Z</dcterms:created>
  <dcterms:modified xsi:type="dcterms:W3CDTF">2024-10-11T05:47:00Z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6C5597AB1A5B4BA48D1293EC9150E4B5_12</vt:lpwstr>
  </property>
</Properties>
</file>