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F310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8"/>
          <w:szCs w:val="28"/>
          <w:lang w:val="en-US" w:eastAsia="zh-CN" w:bidi="ar-SA"/>
        </w:rPr>
        <w:t>Gold Nanoclusters</w:t>
      </w:r>
      <w:r>
        <w:rPr>
          <w:rFonts w:hint="eastAsia" w:ascii="Times New Roman" w:hAnsi="Times New Roman" w:cs="Times New Roman"/>
          <w:b/>
          <w:bCs/>
          <w:kern w:val="2"/>
          <w:sz w:val="28"/>
          <w:szCs w:val="28"/>
          <w:lang w:val="en-US" w:eastAsia="zh-CN" w:bidi="ar-SA"/>
        </w:rPr>
        <w:t xml:space="preserve"> D</w:t>
      </w:r>
      <w:r>
        <w:rPr>
          <w:rFonts w:hint="eastAsia" w:ascii="Times New Roman" w:hAnsi="Times New Roman" w:eastAsia="宋体" w:cs="Times New Roman"/>
          <w:b/>
          <w:bCs/>
          <w:kern w:val="2"/>
          <w:sz w:val="28"/>
          <w:szCs w:val="28"/>
          <w:lang w:val="en-US" w:eastAsia="zh-CN" w:bidi="ar-SA"/>
        </w:rPr>
        <w:t>ecorated</w:t>
      </w:r>
      <w:r>
        <w:rPr>
          <w:rFonts w:hint="eastAsia" w:ascii="Times New Roman" w:hAnsi="Times New Roman" w:cs="Times New Roman"/>
          <w:b/>
          <w:bCs/>
          <w:kern w:val="2"/>
          <w:sz w:val="28"/>
          <w:szCs w:val="28"/>
          <w:lang w:val="en-US" w:eastAsia="zh-CN" w:bidi="ar-SA"/>
        </w:rPr>
        <w:t xml:space="preserve"> Hollow ZIF-8</w:t>
      </w:r>
      <w:r>
        <w:rPr>
          <w:rFonts w:hint="eastAsia" w:ascii="Times New Roman" w:hAnsi="Times New Roman" w:eastAsia="宋体" w:cs="Times New Roman"/>
          <w:b/>
          <w:bCs/>
          <w:kern w:val="2"/>
          <w:sz w:val="28"/>
          <w:szCs w:val="28"/>
          <w:lang w:val="en-US" w:eastAsia="zh-CN" w:bidi="ar-SA"/>
        </w:rPr>
        <w:t xml:space="preserve"> </w:t>
      </w:r>
      <w:r>
        <w:rPr>
          <w:rFonts w:hint="eastAsia" w:ascii="Times New Roman" w:hAnsi="Times New Roman" w:cs="Times New Roman"/>
          <w:b/>
          <w:bCs/>
          <w:kern w:val="2"/>
          <w:sz w:val="28"/>
          <w:szCs w:val="28"/>
          <w:lang w:val="en-US" w:eastAsia="zh-CN" w:bidi="ar-SA"/>
        </w:rPr>
        <w:t>E</w:t>
      </w:r>
      <w:r>
        <w:rPr>
          <w:rFonts w:hint="default" w:ascii="Times New Roman" w:hAnsi="Times New Roman" w:eastAsia="宋体" w:cs="Times New Roman"/>
          <w:b/>
          <w:bCs/>
          <w:kern w:val="2"/>
          <w:sz w:val="28"/>
          <w:szCs w:val="28"/>
          <w:lang w:val="en-US" w:eastAsia="zh-CN" w:bidi="ar-SA"/>
        </w:rPr>
        <w:t xml:space="preserve">ncapsulating 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I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t>ron-catecholates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 as 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instrText xml:space="preserve"> HYPERLINK "https://pubmed.ncbi.nlm.nih.gov/37504147/" </w:instrText>
      </w: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fldChar w:fldCharType="separate"/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>Oxidase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>Mim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et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>ics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>for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>Ratiometric Colorimetric Detection of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>Nitrite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fldChar w:fldCharType="end"/>
      </w:r>
    </w:p>
    <w:p w14:paraId="757F00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b/>
          <w:bCs/>
          <w:sz w:val="28"/>
          <w:szCs w:val="28"/>
        </w:rPr>
      </w:pPr>
    </w:p>
    <w:p w14:paraId="4DD8D78C">
      <w:pPr>
        <w:widowControl/>
        <w:rPr>
          <w:rFonts w:hint="eastAsia"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</w:rPr>
        <w:t xml:space="preserve">Cunhui Wu, 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 xml:space="preserve">Mengzhen Dai, </w:t>
      </w:r>
      <w:r>
        <w:rPr>
          <w:rFonts w:hint="eastAsia" w:ascii="Times New Roman" w:hAnsi="Times New Roman"/>
          <w:sz w:val="28"/>
          <w:szCs w:val="28"/>
        </w:rPr>
        <w:t xml:space="preserve">Xinguang Qin, </w:t>
      </w:r>
      <w:r>
        <w:rPr>
          <w:rFonts w:ascii="Times New Roman" w:hAnsi="Times New Roman"/>
          <w:sz w:val="28"/>
          <w:szCs w:val="28"/>
        </w:rPr>
        <w:t>Gang Liu</w:t>
      </w:r>
      <w:r>
        <w:rPr>
          <w:rFonts w:hint="eastAsia"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Haizhi Zhang*</w:t>
      </w:r>
      <w:r>
        <w:rPr>
          <w:rFonts w:hint="eastAsia"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47516D54">
      <w:pPr>
        <w:widowControl/>
        <w:rPr>
          <w:rFonts w:ascii="Times New Roman" w:hAnsi="Times New Roman"/>
          <w:sz w:val="28"/>
          <w:szCs w:val="28"/>
        </w:rPr>
      </w:pPr>
    </w:p>
    <w:p w14:paraId="3AC77076">
      <w:pPr>
        <w:widowControl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College of Food Science and Engineering, Wuhan Polytechnic University, Wuhan430023, China </w:t>
      </w:r>
    </w:p>
    <w:p w14:paraId="58A5ED66">
      <w:pPr>
        <w:widowControl/>
        <w:rPr>
          <w:rFonts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  <w:vertAlign w:val="superscript"/>
        </w:rPr>
        <w:t xml:space="preserve"> </w:t>
      </w:r>
    </w:p>
    <w:p w14:paraId="77DC3169">
      <w:pPr>
        <w:widowControl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*Correspondence to: </w:t>
      </w:r>
      <w:bookmarkStart w:id="0" w:name="OLE_LINK106"/>
      <w:bookmarkStart w:id="1" w:name="_Hlk67064976"/>
      <w:r>
        <w:rPr>
          <w:rFonts w:ascii="Times New Roman" w:hAnsi="Times New Roman"/>
          <w:sz w:val="28"/>
          <w:szCs w:val="28"/>
        </w:rPr>
        <w:t>Haizhi Zhang</w:t>
      </w:r>
      <w:bookmarkEnd w:id="0"/>
      <w:bookmarkEnd w:id="1"/>
      <w:r>
        <w:rPr>
          <w:rFonts w:ascii="Times New Roman" w:hAnsi="Times New Roman"/>
          <w:sz w:val="28"/>
          <w:szCs w:val="28"/>
        </w:rPr>
        <w:t xml:space="preserve"> </w:t>
      </w:r>
    </w:p>
    <w:p w14:paraId="7B4666DC">
      <w:pPr>
        <w:widowControl/>
        <w:rPr>
          <w:rFonts w:hint="default" w:ascii="Times New Roman" w:hAnsi="Times New Roman" w:eastAsia="宋体"/>
          <w:sz w:val="28"/>
          <w:szCs w:val="28"/>
          <w:lang w:val="en-US" w:eastAsia="zh-CN"/>
        </w:rPr>
      </w:pPr>
      <w:r>
        <w:rPr>
          <w:rFonts w:ascii="Times New Roman" w:hAnsi="Times New Roman"/>
          <w:sz w:val="28"/>
          <w:szCs w:val="28"/>
        </w:rPr>
        <w:t>Full postal address:</w:t>
      </w:r>
      <w:r>
        <w:rPr>
          <w:rFonts w:hint="eastAsia" w:ascii="Times New Roman" w:hAnsi="Times New Roman"/>
          <w:sz w:val="28"/>
          <w:szCs w:val="28"/>
        </w:rPr>
        <w:t xml:space="preserve"> </w:t>
      </w:r>
      <w:bookmarkStart w:id="2" w:name="_Hlk67064892"/>
      <w:r>
        <w:rPr>
          <w:rFonts w:hint="eastAsia" w:ascii="Times New Roman" w:hAnsi="Times New Roman"/>
          <w:sz w:val="28"/>
          <w:szCs w:val="28"/>
        </w:rPr>
        <w:t>Xuefu South Road No.68, Changqing Garden, Wuhan City, Hubei Province, 430023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, China</w:t>
      </w:r>
      <w:bookmarkStart w:id="4" w:name="_GoBack"/>
      <w:bookmarkEnd w:id="4"/>
    </w:p>
    <w:bookmarkEnd w:id="2"/>
    <w:p w14:paraId="1AED27C9">
      <w:pPr>
        <w:widowControl/>
        <w:numPr>
          <w:ilvl w:val="0"/>
          <w:numId w:val="1"/>
        </w:numPr>
        <w:ind w:left="0"/>
        <w:rPr>
          <w:rFonts w:hint="default" w:ascii="Times New Roman" w:hAnsi="Times New Roman" w:cs="Times New Roman"/>
          <w:color w:val="auto"/>
        </w:rPr>
        <w:sectPr>
          <w:pgSz w:w="11906" w:h="16838"/>
          <w:pgMar w:top="1440" w:right="1800" w:bottom="1440" w:left="1800" w:header="851" w:footer="992" w:gutter="0"/>
          <w:lnNumType w:countBy="0" w:restart="continuous"/>
          <w:cols w:space="425" w:num="1"/>
          <w:docGrid w:type="lines" w:linePitch="312" w:charSpace="0"/>
        </w:sectPr>
      </w:pPr>
      <w:r>
        <w:rPr>
          <w:rFonts w:ascii="Times New Roman" w:hAnsi="Times New Roman"/>
          <w:sz w:val="28"/>
          <w:szCs w:val="28"/>
        </w:rPr>
        <w:t>mail:</w:t>
      </w:r>
      <w:bookmarkStart w:id="3" w:name="_Hlk67064870"/>
      <w:r>
        <w:rPr>
          <w:rFonts w:ascii="Times New Roman" w:hAnsi="Times New Roman"/>
          <w:sz w:val="28"/>
          <w:szCs w:val="28"/>
        </w:rPr>
        <w:t xml:space="preserve"> </w:t>
      </w:r>
      <w:r>
        <w:fldChar w:fldCharType="begin"/>
      </w:r>
      <w:r>
        <w:instrText xml:space="preserve"> HYPERLINK "mailto:hzzhang@iccas.ac.cn" </w:instrText>
      </w:r>
      <w:r>
        <w:fldChar w:fldCharType="separate"/>
      </w:r>
      <w:r>
        <w:rPr>
          <w:rStyle w:val="5"/>
          <w:rFonts w:ascii="Times New Roman" w:hAnsi="Times New Roman"/>
          <w:sz w:val="28"/>
          <w:szCs w:val="28"/>
        </w:rPr>
        <w:t>hzzhang@iccas.ac.cn</w:t>
      </w:r>
      <w:r>
        <w:rPr>
          <w:rStyle w:val="5"/>
          <w:rFonts w:ascii="Times New Roman" w:hAnsi="Times New Roman"/>
          <w:sz w:val="28"/>
          <w:szCs w:val="28"/>
        </w:rPr>
        <w:fldChar w:fldCharType="end"/>
      </w:r>
      <w:r>
        <w:rPr>
          <w:rFonts w:ascii="Times New Roman" w:hAnsi="Times New Roman"/>
          <w:sz w:val="28"/>
          <w:szCs w:val="28"/>
        </w:rPr>
        <w:t xml:space="preserve"> (H.Z.Z.)</w:t>
      </w:r>
      <w:bookmarkEnd w:id="3"/>
    </w:p>
    <w:p w14:paraId="21545A1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60" w:line="300" w:lineRule="auto"/>
        <w:jc w:val="center"/>
        <w:textAlignment w:val="auto"/>
        <w:outlineLvl w:val="2"/>
        <w:rPr>
          <w:rFonts w:hint="default" w:ascii="Times New Roman" w:hAnsi="Times New Roman" w:cs="Times New Roman"/>
          <w:color w:val="auto"/>
        </w:rPr>
      </w:pPr>
      <w:r>
        <w:drawing>
          <wp:inline distT="0" distB="0" distL="114300" distR="114300">
            <wp:extent cx="5268595" cy="1917700"/>
            <wp:effectExtent l="0" t="0" r="1905" b="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91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D341F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60" w:line="300" w:lineRule="auto"/>
        <w:jc w:val="center"/>
        <w:textAlignment w:val="auto"/>
        <w:outlineLvl w:val="2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S1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(A-B) </w:t>
      </w:r>
      <w:r>
        <w:rPr>
          <w:rFonts w:hint="default" w:ascii="Times New Roman" w:hAnsi="Times New Roman" w:cs="Times New Roman"/>
          <w:sz w:val="24"/>
          <w:szCs w:val="24"/>
        </w:rPr>
        <w:t>TEM image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of Fe-HHTP@HZIF-8@Au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NCs</w:t>
      </w:r>
    </w:p>
    <w:p w14:paraId="05082EA9">
      <w:pPr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br w:type="page"/>
      </w:r>
    </w:p>
    <w:p w14:paraId="7B0F38B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60" w:line="300" w:lineRule="auto"/>
        <w:jc w:val="center"/>
        <w:textAlignment w:val="auto"/>
        <w:outlineLvl w:val="2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4418965" cy="3690620"/>
            <wp:effectExtent l="0" t="0" r="635" b="5080"/>
            <wp:docPr id="2" name="图片 2" descr="支撑材料图片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支撑材料图片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18965" cy="3690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CA9E3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60" w:line="300" w:lineRule="auto"/>
        <w:jc w:val="center"/>
        <w:textAlignment w:val="auto"/>
        <w:outlineLvl w:val="2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S2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High-resolution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XPS spectra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of Zn 2p, </w:t>
      </w:r>
      <w:r>
        <w:rPr>
          <w:rFonts w:hint="default" w:ascii="Times New Roman" w:hAnsi="Times New Roman" w:cs="Times New Roman"/>
          <w:sz w:val="24"/>
          <w:szCs w:val="24"/>
        </w:rPr>
        <w:t>C1s,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N1s,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O1s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in </w:t>
      </w:r>
      <w:r>
        <w:rPr>
          <w:rFonts w:hint="default" w:ascii="Times New Roman" w:hAnsi="Times New Roman" w:cs="Times New Roman"/>
          <w:sz w:val="24"/>
          <w:szCs w:val="24"/>
        </w:rPr>
        <w:t>Fe-HHTP@HZIF-8@Au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NCs</w:t>
      </w:r>
    </w:p>
    <w:p w14:paraId="29BB4CA7"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br w:type="page"/>
      </w:r>
    </w:p>
    <w:p w14:paraId="79BC576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60" w:line="300" w:lineRule="auto"/>
        <w:jc w:val="center"/>
        <w:textAlignment w:val="auto"/>
        <w:outlineLvl w:val="2"/>
        <w:rPr>
          <w:rFonts w:hint="default" w:ascii="Times New Roman" w:hAnsi="Times New Roman" w:cs="Times New Roman"/>
          <w:sz w:val="24"/>
          <w:szCs w:val="24"/>
        </w:rPr>
      </w:pPr>
    </w:p>
    <w:p w14:paraId="64D87D9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60" w:line="300" w:lineRule="auto"/>
        <w:jc w:val="center"/>
        <w:textAlignment w:val="auto"/>
        <w:outlineLvl w:val="2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754370" cy="1595120"/>
            <wp:effectExtent l="0" t="0" r="11430" b="5080"/>
            <wp:docPr id="4" name="图片 4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ure S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4370" cy="1595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5A798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60" w:line="300" w:lineRule="auto"/>
        <w:jc w:val="center"/>
        <w:textAlignment w:val="auto"/>
        <w:outlineLvl w:val="2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S3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EPR</w:t>
      </w:r>
      <w:r>
        <w:rPr>
          <w:rFonts w:hint="default" w:ascii="Times New Roman" w:hAnsi="Times New Roman" w:cs="Times New Roman"/>
          <w:sz w:val="24"/>
          <w:szCs w:val="24"/>
        </w:rPr>
        <w:t xml:space="preserve"> spectrum of Fe-HHTP@HZIF-8@Au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NCs</w:t>
      </w:r>
    </w:p>
    <w:p w14:paraId="37EAE8E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60" w:line="300" w:lineRule="auto"/>
        <w:jc w:val="center"/>
        <w:textAlignment w:val="auto"/>
        <w:outlineLvl w:val="2"/>
        <w:rPr>
          <w:rFonts w:hint="default"/>
        </w:rPr>
      </w:pPr>
    </w:p>
    <w:p w14:paraId="3C6F1BF0">
      <w:r>
        <w:br w:type="page"/>
      </w:r>
    </w:p>
    <w:p w14:paraId="4425D5E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60" w:line="300" w:lineRule="auto"/>
        <w:jc w:val="center"/>
        <w:textAlignment w:val="auto"/>
        <w:outlineLvl w:val="2"/>
      </w:pPr>
    </w:p>
    <w:p w14:paraId="4EFF6688">
      <w:pPr>
        <w:jc w:val="center"/>
      </w:pPr>
      <w:r>
        <w:drawing>
          <wp:inline distT="0" distB="0" distL="114300" distR="114300">
            <wp:extent cx="3039110" cy="2341880"/>
            <wp:effectExtent l="0" t="0" r="8890" b="762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39110" cy="2341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5773D6">
      <w:pPr>
        <w:jc w:val="center"/>
        <w:rPr>
          <w:rFonts w:hint="default" w:ascii="Times New Roman" w:hAnsi="Times New Roman" w:eastAsia="宋体" w:cs="Times New Roman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-SA"/>
        </w:rPr>
        <w:t>Figure S</w:t>
      </w:r>
      <w:r>
        <w:rPr>
          <w:rFonts w:hint="eastAsia" w:ascii="Times New Roman" w:hAnsi="Times New Roman" w:cs="Times New Roman"/>
          <w:b/>
          <w:bCs/>
          <w:kern w:val="2"/>
          <w:sz w:val="24"/>
          <w:szCs w:val="24"/>
          <w:lang w:val="en-US" w:eastAsia="zh-CN" w:bidi="ar-SA"/>
        </w:rPr>
        <w:t>4</w:t>
      </w:r>
      <w:r>
        <w:rPr>
          <w:rFonts w:hint="eastAsia" w:ascii="Times New Roman" w:hAnsi="Times New Roman" w:cs="Times New Roman"/>
          <w:b w:val="0"/>
          <w:bCs w:val="0"/>
          <w:kern w:val="2"/>
          <w:sz w:val="24"/>
          <w:szCs w:val="24"/>
          <w:lang w:val="en-US" w:eastAsia="zh-CN" w:bidi="ar-SA"/>
        </w:rPr>
        <w:t xml:space="preserve"> L</w:t>
      </w:r>
      <w:r>
        <w:rPr>
          <w:rFonts w:hint="default" w:ascii="Times New Roman" w:hAnsi="Times New Roman" w:eastAsia="宋体" w:cs="Times New Roman"/>
          <w:b w:val="0"/>
          <w:bCs w:val="0"/>
          <w:kern w:val="2"/>
          <w:sz w:val="24"/>
          <w:szCs w:val="24"/>
          <w:lang w:val="en-US" w:eastAsia="zh-CN" w:bidi="ar-SA"/>
        </w:rPr>
        <w:t xml:space="preserve">inear relationship between </w:t>
      </w:r>
      <w:r>
        <w:rPr>
          <w:rFonts w:hint="eastAsia" w:ascii="Times New Roman" w:hAnsi="Times New Roman" w:cs="Times New Roman"/>
          <w:b w:val="0"/>
          <w:bCs w:val="0"/>
          <w:kern w:val="2"/>
          <w:sz w:val="24"/>
          <w:szCs w:val="24"/>
          <w:lang w:val="en-US" w:eastAsia="zh-CN" w:bidi="ar-SA"/>
        </w:rPr>
        <w:t xml:space="preserve">UV </w:t>
      </w:r>
      <w:r>
        <w:rPr>
          <w:rFonts w:hint="default" w:ascii="Times New Roman" w:hAnsi="Times New Roman" w:eastAsia="宋体" w:cs="Times New Roman"/>
          <w:b w:val="0"/>
          <w:bCs w:val="0"/>
          <w:kern w:val="2"/>
          <w:sz w:val="24"/>
          <w:szCs w:val="24"/>
          <w:lang w:val="en-US" w:eastAsia="zh-CN" w:bidi="ar-SA"/>
        </w:rPr>
        <w:t xml:space="preserve">absorbance (540 nm) and </w:t>
      </w:r>
      <w:r>
        <w:rPr>
          <w:rFonts w:hint="eastAsia" w:ascii="Times New Roman" w:hAnsi="Times New Roman" w:cs="Times New Roman"/>
          <w:b w:val="0"/>
          <w:bCs w:val="0"/>
          <w:kern w:val="2"/>
          <w:sz w:val="24"/>
          <w:szCs w:val="24"/>
          <w:lang w:val="en-US" w:eastAsia="zh-CN" w:bidi="ar-SA"/>
        </w:rPr>
        <w:t xml:space="preserve">different </w:t>
      </w:r>
      <w:r>
        <w:rPr>
          <w:rFonts w:hint="default" w:ascii="Times New Roman" w:hAnsi="Times New Roman" w:eastAsia="宋体" w:cs="Times New Roman"/>
          <w:b w:val="0"/>
          <w:bCs w:val="0"/>
          <w:kern w:val="2"/>
          <w:sz w:val="24"/>
          <w:szCs w:val="24"/>
          <w:lang w:val="en-US" w:eastAsia="zh-CN" w:bidi="ar-SA"/>
        </w:rPr>
        <w:t xml:space="preserve">nitrite concentration obtained by </w:t>
      </w:r>
      <w:r>
        <w:rPr>
          <w:rFonts w:hint="eastAsia" w:ascii="Times New Roman" w:hAnsi="Times New Roman" w:cs="Times New Roman"/>
          <w:b w:val="0"/>
          <w:bCs w:val="0"/>
          <w:kern w:val="2"/>
          <w:sz w:val="24"/>
          <w:szCs w:val="24"/>
          <w:lang w:val="en-US" w:eastAsia="zh-CN" w:bidi="ar-SA"/>
        </w:rPr>
        <w:t>using</w:t>
      </w:r>
      <w:r>
        <w:rPr>
          <w:rFonts w:hint="default" w:ascii="Times New Roman" w:hAnsi="Times New Roman" w:eastAsia="宋体" w:cs="Times New Roman"/>
          <w:b w:val="0"/>
          <w:bCs w:val="0"/>
          <w:kern w:val="2"/>
          <w:sz w:val="24"/>
          <w:szCs w:val="24"/>
          <w:lang w:val="en-US" w:eastAsia="zh-CN" w:bidi="ar-SA"/>
        </w:rPr>
        <w:t xml:space="preserve"> commercial kit.</w:t>
      </w:r>
    </w:p>
    <w:p w14:paraId="4C10FDC4">
      <w:pPr>
        <w:jc w:val="center"/>
        <w:rPr>
          <w:rFonts w:hint="default" w:ascii="Times New Roman" w:hAnsi="Times New Roman" w:eastAsia="宋体" w:cs="Times New Roman"/>
          <w:b w:val="0"/>
          <w:bCs w:val="0"/>
          <w:kern w:val="2"/>
          <w:sz w:val="24"/>
          <w:szCs w:val="24"/>
          <w:lang w:val="en-US" w:eastAsia="zh-CN" w:bidi="ar-SA"/>
        </w:rPr>
      </w:pPr>
    </w:p>
    <w:p w14:paraId="62D20AE9">
      <w:pPr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color w:val="auto"/>
        </w:rPr>
        <w:br w:type="page"/>
      </w:r>
    </w:p>
    <w:p w14:paraId="7ECFC6C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60" w:line="300" w:lineRule="auto"/>
        <w:jc w:val="center"/>
        <w:textAlignment w:val="auto"/>
        <w:outlineLvl w:val="2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eastAsia="宋体" w:cs="Times New Roman"/>
          <w:b/>
          <w:bCs/>
          <w:sz w:val="24"/>
          <w:szCs w:val="24"/>
        </w:rPr>
        <w:t>Table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</w:rPr>
        <w:t xml:space="preserve"> S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1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 xml:space="preserve"> Comparison of steady-state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color w:val="auto"/>
          <w:sz w:val="24"/>
          <w:szCs w:val="24"/>
        </w:rPr>
        <w:instrText xml:space="preserve"> HYPERLINK "https://www.sciencedirect.com/topics/chemistry/pharmacokinetics" \o "Learn more about kinetic parameter from ScienceDirect's AI-generated Topic Pages" </w:instrTex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fldChar w:fldCharType="separate"/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kinetic parameter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fldChar w:fldCharType="end"/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s for Fe-HHTP@HZIF-8@AuNCs and other reported oxidase-like nanomaterials.</w:t>
      </w:r>
    </w:p>
    <w:tbl>
      <w:tblPr>
        <w:tblStyle w:val="3"/>
        <w:tblpPr w:leftFromText="180" w:rightFromText="180" w:vertAnchor="text" w:horzAnchor="page" w:tblpX="2192" w:tblpY="12"/>
        <w:tblW w:w="8519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059"/>
        <w:gridCol w:w="1595"/>
        <w:gridCol w:w="1916"/>
        <w:gridCol w:w="1949"/>
      </w:tblGrid>
      <w:tr w14:paraId="17ED63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230" w:type="dxa"/>
            <w:vMerge w:val="restart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EBEFFB9"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Catalyst</w:t>
            </w:r>
          </w:p>
        </w:tc>
        <w:tc>
          <w:tcPr>
            <w:tcW w:w="1805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05D80F1"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  <w:t>K</w:t>
            </w:r>
            <w:r>
              <w:rPr>
                <w:rFonts w:hint="default"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m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(mM)</w:t>
            </w:r>
          </w:p>
        </w:tc>
        <w:tc>
          <w:tcPr>
            <w:tcW w:w="224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E69FAE4"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  <w:t>V</w:t>
            </w:r>
            <w:r>
              <w:rPr>
                <w:rFonts w:hint="default"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max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(10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superscript"/>
                <w:lang w:val="en-US" w:eastAsia="zh-CN"/>
              </w:rPr>
              <w:t xml:space="preserve">6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M·s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42" w:type="dxa"/>
            <w:vMerge w:val="restart"/>
            <w:tcBorders>
              <w:top w:val="single" w:color="000000" w:sz="12" w:space="0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C9767A9"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i/>
                <w:iCs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Reference</w:t>
            </w:r>
          </w:p>
        </w:tc>
      </w:tr>
      <w:tr w14:paraId="5140B9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230" w:type="dxa"/>
            <w:vMerge w:val="continue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center"/>
          </w:tcPr>
          <w:p w14:paraId="0BFFB9D4"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EA0FD15"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TMB</w:t>
            </w:r>
          </w:p>
        </w:tc>
        <w:tc>
          <w:tcPr>
            <w:tcW w:w="224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0DE86BD"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TMB</w:t>
            </w:r>
          </w:p>
        </w:tc>
        <w:tc>
          <w:tcPr>
            <w:tcW w:w="2242" w:type="dxa"/>
            <w:vMerge w:val="continue"/>
            <w:tcBorders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E8C783C"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4D0FAF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23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84C35C1"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/>
                <w:b w:val="0"/>
                <w:bCs w:val="0"/>
                <w:sz w:val="24"/>
                <w:szCs w:val="24"/>
                <w:lang w:val="en-US" w:eastAsia="zh-CN"/>
              </w:rPr>
              <w:t>Fe-HHTP@HZIF-8@Au</w:t>
            </w:r>
            <w:r>
              <w:rPr>
                <w:rFonts w:hint="eastAsia" w:ascii="Times New Roman" w:hAnsi="Times New Roman"/>
                <w:b w:val="0"/>
                <w:bCs w:val="0"/>
                <w:sz w:val="24"/>
                <w:szCs w:val="24"/>
                <w:lang w:val="en-US" w:eastAsia="zh-CN"/>
              </w:rPr>
              <w:t>NCs</w:t>
            </w:r>
            <w:r>
              <w:rPr>
                <w:rFonts w:hint="default" w:ascii="Times New Roman" w:hAnsi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80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428318D"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2242" w:type="dxa"/>
            <w:vMerge w:val="restart"/>
            <w:tcBorders>
              <w:top w:val="single" w:color="000000" w:sz="4" w:space="0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34D2DF5"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74</w:t>
            </w:r>
          </w:p>
          <w:p w14:paraId="5FE00DA4"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56</w:t>
            </w:r>
          </w:p>
          <w:p w14:paraId="4DC2430D"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39</w:t>
            </w:r>
          </w:p>
          <w:p w14:paraId="0461136C"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83</w:t>
            </w:r>
          </w:p>
          <w:p w14:paraId="7898E340"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09</w:t>
            </w:r>
          </w:p>
          <w:p w14:paraId="332168C6"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0.07</w:t>
            </w:r>
          </w:p>
        </w:tc>
        <w:tc>
          <w:tcPr>
            <w:tcW w:w="224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9AD2769"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This work</w:t>
            </w:r>
          </w:p>
        </w:tc>
      </w:tr>
      <w:tr w14:paraId="0DF129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23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25A79CA"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Pd/MMR</w:t>
            </w:r>
          </w:p>
          <w:p w14:paraId="1FC4DB23"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OV-Mn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O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NFs </w:t>
            </w:r>
          </w:p>
          <w:p w14:paraId="28E51591"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Ag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PO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9D8619C"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uNPs</w:t>
            </w:r>
          </w:p>
          <w:p w14:paraId="6E0C29D4"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</w:rPr>
              <w:t>CeO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52F2C18"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77</w:t>
            </w:r>
          </w:p>
          <w:p w14:paraId="28E476BD"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66</w:t>
            </w:r>
          </w:p>
          <w:p w14:paraId="495FE549"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25</w:t>
            </w:r>
          </w:p>
          <w:p w14:paraId="2CBA824D"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54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92</w:t>
            </w:r>
          </w:p>
          <w:p w14:paraId="5D92E8E7"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1.50</w:t>
            </w:r>
          </w:p>
        </w:tc>
        <w:tc>
          <w:tcPr>
            <w:tcW w:w="2242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930579F"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44D3C70"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[1]</w:t>
            </w:r>
          </w:p>
          <w:p w14:paraId="6E1B8067"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[2]</w:t>
            </w:r>
          </w:p>
          <w:p w14:paraId="21395D13"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[3]</w:t>
            </w:r>
          </w:p>
          <w:p w14:paraId="435D7002"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[4]</w:t>
            </w:r>
          </w:p>
          <w:p w14:paraId="1796C8E9"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[5]</w:t>
            </w:r>
          </w:p>
        </w:tc>
      </w:tr>
    </w:tbl>
    <w:p w14:paraId="69180235">
      <w:pPr>
        <w:ind w:left="420" w:hanging="480" w:hangingChars="200"/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4D365598">
      <w:pPr>
        <w:ind w:left="420" w:right="-92" w:rightChars="-44" w:hanging="480" w:hangingChars="2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[1]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Wang G, Feng N, Zhao S, Song L, Zhang Y, Tong J,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Liu Y, Kang X, Hu T, Khan IA,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Lu K, Wu H,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Xie J (2024) Synthesis and DFT calculation of microbe-supported Pd nanocomposites with oxidase-like activity for sensitive detection of nitrite. Food Chem 434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: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137422. </w:t>
      </w:r>
      <w:r>
        <w:rPr>
          <w:rStyle w:val="5"/>
          <w:rFonts w:hint="default" w:ascii="Times New Roman" w:hAnsi="Times New Roman" w:cs="Times New Roman"/>
          <w:color w:val="00B0F0"/>
          <w:sz w:val="24"/>
          <w:szCs w:val="24"/>
          <w:u w:val="none"/>
          <w:lang w:val="en-US" w:eastAsia="zh-CN"/>
        </w:rPr>
        <w:t>https://doi.org/10.1016/j.foodchem.2023.137422.</w:t>
      </w:r>
    </w:p>
    <w:p w14:paraId="1A02C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420" w:hanging="480" w:hangingChars="200"/>
        <w:jc w:val="both"/>
        <w:textAlignment w:val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[2] Lu W, Chen J, Kong, L, Zhu F, Feng Z, &amp; Zhan J (2021) Oxygen vacancies modulation Mn</w:t>
      </w:r>
      <w:r>
        <w:rPr>
          <w:rFonts w:hint="eastAsia" w:ascii="Times New Roman" w:hAnsi="Times New Roman" w:cs="Times New Roman"/>
          <w:sz w:val="24"/>
          <w:szCs w:val="24"/>
          <w:vertAlign w:val="subscript"/>
          <w:lang w:val="en-US" w:eastAsia="zh-CN"/>
        </w:rPr>
        <w:t>3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O</w:t>
      </w:r>
      <w:r>
        <w:rPr>
          <w:rFonts w:hint="eastAsia" w:ascii="Times New Roman" w:hAnsi="Times New Roman" w:cs="Times New Roman"/>
          <w:sz w:val="24"/>
          <w:szCs w:val="24"/>
          <w:vertAlign w:val="subscript"/>
          <w:lang w:val="en-US" w:eastAsia="zh-CN"/>
        </w:rPr>
        <w:t>4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nanozyme with enhanced oxidase-mimicking performance for l-cysteine detection. Sensor Actuat B-chem 333: 129560. </w:t>
      </w:r>
      <w:r>
        <w:rPr>
          <w:rFonts w:hint="eastAsia" w:ascii="Times New Roman" w:hAnsi="Times New Roman" w:cs="Times New Roman"/>
          <w:color w:val="00B0F0"/>
          <w:sz w:val="24"/>
          <w:szCs w:val="24"/>
          <w:u w:val="none"/>
          <w:lang w:val="en-US" w:eastAsia="zh-CN"/>
        </w:rPr>
        <w:fldChar w:fldCharType="begin"/>
      </w:r>
      <w:r>
        <w:rPr>
          <w:rFonts w:hint="eastAsia" w:ascii="Times New Roman" w:hAnsi="Times New Roman" w:cs="Times New Roman"/>
          <w:color w:val="00B0F0"/>
          <w:sz w:val="24"/>
          <w:szCs w:val="24"/>
          <w:u w:val="none"/>
          <w:lang w:val="en-US" w:eastAsia="zh-CN"/>
        </w:rPr>
        <w:instrText xml:space="preserve"> HYPERLINK "https://doi.org/10.1016/j.snb.2021.129560." </w:instrText>
      </w:r>
      <w:r>
        <w:rPr>
          <w:rFonts w:hint="eastAsia" w:ascii="Times New Roman" w:hAnsi="Times New Roman" w:cs="Times New Roman"/>
          <w:color w:val="00B0F0"/>
          <w:sz w:val="24"/>
          <w:szCs w:val="24"/>
          <w:u w:val="none"/>
          <w:lang w:val="en-US" w:eastAsia="zh-CN"/>
        </w:rPr>
        <w:fldChar w:fldCharType="separate"/>
      </w:r>
      <w:r>
        <w:rPr>
          <w:rStyle w:val="5"/>
          <w:rFonts w:hint="eastAsia" w:ascii="Times New Roman" w:hAnsi="Times New Roman" w:cs="Times New Roman"/>
          <w:color w:val="00B0F0"/>
          <w:sz w:val="24"/>
          <w:szCs w:val="24"/>
          <w:u w:val="none"/>
          <w:lang w:val="en-US" w:eastAsia="zh-CN"/>
        </w:rPr>
        <w:t>https://doi.org/10.1016/j.snb.2021.129560.</w:t>
      </w:r>
      <w:r>
        <w:rPr>
          <w:rFonts w:hint="eastAsia" w:ascii="Times New Roman" w:hAnsi="Times New Roman" w:cs="Times New Roman"/>
          <w:color w:val="00B0F0"/>
          <w:sz w:val="24"/>
          <w:szCs w:val="24"/>
          <w:u w:val="none"/>
          <w:lang w:val="en-US" w:eastAsia="zh-CN"/>
        </w:rPr>
        <w:fldChar w:fldCharType="end"/>
      </w:r>
    </w:p>
    <w:p w14:paraId="78D3C7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420" w:hanging="480" w:hangingChars="200"/>
        <w:jc w:val="both"/>
        <w:textAlignment w:val="auto"/>
        <w:rPr>
          <w:rFonts w:hint="eastAsia" w:ascii="Times New Roman" w:hAnsi="Times New Roman" w:cs="Times New Roman"/>
          <w:color w:val="00B0F0"/>
          <w:sz w:val="24"/>
          <w:szCs w:val="24"/>
          <w:u w:val="none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[3] Liu P, Li X, Xu X, Niu X, Wang M, Zhu H, Pan J (2021) Analyte-triggered oxidase-mimetic activity loss of Ag</w:t>
      </w:r>
      <w:r>
        <w:rPr>
          <w:rFonts w:hint="eastAsia" w:ascii="Times New Roman" w:hAnsi="Times New Roman" w:cs="Times New Roman"/>
          <w:sz w:val="24"/>
          <w:szCs w:val="24"/>
          <w:vertAlign w:val="subscript"/>
          <w:lang w:val="en-US" w:eastAsia="zh-CN"/>
        </w:rPr>
        <w:t>3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PO</w:t>
      </w:r>
      <w:r>
        <w:rPr>
          <w:rFonts w:hint="eastAsia" w:ascii="Times New Roman" w:hAnsi="Times New Roman" w:cs="Times New Roman"/>
          <w:sz w:val="24"/>
          <w:szCs w:val="24"/>
          <w:vertAlign w:val="subscript"/>
          <w:lang w:val="en-US" w:eastAsia="zh-CN"/>
        </w:rPr>
        <w:t>4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/UiO-66 enables colorimetric detection of malathion completely free from bioenzymes. Sensor Actuat B-chem 338: 129866. </w:t>
      </w:r>
      <w:r>
        <w:rPr>
          <w:rFonts w:hint="eastAsia" w:ascii="Times New Roman" w:hAnsi="Times New Roman" w:cs="Times New Roman"/>
          <w:color w:val="00B0F0"/>
          <w:sz w:val="24"/>
          <w:szCs w:val="24"/>
          <w:u w:val="none"/>
          <w:lang w:val="en-US" w:eastAsia="zh-CN"/>
        </w:rPr>
        <w:fldChar w:fldCharType="begin"/>
      </w:r>
      <w:r>
        <w:rPr>
          <w:rFonts w:hint="eastAsia" w:ascii="Times New Roman" w:hAnsi="Times New Roman" w:cs="Times New Roman"/>
          <w:color w:val="00B0F0"/>
          <w:sz w:val="24"/>
          <w:szCs w:val="24"/>
          <w:u w:val="none"/>
          <w:lang w:val="en-US" w:eastAsia="zh-CN"/>
        </w:rPr>
        <w:instrText xml:space="preserve"> HYPERLINK "https://doi.org/10.1016/j.snb.2021.129866." </w:instrText>
      </w:r>
      <w:r>
        <w:rPr>
          <w:rFonts w:hint="eastAsia" w:ascii="Times New Roman" w:hAnsi="Times New Roman" w:cs="Times New Roman"/>
          <w:color w:val="00B0F0"/>
          <w:sz w:val="24"/>
          <w:szCs w:val="24"/>
          <w:u w:val="none"/>
          <w:lang w:val="en-US" w:eastAsia="zh-CN"/>
        </w:rPr>
        <w:fldChar w:fldCharType="separate"/>
      </w:r>
      <w:r>
        <w:rPr>
          <w:rStyle w:val="5"/>
          <w:rFonts w:hint="eastAsia" w:ascii="Times New Roman" w:hAnsi="Times New Roman" w:cs="Times New Roman"/>
          <w:color w:val="00B0F0"/>
          <w:sz w:val="24"/>
          <w:szCs w:val="24"/>
          <w:u w:val="none"/>
          <w:lang w:val="en-US" w:eastAsia="zh-CN"/>
        </w:rPr>
        <w:t>https://doi.org/10.1016/j.snb.2021.129866.</w:t>
      </w:r>
      <w:r>
        <w:rPr>
          <w:rFonts w:hint="eastAsia" w:ascii="Times New Roman" w:hAnsi="Times New Roman" w:cs="Times New Roman"/>
          <w:color w:val="00B0F0"/>
          <w:sz w:val="24"/>
          <w:szCs w:val="24"/>
          <w:u w:val="none"/>
          <w:lang w:val="en-US" w:eastAsia="zh-CN"/>
        </w:rPr>
        <w:fldChar w:fldCharType="end"/>
      </w:r>
    </w:p>
    <w:p w14:paraId="451200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420" w:hanging="480" w:hangingChars="200"/>
        <w:jc w:val="both"/>
        <w:textAlignment w:val="auto"/>
        <w:rPr>
          <w:rFonts w:hint="default" w:ascii="Times New Roman" w:hAnsi="Times New Roman" w:cs="Times New Roman"/>
          <w:color w:val="00B0F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[4] Cao GJ, Jiang X, Zhang H, Croley TR, Yin JJ (2017) Mimicking horseradish peroxidase and oxidase using ruthenium nanomaterials. RSC Adv 7(82): 52210-52217. </w:t>
      </w:r>
      <w:r>
        <w:rPr>
          <w:rFonts w:hint="eastAsia" w:ascii="Times New Roman" w:hAnsi="Times New Roman" w:cs="Times New Roman"/>
          <w:color w:val="00B0F0"/>
          <w:sz w:val="24"/>
          <w:szCs w:val="24"/>
          <w:lang w:val="en-US" w:eastAsia="zh-CN"/>
        </w:rPr>
        <w:t xml:space="preserve">https://doi.org/10.1039/c7ra10370k. </w:t>
      </w:r>
    </w:p>
    <w:p w14:paraId="408AF9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420" w:hanging="480" w:hangingChars="200"/>
        <w:jc w:val="both"/>
        <w:textAlignment w:val="auto"/>
        <w:rPr>
          <w:rFonts w:hint="eastAsia" w:ascii="Times New Roman" w:hAnsi="Times New Roman" w:cs="Times New Roman"/>
          <w:color w:val="00B0F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[5] Liu B, Huang Z, Liu J (2016) Boosting the oxidase mimicking activity of nanoceria by fluoride capping: rivaling protein enzymes and ultrasensitive F- detection. Nanoscale 8(28): 13562-13567. </w:t>
      </w:r>
      <w:r>
        <w:rPr>
          <w:rFonts w:hint="eastAsia" w:ascii="Times New Roman" w:hAnsi="Times New Roman" w:cs="Times New Roman"/>
          <w:color w:val="00B0F0"/>
          <w:sz w:val="24"/>
          <w:szCs w:val="24"/>
          <w:lang w:val="en-US" w:eastAsia="zh-CN"/>
        </w:rPr>
        <w:t xml:space="preserve">https://doi.org/10.1039/c6nr02730j. </w:t>
      </w:r>
    </w:p>
    <w:p w14:paraId="1E651057">
      <w:pPr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br w:type="page"/>
      </w:r>
    </w:p>
    <w:p w14:paraId="4D376387">
      <w:pPr>
        <w:spacing w:line="300" w:lineRule="auto"/>
        <w:jc w:val="center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b/>
          <w:bCs/>
          <w:sz w:val="24"/>
          <w:szCs w:val="24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S2</w:t>
      </w:r>
      <w:r>
        <w:rPr>
          <w:rFonts w:ascii="Times New Roman" w:hAnsi="Times New Roman" w:eastAsia="宋体" w:cs="Times New Roman"/>
          <w:sz w:val="24"/>
          <w:szCs w:val="24"/>
        </w:rPr>
        <w:t xml:space="preserve">  Comparison of the proposed sensing system with other reported methods for </w:t>
      </w:r>
      <w:r>
        <w:rPr>
          <w:rFonts w:hint="eastAsia" w:ascii="Times New Roman" w:hAnsi="Times New Roman" w:eastAsia="宋体" w:cs="Times New Roman"/>
          <w:sz w:val="24"/>
          <w:szCs w:val="24"/>
        </w:rPr>
        <w:t>nitrite</w:t>
      </w:r>
      <w:r>
        <w:rPr>
          <w:rFonts w:ascii="Times New Roman" w:hAnsi="Times New Roman" w:eastAsia="宋体" w:cs="Times New Roman"/>
          <w:sz w:val="24"/>
          <w:szCs w:val="24"/>
        </w:rPr>
        <w:t xml:space="preserve"> detection</w:t>
      </w:r>
    </w:p>
    <w:tbl>
      <w:tblPr>
        <w:tblStyle w:val="6"/>
        <w:tblW w:w="0" w:type="auto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3"/>
        <w:gridCol w:w="1752"/>
        <w:gridCol w:w="1866"/>
        <w:gridCol w:w="1981"/>
      </w:tblGrid>
      <w:tr w14:paraId="3C6C2E3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23" w:type="dxa"/>
            <w:tcBorders>
              <w:bottom w:val="single" w:color="000000" w:sz="4" w:space="0"/>
            </w:tcBorders>
            <w:vAlign w:val="center"/>
          </w:tcPr>
          <w:p w14:paraId="5531FAD3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ype of biosensor</w:t>
            </w:r>
          </w:p>
        </w:tc>
        <w:tc>
          <w:tcPr>
            <w:tcW w:w="1752" w:type="dxa"/>
            <w:tcBorders>
              <w:bottom w:val="single" w:color="000000" w:sz="4" w:space="0"/>
            </w:tcBorders>
            <w:vAlign w:val="center"/>
          </w:tcPr>
          <w:p w14:paraId="7766AB5B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Dynamic range</w:t>
            </w:r>
          </w:p>
        </w:tc>
        <w:tc>
          <w:tcPr>
            <w:tcW w:w="1866" w:type="dxa"/>
            <w:tcBorders>
              <w:bottom w:val="single" w:color="000000" w:sz="4" w:space="0"/>
            </w:tcBorders>
            <w:vAlign w:val="center"/>
          </w:tcPr>
          <w:p w14:paraId="300EB4E8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LOD </w:t>
            </w:r>
          </w:p>
        </w:tc>
        <w:tc>
          <w:tcPr>
            <w:tcW w:w="1981" w:type="dxa"/>
            <w:tcBorders>
              <w:bottom w:val="single" w:color="000000" w:sz="4" w:space="0"/>
            </w:tcBorders>
            <w:vAlign w:val="center"/>
          </w:tcPr>
          <w:p w14:paraId="5DDB5650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Reference</w:t>
            </w:r>
          </w:p>
        </w:tc>
      </w:tr>
      <w:tr w14:paraId="10ADF6C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923" w:type="dxa"/>
            <w:tcBorders>
              <w:top w:val="single" w:color="000000" w:sz="4" w:space="0"/>
            </w:tcBorders>
            <w:vAlign w:val="center"/>
          </w:tcPr>
          <w:p w14:paraId="3166544C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Colorimetric biosensor</w:t>
            </w:r>
          </w:p>
        </w:tc>
        <w:tc>
          <w:tcPr>
            <w:tcW w:w="1752" w:type="dxa"/>
            <w:tcBorders>
              <w:top w:val="single" w:color="000000" w:sz="4" w:space="0"/>
            </w:tcBorders>
            <w:vAlign w:val="center"/>
          </w:tcPr>
          <w:p w14:paraId="7ECC11B4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00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Symbol" w:char="F06D"/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</w:t>
            </w:r>
          </w:p>
        </w:tc>
        <w:tc>
          <w:tcPr>
            <w:tcW w:w="1866" w:type="dxa"/>
            <w:tcBorders>
              <w:top w:val="single" w:color="000000" w:sz="4" w:space="0"/>
            </w:tcBorders>
            <w:vAlign w:val="center"/>
          </w:tcPr>
          <w:p w14:paraId="356E2CA7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Symbol" w:char="F06D"/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</w:t>
            </w:r>
          </w:p>
        </w:tc>
        <w:tc>
          <w:tcPr>
            <w:tcW w:w="1981" w:type="dxa"/>
            <w:tcBorders>
              <w:top w:val="single" w:color="000000" w:sz="4" w:space="0"/>
            </w:tcBorders>
            <w:vAlign w:val="center"/>
          </w:tcPr>
          <w:p w14:paraId="6CCAE24C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This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work</w:t>
            </w:r>
          </w:p>
        </w:tc>
      </w:tr>
      <w:tr w14:paraId="48B883E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923" w:type="dxa"/>
            <w:vAlign w:val="center"/>
          </w:tcPr>
          <w:p w14:paraId="0F6211D2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Colorimetric biosensor</w:t>
            </w:r>
          </w:p>
        </w:tc>
        <w:tc>
          <w:tcPr>
            <w:tcW w:w="1752" w:type="dxa"/>
            <w:vAlign w:val="center"/>
          </w:tcPr>
          <w:p w14:paraId="7C113AB7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8.3-16700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Symbol" w:char="F06D"/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</w:t>
            </w:r>
          </w:p>
        </w:tc>
        <w:tc>
          <w:tcPr>
            <w:tcW w:w="1866" w:type="dxa"/>
            <w:vAlign w:val="center"/>
          </w:tcPr>
          <w:p w14:paraId="0216A5A1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0.72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Symbol" w:char="F06D"/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</w:t>
            </w:r>
          </w:p>
        </w:tc>
        <w:tc>
          <w:tcPr>
            <w:tcW w:w="1981" w:type="dxa"/>
            <w:vAlign w:val="center"/>
          </w:tcPr>
          <w:p w14:paraId="70122783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[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]</w:t>
            </w:r>
          </w:p>
        </w:tc>
      </w:tr>
      <w:tr w14:paraId="7C21E4B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923" w:type="dxa"/>
            <w:vAlign w:val="center"/>
          </w:tcPr>
          <w:p w14:paraId="6477EFF5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Colorimetric biosensor</w:t>
            </w:r>
          </w:p>
        </w:tc>
        <w:tc>
          <w:tcPr>
            <w:tcW w:w="1752" w:type="dxa"/>
            <w:vAlign w:val="center"/>
          </w:tcPr>
          <w:p w14:paraId="551FDF46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233.3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Symbol" w:char="F06D"/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</w:t>
            </w:r>
          </w:p>
        </w:tc>
        <w:tc>
          <w:tcPr>
            <w:tcW w:w="1866" w:type="dxa"/>
            <w:vAlign w:val="center"/>
          </w:tcPr>
          <w:p w14:paraId="6AE95CDF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0.20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Symbol" w:char="F06D"/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</w:t>
            </w:r>
          </w:p>
        </w:tc>
        <w:tc>
          <w:tcPr>
            <w:tcW w:w="1981" w:type="dxa"/>
            <w:vAlign w:val="center"/>
          </w:tcPr>
          <w:p w14:paraId="7980096B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[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]</w:t>
            </w:r>
          </w:p>
        </w:tc>
      </w:tr>
      <w:tr w14:paraId="7FF2481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923" w:type="dxa"/>
            <w:vAlign w:val="center"/>
          </w:tcPr>
          <w:p w14:paraId="2031BB16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Colorimetric biosensor</w:t>
            </w:r>
          </w:p>
        </w:tc>
        <w:tc>
          <w:tcPr>
            <w:tcW w:w="1752" w:type="dxa"/>
            <w:vAlign w:val="center"/>
          </w:tcPr>
          <w:p w14:paraId="3EC4C043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0.5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Symbol" w:char="F06D"/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</w:t>
            </w:r>
          </w:p>
        </w:tc>
        <w:tc>
          <w:tcPr>
            <w:tcW w:w="1866" w:type="dxa"/>
            <w:vAlign w:val="center"/>
          </w:tcPr>
          <w:p w14:paraId="0B1DD69C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Symbol" w:char="F06D"/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</w:t>
            </w:r>
          </w:p>
        </w:tc>
        <w:tc>
          <w:tcPr>
            <w:tcW w:w="1981" w:type="dxa"/>
            <w:vAlign w:val="center"/>
          </w:tcPr>
          <w:p w14:paraId="68E896C6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[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]</w:t>
            </w:r>
          </w:p>
        </w:tc>
      </w:tr>
      <w:tr w14:paraId="0FCE291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923" w:type="dxa"/>
            <w:vAlign w:val="center"/>
          </w:tcPr>
          <w:p w14:paraId="53AEA95E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Electrochemical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b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iosensor</w:t>
            </w:r>
          </w:p>
        </w:tc>
        <w:tc>
          <w:tcPr>
            <w:tcW w:w="1752" w:type="dxa"/>
            <w:vAlign w:val="center"/>
          </w:tcPr>
          <w:p w14:paraId="5EF27740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200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0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Symbol" w:char="F06D"/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</w:t>
            </w:r>
          </w:p>
        </w:tc>
        <w:tc>
          <w:tcPr>
            <w:tcW w:w="1866" w:type="dxa"/>
            <w:vAlign w:val="center"/>
          </w:tcPr>
          <w:p w14:paraId="5E6C1C76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Symbol" w:char="F06D"/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</w:t>
            </w:r>
          </w:p>
        </w:tc>
        <w:tc>
          <w:tcPr>
            <w:tcW w:w="1981" w:type="dxa"/>
            <w:vAlign w:val="center"/>
          </w:tcPr>
          <w:p w14:paraId="77013FFD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[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]</w:t>
            </w:r>
          </w:p>
        </w:tc>
      </w:tr>
      <w:tr w14:paraId="353806A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923" w:type="dxa"/>
            <w:vAlign w:val="center"/>
          </w:tcPr>
          <w:p w14:paraId="6B15313D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Electrochemical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b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iosensor</w:t>
            </w:r>
          </w:p>
        </w:tc>
        <w:tc>
          <w:tcPr>
            <w:tcW w:w="1752" w:type="dxa"/>
            <w:vAlign w:val="center"/>
          </w:tcPr>
          <w:p w14:paraId="5F053E81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500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0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Symbol" w:char="F06D"/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</w:t>
            </w:r>
          </w:p>
        </w:tc>
        <w:tc>
          <w:tcPr>
            <w:tcW w:w="1866" w:type="dxa"/>
            <w:vAlign w:val="center"/>
          </w:tcPr>
          <w:p w14:paraId="1643690A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1.00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Symbol" w:char="F06D"/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</w:t>
            </w:r>
          </w:p>
        </w:tc>
        <w:tc>
          <w:tcPr>
            <w:tcW w:w="1981" w:type="dxa"/>
            <w:vAlign w:val="center"/>
          </w:tcPr>
          <w:p w14:paraId="5C3D5DE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[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]</w:t>
            </w:r>
          </w:p>
        </w:tc>
      </w:tr>
      <w:tr w14:paraId="16E6C1D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923" w:type="dxa"/>
            <w:vAlign w:val="center"/>
          </w:tcPr>
          <w:p w14:paraId="14ABDCDF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Electrochemical biosensor</w:t>
            </w:r>
          </w:p>
        </w:tc>
        <w:tc>
          <w:tcPr>
            <w:tcW w:w="1752" w:type="dxa"/>
            <w:vAlign w:val="center"/>
          </w:tcPr>
          <w:p w14:paraId="20081DDB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100-500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Symbol" w:char="F06D"/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</w:t>
            </w:r>
          </w:p>
        </w:tc>
        <w:tc>
          <w:tcPr>
            <w:tcW w:w="1866" w:type="dxa"/>
            <w:vAlign w:val="center"/>
          </w:tcPr>
          <w:p w14:paraId="60FD612E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.5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Symbol" w:char="F06D"/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</w:t>
            </w:r>
          </w:p>
        </w:tc>
        <w:tc>
          <w:tcPr>
            <w:tcW w:w="1981" w:type="dxa"/>
            <w:vAlign w:val="center"/>
          </w:tcPr>
          <w:p w14:paraId="1BD05622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[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]</w:t>
            </w:r>
          </w:p>
        </w:tc>
      </w:tr>
      <w:tr w14:paraId="39B5C72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923" w:type="dxa"/>
            <w:vAlign w:val="center"/>
          </w:tcPr>
          <w:p w14:paraId="3D002D49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Fluorometric biosensor</w:t>
            </w:r>
          </w:p>
        </w:tc>
        <w:tc>
          <w:tcPr>
            <w:tcW w:w="1752" w:type="dxa"/>
            <w:vAlign w:val="center"/>
          </w:tcPr>
          <w:p w14:paraId="357483A4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00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Symbol" w:char="F06D"/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</w:t>
            </w:r>
          </w:p>
        </w:tc>
        <w:tc>
          <w:tcPr>
            <w:tcW w:w="1866" w:type="dxa"/>
            <w:vAlign w:val="center"/>
          </w:tcPr>
          <w:p w14:paraId="446E672F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1.00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Symbol" w:char="F06D"/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</w:t>
            </w:r>
          </w:p>
        </w:tc>
        <w:tc>
          <w:tcPr>
            <w:tcW w:w="1981" w:type="dxa"/>
            <w:vAlign w:val="center"/>
          </w:tcPr>
          <w:p w14:paraId="1E3A423C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[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]</w:t>
            </w:r>
          </w:p>
        </w:tc>
      </w:tr>
      <w:tr w14:paraId="6E8A491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923" w:type="dxa"/>
            <w:vAlign w:val="center"/>
          </w:tcPr>
          <w:p w14:paraId="6D328E4E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Fluorometric biosensor</w:t>
            </w:r>
          </w:p>
        </w:tc>
        <w:tc>
          <w:tcPr>
            <w:tcW w:w="1752" w:type="dxa"/>
            <w:vAlign w:val="center"/>
          </w:tcPr>
          <w:p w14:paraId="40F64128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Symbol" w:char="F06D"/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</w:t>
            </w:r>
          </w:p>
        </w:tc>
        <w:tc>
          <w:tcPr>
            <w:tcW w:w="1866" w:type="dxa"/>
            <w:vAlign w:val="center"/>
          </w:tcPr>
          <w:p w14:paraId="441D77F9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0.70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Symbol" w:char="F06D"/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</w:t>
            </w:r>
          </w:p>
        </w:tc>
        <w:tc>
          <w:tcPr>
            <w:tcW w:w="1981" w:type="dxa"/>
            <w:vAlign w:val="center"/>
          </w:tcPr>
          <w:p w14:paraId="7CB7014D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[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13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]</w:t>
            </w:r>
          </w:p>
        </w:tc>
      </w:tr>
    </w:tbl>
    <w:p w14:paraId="57A9D600">
      <w:pPr>
        <w:ind w:left="420" w:hanging="480" w:hangingChars="200"/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16AC905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hangingChars="175"/>
        <w:textAlignment w:val="auto"/>
        <w:rPr>
          <w:rFonts w:hint="default" w:ascii="Times New Roman" w:hAnsi="Times New Roman" w:cs="Times New Roman"/>
          <w:color w:val="00B0F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[6] Tai YT, Cheng CY, Chen YS, Ko FH (2022) A hydrogel-based chemosensor applied in conjunction with a Griess assay for real-time colorimetric detection of nitrite in the environment. Sensor Actuat B-chem 369: 132298. </w:t>
      </w:r>
      <w:r>
        <w:rPr>
          <w:rFonts w:hint="eastAsia" w:ascii="Times New Roman" w:hAnsi="Times New Roman" w:cs="Times New Roman"/>
          <w:color w:val="00B0F0"/>
          <w:sz w:val="24"/>
          <w:szCs w:val="24"/>
          <w:lang w:val="en-US" w:eastAsia="zh-CN"/>
        </w:rPr>
        <w:t>https://doi.org/10.1016/j.snb.2022.132298.</w:t>
      </w:r>
    </w:p>
    <w:p w14:paraId="2BE4B7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hangingChars="175"/>
        <w:textAlignment w:val="auto"/>
        <w:rPr>
          <w:rFonts w:hint="eastAsia" w:ascii="Times New Roman" w:hAnsi="Times New Roman" w:cs="Times New Roman"/>
          <w:color w:val="00B0F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[7] Wang M, Liu P, Zhu H, Liu B, Niu X (2021) Ratiometric colorimetric detection of nitrite realized by stringing nanozyme catalysis and diazotization together. Biosensors 11(8): 280. </w:t>
      </w:r>
      <w:r>
        <w:rPr>
          <w:rFonts w:hint="eastAsia" w:ascii="Times New Roman" w:hAnsi="Times New Roman" w:cs="Times New Roman"/>
          <w:color w:val="00B0F0"/>
          <w:sz w:val="24"/>
          <w:szCs w:val="24"/>
          <w:lang w:val="en-US" w:eastAsia="zh-CN"/>
        </w:rPr>
        <w:t>https://doi.org/10.3390/bios11080280.</w:t>
      </w:r>
    </w:p>
    <w:p w14:paraId="24DE5E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hanging="420" w:hangingChars="175"/>
        <w:textAlignment w:val="auto"/>
        <w:rPr>
          <w:rFonts w:hint="default" w:ascii="Times New Roman" w:hAnsi="Times New Roman" w:cs="Times New Roman"/>
          <w:color w:val="00B0F0"/>
          <w:sz w:val="24"/>
          <w:szCs w:val="24"/>
          <w:u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[8]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Mako TL, Levenson AM, Levine M (2020) Ultrasensitive detection of nitrite through implementation of N-(1-naphthyl) ethylenediamine-grafted cellulose into a paper-based device. ACS Sens 5(4): 1207-1215. </w:t>
      </w:r>
      <w:r>
        <w:rPr>
          <w:rFonts w:hint="eastAsia" w:ascii="Times New Roman" w:hAnsi="Times New Roman" w:cs="Times New Roman"/>
          <w:color w:val="00B0F0"/>
          <w:sz w:val="24"/>
          <w:szCs w:val="24"/>
          <w:u w:val="none"/>
          <w:lang w:val="en-US" w:eastAsia="zh-CN"/>
        </w:rPr>
        <w:fldChar w:fldCharType="begin"/>
      </w:r>
      <w:r>
        <w:rPr>
          <w:rFonts w:hint="eastAsia" w:ascii="Times New Roman" w:hAnsi="Times New Roman" w:cs="Times New Roman"/>
          <w:color w:val="00B0F0"/>
          <w:sz w:val="24"/>
          <w:szCs w:val="24"/>
          <w:u w:val="none"/>
          <w:lang w:val="en-US" w:eastAsia="zh-CN"/>
        </w:rPr>
        <w:instrText xml:space="preserve"> HYPERLINK "https://doi.org/10.1021/acssensors.0c00291" </w:instrText>
      </w:r>
      <w:r>
        <w:rPr>
          <w:rFonts w:hint="eastAsia" w:ascii="Times New Roman" w:hAnsi="Times New Roman" w:cs="Times New Roman"/>
          <w:color w:val="00B0F0"/>
          <w:sz w:val="24"/>
          <w:szCs w:val="24"/>
          <w:u w:val="none"/>
          <w:lang w:val="en-US" w:eastAsia="zh-CN"/>
        </w:rPr>
        <w:fldChar w:fldCharType="separate"/>
      </w:r>
      <w:r>
        <w:rPr>
          <w:rStyle w:val="5"/>
          <w:rFonts w:hint="eastAsia" w:ascii="Times New Roman" w:hAnsi="Times New Roman" w:cs="Times New Roman"/>
          <w:color w:val="00B0F0"/>
          <w:sz w:val="24"/>
          <w:szCs w:val="24"/>
          <w:u w:val="none"/>
          <w:lang w:val="en-US" w:eastAsia="zh-CN"/>
        </w:rPr>
        <w:t>https://doi.org/10.1021/acssensors.0c00291</w:t>
      </w:r>
      <w:r>
        <w:rPr>
          <w:rFonts w:hint="eastAsia" w:ascii="Times New Roman" w:hAnsi="Times New Roman" w:cs="Times New Roman"/>
          <w:color w:val="00B0F0"/>
          <w:sz w:val="24"/>
          <w:szCs w:val="24"/>
          <w:u w:val="none"/>
          <w:lang w:val="en-US" w:eastAsia="zh-CN"/>
        </w:rPr>
        <w:fldChar w:fldCharType="end"/>
      </w:r>
      <w:r>
        <w:rPr>
          <w:rFonts w:hint="eastAsia" w:ascii="Times New Roman" w:hAnsi="Times New Roman" w:cs="Times New Roman"/>
          <w:color w:val="00B0F0"/>
          <w:sz w:val="24"/>
          <w:szCs w:val="24"/>
          <w:u w:val="none"/>
          <w:lang w:val="en-US" w:eastAsia="zh-CN"/>
        </w:rPr>
        <w:t>.</w:t>
      </w:r>
    </w:p>
    <w:p w14:paraId="67CD65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315" w:hanging="360" w:hangingChars="150"/>
        <w:textAlignment w:val="auto"/>
        <w:rPr>
          <w:rFonts w:hint="eastAsia" w:ascii="Times New Roman" w:hAnsi="Times New Roman" w:cs="Times New Roman"/>
          <w:color w:val="00B0F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[9] Wang YC, Chen YC, Chuang WS, Li JH, Wang YS, Chuang CH, Chen CY, Kung CW (2020) Pore-confined silver nanoparticles in a porphyrinic metal-organic framework for electrochemical nitrite detection. ACS Appl Nano Mater 3(9): 9440-9448. </w:t>
      </w:r>
      <w:r>
        <w:rPr>
          <w:rFonts w:hint="eastAsia" w:ascii="Times New Roman" w:hAnsi="Times New Roman" w:cs="Times New Roman"/>
          <w:color w:val="00B0F0"/>
          <w:sz w:val="24"/>
          <w:szCs w:val="24"/>
          <w:lang w:val="en-US" w:eastAsia="zh-CN"/>
        </w:rPr>
        <w:t>https://doi.org/10.1021/acsanm.0c02052.</w:t>
      </w:r>
    </w:p>
    <w:p w14:paraId="49DF83AD">
      <w:pPr>
        <w:ind w:left="420" w:hanging="480" w:hangingChars="200"/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[10]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Han Y, Zhang R, Dong C, Cheng F, Guo Y (2019) Sensitive electrochemical sensor for nitrite ions based on rose-like AuNPs/MoS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/graphene composite. Biosens 142: 111529. </w:t>
      </w:r>
      <w:r>
        <w:rPr>
          <w:rFonts w:hint="eastAsia" w:ascii="Times New Roman" w:hAnsi="Times New Roman" w:cs="Times New Roman"/>
          <w:color w:val="00B0F0"/>
          <w:sz w:val="24"/>
          <w:szCs w:val="24"/>
          <w:u w:val="none"/>
          <w:lang w:val="en-US" w:eastAsia="zh-CN"/>
        </w:rPr>
        <w:fldChar w:fldCharType="begin"/>
      </w:r>
      <w:r>
        <w:rPr>
          <w:rFonts w:hint="eastAsia" w:ascii="Times New Roman" w:hAnsi="Times New Roman" w:cs="Times New Roman"/>
          <w:color w:val="00B0F0"/>
          <w:sz w:val="24"/>
          <w:szCs w:val="24"/>
          <w:u w:val="none"/>
          <w:lang w:val="en-US" w:eastAsia="zh-CN"/>
        </w:rPr>
        <w:instrText xml:space="preserve"> HYPERLINK "https://doi.org/10.1016/j.bios.2019.111529." </w:instrText>
      </w:r>
      <w:r>
        <w:rPr>
          <w:rFonts w:hint="eastAsia" w:ascii="Times New Roman" w:hAnsi="Times New Roman" w:cs="Times New Roman"/>
          <w:color w:val="00B0F0"/>
          <w:sz w:val="24"/>
          <w:szCs w:val="24"/>
          <w:u w:val="none"/>
          <w:lang w:val="en-US" w:eastAsia="zh-CN"/>
        </w:rPr>
        <w:fldChar w:fldCharType="separate"/>
      </w:r>
      <w:r>
        <w:rPr>
          <w:rStyle w:val="5"/>
          <w:rFonts w:hint="eastAsia" w:ascii="Times New Roman" w:hAnsi="Times New Roman" w:cs="Times New Roman"/>
          <w:color w:val="00B0F0"/>
          <w:sz w:val="24"/>
          <w:szCs w:val="24"/>
          <w:u w:val="none"/>
          <w:lang w:val="en-US" w:eastAsia="zh-CN"/>
        </w:rPr>
        <w:t>https://doi.org/10.1016/j.bios.2019.111529.</w:t>
      </w:r>
      <w:r>
        <w:rPr>
          <w:rFonts w:hint="eastAsia" w:ascii="Times New Roman" w:hAnsi="Times New Roman" w:cs="Times New Roman"/>
          <w:color w:val="00B0F0"/>
          <w:sz w:val="24"/>
          <w:szCs w:val="24"/>
          <w:u w:val="none"/>
          <w:lang w:val="en-US" w:eastAsia="zh-CN"/>
        </w:rPr>
        <w:fldChar w:fldCharType="end"/>
      </w:r>
    </w:p>
    <w:p w14:paraId="1DC7F0E4">
      <w:pPr>
        <w:ind w:left="420" w:hanging="480" w:hangingChars="200"/>
        <w:rPr>
          <w:rFonts w:hint="eastAsia" w:ascii="Times New Roman" w:hAnsi="Times New Roman" w:cs="Times New Roman"/>
          <w:color w:val="00B0F0"/>
          <w:sz w:val="24"/>
          <w:szCs w:val="24"/>
          <w:u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[11]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Gao B, Zhao X, Liang Z, Wu Z, Wang W, Han D, Niu L (2020) CdS/TiO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nanocomposite-based photoelectrochemical sensor for a sensitive determination of nitrite in principle of etching reaction. Anal Chem 93(2): 820-827. </w:t>
      </w:r>
      <w:r>
        <w:rPr>
          <w:rFonts w:hint="eastAsia" w:ascii="Times New Roman" w:hAnsi="Times New Roman" w:cs="Times New Roman"/>
          <w:color w:val="00B0F0"/>
          <w:sz w:val="24"/>
          <w:szCs w:val="24"/>
          <w:u w:val="none"/>
          <w:lang w:val="en-US" w:eastAsia="zh-CN"/>
        </w:rPr>
        <w:fldChar w:fldCharType="begin"/>
      </w:r>
      <w:r>
        <w:rPr>
          <w:rFonts w:hint="eastAsia" w:ascii="Times New Roman" w:hAnsi="Times New Roman" w:cs="Times New Roman"/>
          <w:color w:val="00B0F0"/>
          <w:sz w:val="24"/>
          <w:szCs w:val="24"/>
          <w:u w:val="none"/>
          <w:lang w:val="en-US" w:eastAsia="zh-CN"/>
        </w:rPr>
        <w:instrText xml:space="preserve"> HYPERLINK "https://doi.org/10.1021/acs.analchem.0c03315." </w:instrText>
      </w:r>
      <w:r>
        <w:rPr>
          <w:rFonts w:hint="eastAsia" w:ascii="Times New Roman" w:hAnsi="Times New Roman" w:cs="Times New Roman"/>
          <w:color w:val="00B0F0"/>
          <w:sz w:val="24"/>
          <w:szCs w:val="24"/>
          <w:u w:val="none"/>
          <w:lang w:val="en-US" w:eastAsia="zh-CN"/>
        </w:rPr>
        <w:fldChar w:fldCharType="separate"/>
      </w:r>
      <w:r>
        <w:rPr>
          <w:rStyle w:val="5"/>
          <w:rFonts w:hint="eastAsia" w:ascii="Times New Roman" w:hAnsi="Times New Roman" w:cs="Times New Roman"/>
          <w:color w:val="00B0F0"/>
          <w:sz w:val="24"/>
          <w:szCs w:val="24"/>
          <w:u w:val="none"/>
          <w:lang w:val="en-US" w:eastAsia="zh-CN"/>
        </w:rPr>
        <w:t>https://doi.org/10.1021/acs.analchem.0c03315.</w:t>
      </w:r>
      <w:r>
        <w:rPr>
          <w:rFonts w:hint="eastAsia" w:ascii="Times New Roman" w:hAnsi="Times New Roman" w:cs="Times New Roman"/>
          <w:color w:val="00B0F0"/>
          <w:sz w:val="24"/>
          <w:szCs w:val="24"/>
          <w:u w:val="none"/>
          <w:lang w:val="en-US" w:eastAsia="zh-CN"/>
        </w:rPr>
        <w:fldChar w:fldCharType="end"/>
      </w:r>
    </w:p>
    <w:p w14:paraId="250E8A38">
      <w:pPr>
        <w:ind w:left="420" w:hanging="480" w:hangingChars="200"/>
        <w:rPr>
          <w:rFonts w:hint="eastAsia" w:ascii="Times New Roman" w:hAnsi="Times New Roman" w:cs="Times New Roman"/>
          <w:color w:val="00B0F0"/>
          <w:sz w:val="24"/>
          <w:szCs w:val="24"/>
          <w:u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[12]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Zhang H, Kang S, Wang G, Zhang Y, Zhao H (2016) Fluorescence determination of nitrite in water using prawn-shell derived nitrogen-doped carbon nanodots as fluorophores. ACS Sens 1(7): 875-881. </w:t>
      </w:r>
      <w:r>
        <w:rPr>
          <w:rFonts w:hint="eastAsia" w:ascii="Times New Roman" w:hAnsi="Times New Roman" w:cs="Times New Roman"/>
          <w:color w:val="00B0F0"/>
          <w:sz w:val="24"/>
          <w:szCs w:val="24"/>
          <w:u w:val="none"/>
          <w:lang w:val="en-US" w:eastAsia="zh-CN"/>
        </w:rPr>
        <w:fldChar w:fldCharType="begin"/>
      </w:r>
      <w:r>
        <w:rPr>
          <w:rFonts w:hint="eastAsia" w:ascii="Times New Roman" w:hAnsi="Times New Roman" w:cs="Times New Roman"/>
          <w:color w:val="00B0F0"/>
          <w:sz w:val="24"/>
          <w:szCs w:val="24"/>
          <w:u w:val="none"/>
          <w:lang w:val="en-US" w:eastAsia="zh-CN"/>
        </w:rPr>
        <w:instrText xml:space="preserve"> HYPERLINK "https://doi.org/10.1021/acssensors.6b00269." </w:instrText>
      </w:r>
      <w:r>
        <w:rPr>
          <w:rFonts w:hint="eastAsia" w:ascii="Times New Roman" w:hAnsi="Times New Roman" w:cs="Times New Roman"/>
          <w:color w:val="00B0F0"/>
          <w:sz w:val="24"/>
          <w:szCs w:val="24"/>
          <w:u w:val="none"/>
          <w:lang w:val="en-US" w:eastAsia="zh-CN"/>
        </w:rPr>
        <w:fldChar w:fldCharType="separate"/>
      </w:r>
      <w:r>
        <w:rPr>
          <w:rStyle w:val="5"/>
          <w:rFonts w:hint="eastAsia" w:ascii="Times New Roman" w:hAnsi="Times New Roman" w:cs="Times New Roman"/>
          <w:color w:val="00B0F0"/>
          <w:sz w:val="24"/>
          <w:szCs w:val="24"/>
          <w:u w:val="none"/>
          <w:lang w:val="en-US" w:eastAsia="zh-CN"/>
        </w:rPr>
        <w:t>https://doi.org/10.1021/acssensors.6b00269.</w:t>
      </w:r>
      <w:r>
        <w:rPr>
          <w:rFonts w:hint="eastAsia" w:ascii="Times New Roman" w:hAnsi="Times New Roman" w:cs="Times New Roman"/>
          <w:color w:val="00B0F0"/>
          <w:sz w:val="24"/>
          <w:szCs w:val="24"/>
          <w:u w:val="none"/>
          <w:lang w:val="en-US" w:eastAsia="zh-CN"/>
        </w:rPr>
        <w:fldChar w:fldCharType="end"/>
      </w:r>
    </w:p>
    <w:p w14:paraId="79F40DE7">
      <w:pPr>
        <w:ind w:left="420" w:hanging="480" w:hangingChars="200"/>
        <w:rPr>
          <w:rFonts w:hint="eastAsia" w:ascii="Times New Roman" w:hAnsi="Times New Roman" w:cs="Times New Roman"/>
          <w:color w:val="00B0F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[13] Deng HH, Huang KY, Zhang MJ, Zou ZY, Xu YY, Peng HP, Chen W, Hong GL (2020) Sensitive and selective nitrite assay based on fluorescent gold nanoclusters and Fe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2+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/Fe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3+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redox reaction. Food Chem 317: 126456. </w:t>
      </w:r>
      <w:r>
        <w:rPr>
          <w:rStyle w:val="5"/>
          <w:rFonts w:hint="eastAsia" w:ascii="Times New Roman" w:hAnsi="Times New Roman" w:cs="Times New Roman"/>
          <w:color w:val="00B0F0"/>
          <w:sz w:val="24"/>
          <w:szCs w:val="24"/>
          <w:u w:val="none"/>
          <w:lang w:val="en-US" w:eastAsia="zh-CN"/>
        </w:rPr>
        <w:t>https://doi.org/10.1016/j.foodchem.2020.126456.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color w:val="00B0F0"/>
          <w:sz w:val="24"/>
          <w:szCs w:val="24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lnNumType w:countBy="0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7AA3EB"/>
    <w:multiLevelType w:val="singleLevel"/>
    <w:tmpl w:val="D07AA3EB"/>
    <w:lvl w:ilvl="0" w:tentative="0">
      <w:start w:val="5"/>
      <w:numFmt w:val="upperLetter"/>
      <w:suff w:val="nothing"/>
      <w:lvlText w:val="%1-"/>
      <w:lvlJc w:val="left"/>
      <w:pPr>
        <w:ind w:left="14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B210A4E"/>
    <w:rsid w:val="0B210A4E"/>
    <w:rsid w:val="0F6F009B"/>
    <w:rsid w:val="23A01E24"/>
    <w:rsid w:val="2A886554"/>
    <w:rsid w:val="2CDF2664"/>
    <w:rsid w:val="2D8056F6"/>
    <w:rsid w:val="2E6A01A7"/>
    <w:rsid w:val="561B7333"/>
    <w:rsid w:val="5BB058B9"/>
    <w:rsid w:val="67633532"/>
    <w:rsid w:val="68C20B1A"/>
    <w:rsid w:val="7E020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eastAsia="宋体" w:cs="Times New Roman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table" w:customStyle="1" w:styleId="6">
    <w:name w:val="网格型1"/>
    <w:basedOn w:val="3"/>
    <w:autoRedefine/>
    <w:qFormat/>
    <w:uiPriority w:val="59"/>
    <w:rPr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668</Words>
  <Characters>4265</Characters>
  <Lines>0</Lines>
  <Paragraphs>0</Paragraphs>
  <TotalTime>1</TotalTime>
  <ScaleCrop>false</ScaleCrop>
  <LinksUpToDate>false</LinksUpToDate>
  <CharactersWithSpaces>4851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2024-06-06T08:57:00Z</dcterms:created>
  <dc:creator>张海枝</dc:creator>
  <cp:lastModifiedBy>张海枝</cp:lastModifiedBy>
  <dcterms:modified xsi:type="dcterms:W3CDTF">2024-10-14T08:17:56Z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A2AC40C431CC4EC7B76BD0F6B8AF7C26_13</vt:lpwstr>
  </property>
</Properties>
</file>