
<file path=[Content_Types].xml><?xml version="1.0" encoding="utf-8"?>
<Types xmlns="http://schemas.openxmlformats.org/package/2006/content-types">
  <Override PartName="/word/theme/themeOverride1.xml" ContentType="application/vnd.openxmlformats-officedocument.themeOverrid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6CAD" w:rsidRDefault="00732D45">
      <w:r w:rsidRPr="00732D45">
        <w:rPr>
          <w:noProof/>
        </w:rPr>
        <w:drawing>
          <wp:inline distT="0" distB="0" distL="0" distR="0">
            <wp:extent cx="6090699" cy="6615485"/>
            <wp:effectExtent l="19050" t="0" r="24351" b="0"/>
            <wp:docPr id="24" name="Chart 1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:rsidR="00732D45" w:rsidRPr="00FF703C" w:rsidRDefault="008A191F" w:rsidP="00732D45">
      <w:pPr>
        <w:pStyle w:val="k3"/>
        <w:rPr>
          <w:b w:val="0"/>
          <w:sz w:val="24"/>
        </w:rPr>
      </w:pPr>
      <w:r w:rsidRPr="008A191F">
        <w:rPr>
          <w:sz w:val="24"/>
        </w:rPr>
        <w:t>Additional file 7</w:t>
      </w:r>
      <w:r>
        <w:rPr>
          <w:b w:val="0"/>
          <w:sz w:val="24"/>
        </w:rPr>
        <w:t>.</w:t>
      </w:r>
      <w:r w:rsidR="00FF703C">
        <w:rPr>
          <w:b w:val="0"/>
          <w:sz w:val="24"/>
        </w:rPr>
        <w:t xml:space="preserve"> </w:t>
      </w:r>
      <w:r w:rsidR="00732D45" w:rsidRPr="00FF703C">
        <w:rPr>
          <w:b w:val="0"/>
          <w:sz w:val="24"/>
        </w:rPr>
        <w:t>Relative abundance (%) of the major order of bacterial community detected in soils collected at four contrasting climatic zones</w:t>
      </w:r>
      <w:r w:rsidR="00342D05">
        <w:rPr>
          <w:b w:val="0"/>
          <w:sz w:val="24"/>
        </w:rPr>
        <w:t xml:space="preserve">. </w:t>
      </w:r>
      <w:proofErr w:type="gramStart"/>
      <w:r w:rsidR="00732D45" w:rsidRPr="00FF703C">
        <w:rPr>
          <w:b w:val="0"/>
          <w:sz w:val="24"/>
        </w:rPr>
        <w:t xml:space="preserve">TWCZ (tropical wet climatic zone); ACZ (Arid climatic zone); HSCZ (humid subtropical </w:t>
      </w:r>
      <w:r w:rsidR="00FF703C">
        <w:rPr>
          <w:b w:val="0"/>
          <w:sz w:val="24"/>
        </w:rPr>
        <w:t>climatic zone); MCZ (Mountain</w:t>
      </w:r>
      <w:r w:rsidR="00732D45" w:rsidRPr="00FF703C">
        <w:rPr>
          <w:b w:val="0"/>
          <w:sz w:val="24"/>
        </w:rPr>
        <w:t xml:space="preserve"> climatic zone).</w:t>
      </w:r>
      <w:proofErr w:type="gramEnd"/>
      <w:r w:rsidR="00732D45" w:rsidRPr="00FF703C">
        <w:rPr>
          <w:b w:val="0"/>
          <w:sz w:val="24"/>
        </w:rPr>
        <w:t xml:space="preserve"> </w:t>
      </w:r>
      <w:r w:rsidR="00732D45" w:rsidRPr="00FF703C">
        <w:rPr>
          <w:b w:val="0"/>
          <w:i/>
          <w:sz w:val="24"/>
        </w:rPr>
        <w:t xml:space="preserve">Bacillales, </w:t>
      </w:r>
      <w:r w:rsidR="00732D45" w:rsidRPr="00FF703C">
        <w:rPr>
          <w:b w:val="0"/>
          <w:i/>
          <w:iCs/>
          <w:sz w:val="24"/>
        </w:rPr>
        <w:t xml:space="preserve">Rhizobiales </w:t>
      </w:r>
      <w:r w:rsidR="00732D45" w:rsidRPr="00FF703C">
        <w:rPr>
          <w:b w:val="0"/>
          <w:sz w:val="24"/>
        </w:rPr>
        <w:t xml:space="preserve">and </w:t>
      </w:r>
      <w:r w:rsidR="00732D45" w:rsidRPr="00FF703C">
        <w:rPr>
          <w:b w:val="0"/>
          <w:i/>
          <w:sz w:val="24"/>
        </w:rPr>
        <w:t xml:space="preserve">Gemmatales </w:t>
      </w:r>
      <w:r w:rsidR="00732D45" w:rsidRPr="00FF703C">
        <w:rPr>
          <w:b w:val="0"/>
          <w:sz w:val="24"/>
        </w:rPr>
        <w:t>were the most dominant class among all. The proportions of unequally distributed, low abundant and unassigned taxa are excluded in this chart.</w:t>
      </w:r>
    </w:p>
    <w:p w:rsidR="00732D45" w:rsidRPr="00FF703C" w:rsidRDefault="00732D45">
      <w:pPr>
        <w:rPr>
          <w:b/>
        </w:rPr>
      </w:pPr>
    </w:p>
    <w:sectPr w:rsidR="00732D45" w:rsidRPr="00FF703C" w:rsidSect="00AE45B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Kartika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732D45"/>
    <w:rsid w:val="00010271"/>
    <w:rsid w:val="001F20B4"/>
    <w:rsid w:val="00213784"/>
    <w:rsid w:val="00342D05"/>
    <w:rsid w:val="003C277C"/>
    <w:rsid w:val="004D3880"/>
    <w:rsid w:val="005F29AC"/>
    <w:rsid w:val="00732D45"/>
    <w:rsid w:val="008A191F"/>
    <w:rsid w:val="00AE45B4"/>
    <w:rsid w:val="00C42293"/>
    <w:rsid w:val="00C62793"/>
    <w:rsid w:val="00C75FF7"/>
    <w:rsid w:val="00D010FD"/>
    <w:rsid w:val="00FF703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ml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E45B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32D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32D45"/>
    <w:rPr>
      <w:rFonts w:ascii="Tahoma" w:hAnsi="Tahoma" w:cs="Tahoma"/>
      <w:sz w:val="16"/>
      <w:szCs w:val="16"/>
    </w:rPr>
  </w:style>
  <w:style w:type="paragraph" w:customStyle="1" w:styleId="k3">
    <w:name w:val="k3"/>
    <w:basedOn w:val="Normal"/>
    <w:qFormat/>
    <w:rsid w:val="00732D45"/>
    <w:pPr>
      <w:spacing w:after="0"/>
      <w:jc w:val="both"/>
    </w:pPr>
    <w:rPr>
      <w:rFonts w:ascii="Times New Roman" w:hAnsi="Times New Roman"/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oleObject" Target="file:///I:\Ph.D\analyszed%20results\nanopore\relative%20abundance\order%20and%20family%202.xlsx" TargetMode="External"/><Relationship Id="rId1" Type="http://schemas.openxmlformats.org/officeDocument/2006/relationships/themeOverride" Target="../theme/themeOverrid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en-US"/>
  <c:clrMapOvr bg1="lt1" tx1="dk1" bg2="lt2" tx2="dk2" accent1="accent1" accent2="accent2" accent3="accent3" accent4="accent4" accent5="accent5" accent6="accent6" hlink="hlink" folHlink="folHlink"/>
  <c:chart>
    <c:autoTitleDeleted val="1"/>
    <c:plotArea>
      <c:layout/>
      <c:barChart>
        <c:barDir val="col"/>
        <c:grouping val="percentStacked"/>
        <c:ser>
          <c:idx val="0"/>
          <c:order val="0"/>
          <c:tx>
            <c:strRef>
              <c:f>Sheet2!$N$491</c:f>
              <c:strCache>
                <c:ptCount val="1"/>
                <c:pt idx="0">
                  <c:v>Bacillales</c:v>
                </c:pt>
              </c:strCache>
            </c:strRef>
          </c:tx>
          <c:cat>
            <c:strRef>
              <c:f>Sheet2!$O$490:$R$490</c:f>
              <c:strCache>
                <c:ptCount val="4"/>
                <c:pt idx="0">
                  <c:v>TWCZ</c:v>
                </c:pt>
                <c:pt idx="1">
                  <c:v>ACZ</c:v>
                </c:pt>
                <c:pt idx="2">
                  <c:v>HSCZ</c:v>
                </c:pt>
                <c:pt idx="3">
                  <c:v>MCZ</c:v>
                </c:pt>
              </c:strCache>
            </c:strRef>
          </c:cat>
          <c:val>
            <c:numRef>
              <c:f>Sheet2!$O$491:$R$491</c:f>
              <c:numCache>
                <c:formatCode>General</c:formatCode>
                <c:ptCount val="4"/>
                <c:pt idx="0">
                  <c:v>10649</c:v>
                </c:pt>
                <c:pt idx="1">
                  <c:v>2973</c:v>
                </c:pt>
                <c:pt idx="2">
                  <c:v>5333</c:v>
                </c:pt>
                <c:pt idx="3">
                  <c:v>533</c:v>
                </c:pt>
              </c:numCache>
            </c:numRef>
          </c:val>
        </c:ser>
        <c:ser>
          <c:idx val="1"/>
          <c:order val="1"/>
          <c:tx>
            <c:strRef>
              <c:f>Sheet2!$N$492</c:f>
              <c:strCache>
                <c:ptCount val="1"/>
                <c:pt idx="0">
                  <c:v>Rhizobiales</c:v>
                </c:pt>
              </c:strCache>
            </c:strRef>
          </c:tx>
          <c:cat>
            <c:strRef>
              <c:f>Sheet2!$O$490:$R$490</c:f>
              <c:strCache>
                <c:ptCount val="4"/>
                <c:pt idx="0">
                  <c:v>TWCZ</c:v>
                </c:pt>
                <c:pt idx="1">
                  <c:v>ACZ</c:v>
                </c:pt>
                <c:pt idx="2">
                  <c:v>HSCZ</c:v>
                </c:pt>
                <c:pt idx="3">
                  <c:v>MCZ</c:v>
                </c:pt>
              </c:strCache>
            </c:strRef>
          </c:cat>
          <c:val>
            <c:numRef>
              <c:f>Sheet2!$O$492:$R$492</c:f>
              <c:numCache>
                <c:formatCode>General</c:formatCode>
                <c:ptCount val="4"/>
                <c:pt idx="0">
                  <c:v>3744</c:v>
                </c:pt>
                <c:pt idx="1">
                  <c:v>1095</c:v>
                </c:pt>
                <c:pt idx="2">
                  <c:v>1670</c:v>
                </c:pt>
                <c:pt idx="3">
                  <c:v>3427</c:v>
                </c:pt>
              </c:numCache>
            </c:numRef>
          </c:val>
        </c:ser>
        <c:ser>
          <c:idx val="2"/>
          <c:order val="2"/>
          <c:tx>
            <c:strRef>
              <c:f>Sheet2!$N$493</c:f>
              <c:strCache>
                <c:ptCount val="1"/>
                <c:pt idx="0">
                  <c:v>Actinomycetales</c:v>
                </c:pt>
              </c:strCache>
            </c:strRef>
          </c:tx>
          <c:cat>
            <c:strRef>
              <c:f>Sheet2!$O$490:$R$490</c:f>
              <c:strCache>
                <c:ptCount val="4"/>
                <c:pt idx="0">
                  <c:v>TWCZ</c:v>
                </c:pt>
                <c:pt idx="1">
                  <c:v>ACZ</c:v>
                </c:pt>
                <c:pt idx="2">
                  <c:v>HSCZ</c:v>
                </c:pt>
                <c:pt idx="3">
                  <c:v>MCZ</c:v>
                </c:pt>
              </c:strCache>
            </c:strRef>
          </c:cat>
          <c:val>
            <c:numRef>
              <c:f>Sheet2!$O$493:$R$493</c:f>
              <c:numCache>
                <c:formatCode>General</c:formatCode>
                <c:ptCount val="4"/>
                <c:pt idx="0">
                  <c:v>2404</c:v>
                </c:pt>
                <c:pt idx="1">
                  <c:v>93</c:v>
                </c:pt>
                <c:pt idx="2">
                  <c:v>1198</c:v>
                </c:pt>
                <c:pt idx="3">
                  <c:v>791</c:v>
                </c:pt>
              </c:numCache>
            </c:numRef>
          </c:val>
        </c:ser>
        <c:ser>
          <c:idx val="3"/>
          <c:order val="3"/>
          <c:tx>
            <c:strRef>
              <c:f>Sheet2!$N$494</c:f>
              <c:strCache>
                <c:ptCount val="1"/>
                <c:pt idx="0">
                  <c:v>Gemmatales</c:v>
                </c:pt>
              </c:strCache>
            </c:strRef>
          </c:tx>
          <c:cat>
            <c:strRef>
              <c:f>Sheet2!$O$490:$R$490</c:f>
              <c:strCache>
                <c:ptCount val="4"/>
                <c:pt idx="0">
                  <c:v>TWCZ</c:v>
                </c:pt>
                <c:pt idx="1">
                  <c:v>ACZ</c:v>
                </c:pt>
                <c:pt idx="2">
                  <c:v>HSCZ</c:v>
                </c:pt>
                <c:pt idx="3">
                  <c:v>MCZ</c:v>
                </c:pt>
              </c:strCache>
            </c:strRef>
          </c:cat>
          <c:val>
            <c:numRef>
              <c:f>Sheet2!$O$494:$R$494</c:f>
              <c:numCache>
                <c:formatCode>General</c:formatCode>
                <c:ptCount val="4"/>
                <c:pt idx="0">
                  <c:v>1883</c:v>
                </c:pt>
                <c:pt idx="1">
                  <c:v>1228</c:v>
                </c:pt>
                <c:pt idx="2">
                  <c:v>1163</c:v>
                </c:pt>
                <c:pt idx="3">
                  <c:v>2766</c:v>
                </c:pt>
              </c:numCache>
            </c:numRef>
          </c:val>
        </c:ser>
        <c:ser>
          <c:idx val="4"/>
          <c:order val="4"/>
          <c:tx>
            <c:strRef>
              <c:f>Sheet2!$N$495</c:f>
              <c:strCache>
                <c:ptCount val="1"/>
                <c:pt idx="0">
                  <c:v>Clostridiales</c:v>
                </c:pt>
              </c:strCache>
            </c:strRef>
          </c:tx>
          <c:cat>
            <c:strRef>
              <c:f>Sheet2!$O$490:$R$490</c:f>
              <c:strCache>
                <c:ptCount val="4"/>
                <c:pt idx="0">
                  <c:v>TWCZ</c:v>
                </c:pt>
                <c:pt idx="1">
                  <c:v>ACZ</c:v>
                </c:pt>
                <c:pt idx="2">
                  <c:v>HSCZ</c:v>
                </c:pt>
                <c:pt idx="3">
                  <c:v>MCZ</c:v>
                </c:pt>
              </c:strCache>
            </c:strRef>
          </c:cat>
          <c:val>
            <c:numRef>
              <c:f>Sheet2!$O$495:$R$495</c:f>
              <c:numCache>
                <c:formatCode>General</c:formatCode>
                <c:ptCount val="4"/>
                <c:pt idx="0">
                  <c:v>1971</c:v>
                </c:pt>
                <c:pt idx="1">
                  <c:v>173</c:v>
                </c:pt>
                <c:pt idx="2">
                  <c:v>546</c:v>
                </c:pt>
                <c:pt idx="3">
                  <c:v>37</c:v>
                </c:pt>
              </c:numCache>
            </c:numRef>
          </c:val>
        </c:ser>
        <c:ser>
          <c:idx val="5"/>
          <c:order val="5"/>
          <c:tx>
            <c:strRef>
              <c:f>Sheet2!$N$496</c:f>
              <c:strCache>
                <c:ptCount val="1"/>
                <c:pt idx="0">
                  <c:v>Acidobacteriales</c:v>
                </c:pt>
              </c:strCache>
            </c:strRef>
          </c:tx>
          <c:cat>
            <c:strRef>
              <c:f>Sheet2!$O$490:$R$490</c:f>
              <c:strCache>
                <c:ptCount val="4"/>
                <c:pt idx="0">
                  <c:v>TWCZ</c:v>
                </c:pt>
                <c:pt idx="1">
                  <c:v>ACZ</c:v>
                </c:pt>
                <c:pt idx="2">
                  <c:v>HSCZ</c:v>
                </c:pt>
                <c:pt idx="3">
                  <c:v>MCZ</c:v>
                </c:pt>
              </c:strCache>
            </c:strRef>
          </c:cat>
          <c:val>
            <c:numRef>
              <c:f>Sheet2!$O$496:$R$496</c:f>
              <c:numCache>
                <c:formatCode>General</c:formatCode>
                <c:ptCount val="4"/>
                <c:pt idx="0">
                  <c:v>1475</c:v>
                </c:pt>
                <c:pt idx="1">
                  <c:v>44</c:v>
                </c:pt>
                <c:pt idx="2">
                  <c:v>55</c:v>
                </c:pt>
                <c:pt idx="3">
                  <c:v>966</c:v>
                </c:pt>
              </c:numCache>
            </c:numRef>
          </c:val>
        </c:ser>
        <c:ser>
          <c:idx val="6"/>
          <c:order val="6"/>
          <c:tx>
            <c:strRef>
              <c:f>Sheet2!$N$497</c:f>
              <c:strCache>
                <c:ptCount val="1"/>
                <c:pt idx="0">
                  <c:v>Gaiellales</c:v>
                </c:pt>
              </c:strCache>
            </c:strRef>
          </c:tx>
          <c:cat>
            <c:strRef>
              <c:f>Sheet2!$O$490:$R$490</c:f>
              <c:strCache>
                <c:ptCount val="4"/>
                <c:pt idx="0">
                  <c:v>TWCZ</c:v>
                </c:pt>
                <c:pt idx="1">
                  <c:v>ACZ</c:v>
                </c:pt>
                <c:pt idx="2">
                  <c:v>HSCZ</c:v>
                </c:pt>
                <c:pt idx="3">
                  <c:v>MCZ</c:v>
                </c:pt>
              </c:strCache>
            </c:strRef>
          </c:cat>
          <c:val>
            <c:numRef>
              <c:f>Sheet2!$O$497:$R$497</c:f>
              <c:numCache>
                <c:formatCode>General</c:formatCode>
                <c:ptCount val="4"/>
                <c:pt idx="0">
                  <c:v>980</c:v>
                </c:pt>
                <c:pt idx="1">
                  <c:v>160</c:v>
                </c:pt>
                <c:pt idx="2">
                  <c:v>846</c:v>
                </c:pt>
                <c:pt idx="3">
                  <c:v>1868</c:v>
                </c:pt>
              </c:numCache>
            </c:numRef>
          </c:val>
        </c:ser>
        <c:ser>
          <c:idx val="7"/>
          <c:order val="7"/>
          <c:tx>
            <c:strRef>
              <c:f>Sheet2!$N$498</c:f>
              <c:strCache>
                <c:ptCount val="1"/>
                <c:pt idx="0">
                  <c:v>Rhodospirillales</c:v>
                </c:pt>
              </c:strCache>
            </c:strRef>
          </c:tx>
          <c:cat>
            <c:strRef>
              <c:f>Sheet2!$O$490:$R$490</c:f>
              <c:strCache>
                <c:ptCount val="4"/>
                <c:pt idx="0">
                  <c:v>TWCZ</c:v>
                </c:pt>
                <c:pt idx="1">
                  <c:v>ACZ</c:v>
                </c:pt>
                <c:pt idx="2">
                  <c:v>HSCZ</c:v>
                </c:pt>
                <c:pt idx="3">
                  <c:v>MCZ</c:v>
                </c:pt>
              </c:strCache>
            </c:strRef>
          </c:cat>
          <c:val>
            <c:numRef>
              <c:f>Sheet2!$O$498:$R$498</c:f>
              <c:numCache>
                <c:formatCode>General</c:formatCode>
                <c:ptCount val="4"/>
                <c:pt idx="0">
                  <c:v>638</c:v>
                </c:pt>
                <c:pt idx="1">
                  <c:v>421</c:v>
                </c:pt>
                <c:pt idx="2">
                  <c:v>496</c:v>
                </c:pt>
                <c:pt idx="3">
                  <c:v>870</c:v>
                </c:pt>
              </c:numCache>
            </c:numRef>
          </c:val>
        </c:ser>
        <c:ser>
          <c:idx val="8"/>
          <c:order val="8"/>
          <c:tx>
            <c:strRef>
              <c:f>Sheet2!$N$499</c:f>
              <c:strCache>
                <c:ptCount val="1"/>
                <c:pt idx="0">
                  <c:v>Solirubrobacterales</c:v>
                </c:pt>
              </c:strCache>
            </c:strRef>
          </c:tx>
          <c:cat>
            <c:strRef>
              <c:f>Sheet2!$O$490:$R$490</c:f>
              <c:strCache>
                <c:ptCount val="4"/>
                <c:pt idx="0">
                  <c:v>TWCZ</c:v>
                </c:pt>
                <c:pt idx="1">
                  <c:v>ACZ</c:v>
                </c:pt>
                <c:pt idx="2">
                  <c:v>HSCZ</c:v>
                </c:pt>
                <c:pt idx="3">
                  <c:v>MCZ</c:v>
                </c:pt>
              </c:strCache>
            </c:strRef>
          </c:cat>
          <c:val>
            <c:numRef>
              <c:f>Sheet2!$O$499:$R$499</c:f>
              <c:numCache>
                <c:formatCode>General</c:formatCode>
                <c:ptCount val="4"/>
                <c:pt idx="0">
                  <c:v>523</c:v>
                </c:pt>
                <c:pt idx="1">
                  <c:v>168</c:v>
                </c:pt>
                <c:pt idx="2">
                  <c:v>524</c:v>
                </c:pt>
                <c:pt idx="3">
                  <c:v>1099</c:v>
                </c:pt>
              </c:numCache>
            </c:numRef>
          </c:val>
        </c:ser>
        <c:ser>
          <c:idx val="9"/>
          <c:order val="9"/>
          <c:tx>
            <c:strRef>
              <c:f>Sheet2!$N$500</c:f>
              <c:strCache>
                <c:ptCount val="1"/>
                <c:pt idx="0">
                  <c:v>Solibacterales</c:v>
                </c:pt>
              </c:strCache>
            </c:strRef>
          </c:tx>
          <c:cat>
            <c:strRef>
              <c:f>Sheet2!$O$490:$R$490</c:f>
              <c:strCache>
                <c:ptCount val="4"/>
                <c:pt idx="0">
                  <c:v>TWCZ</c:v>
                </c:pt>
                <c:pt idx="1">
                  <c:v>ACZ</c:v>
                </c:pt>
                <c:pt idx="2">
                  <c:v>HSCZ</c:v>
                </c:pt>
                <c:pt idx="3">
                  <c:v>MCZ</c:v>
                </c:pt>
              </c:strCache>
            </c:strRef>
          </c:cat>
          <c:val>
            <c:numRef>
              <c:f>Sheet2!$O$500:$R$500</c:f>
              <c:numCache>
                <c:formatCode>General</c:formatCode>
                <c:ptCount val="4"/>
                <c:pt idx="0">
                  <c:v>489</c:v>
                </c:pt>
                <c:pt idx="1">
                  <c:v>140</c:v>
                </c:pt>
                <c:pt idx="2">
                  <c:v>135</c:v>
                </c:pt>
                <c:pt idx="3">
                  <c:v>591</c:v>
                </c:pt>
              </c:numCache>
            </c:numRef>
          </c:val>
        </c:ser>
        <c:ser>
          <c:idx val="10"/>
          <c:order val="10"/>
          <c:tx>
            <c:strRef>
              <c:f>Sheet2!$N$501</c:f>
              <c:strCache>
                <c:ptCount val="1"/>
                <c:pt idx="0">
                  <c:v>Syntrophobacterales</c:v>
                </c:pt>
              </c:strCache>
            </c:strRef>
          </c:tx>
          <c:cat>
            <c:strRef>
              <c:f>Sheet2!$O$490:$R$490</c:f>
              <c:strCache>
                <c:ptCount val="4"/>
                <c:pt idx="0">
                  <c:v>TWCZ</c:v>
                </c:pt>
                <c:pt idx="1">
                  <c:v>ACZ</c:v>
                </c:pt>
                <c:pt idx="2">
                  <c:v>HSCZ</c:v>
                </c:pt>
                <c:pt idx="3">
                  <c:v>MCZ</c:v>
                </c:pt>
              </c:strCache>
            </c:strRef>
          </c:cat>
          <c:val>
            <c:numRef>
              <c:f>Sheet2!$O$501:$R$501</c:f>
              <c:numCache>
                <c:formatCode>General</c:formatCode>
                <c:ptCount val="4"/>
                <c:pt idx="0">
                  <c:v>288</c:v>
                </c:pt>
                <c:pt idx="1">
                  <c:v>81</c:v>
                </c:pt>
                <c:pt idx="2">
                  <c:v>486</c:v>
                </c:pt>
                <c:pt idx="3">
                  <c:v>228</c:v>
                </c:pt>
              </c:numCache>
            </c:numRef>
          </c:val>
        </c:ser>
        <c:ser>
          <c:idx val="11"/>
          <c:order val="11"/>
          <c:tx>
            <c:strRef>
              <c:f>Sheet2!$N$502</c:f>
              <c:strCache>
                <c:ptCount val="1"/>
                <c:pt idx="0">
                  <c:v>Acidimicrobiales</c:v>
                </c:pt>
              </c:strCache>
            </c:strRef>
          </c:tx>
          <c:cat>
            <c:strRef>
              <c:f>Sheet2!$O$490:$R$490</c:f>
              <c:strCache>
                <c:ptCount val="4"/>
                <c:pt idx="0">
                  <c:v>TWCZ</c:v>
                </c:pt>
                <c:pt idx="1">
                  <c:v>ACZ</c:v>
                </c:pt>
                <c:pt idx="2">
                  <c:v>HSCZ</c:v>
                </c:pt>
                <c:pt idx="3">
                  <c:v>MCZ</c:v>
                </c:pt>
              </c:strCache>
            </c:strRef>
          </c:cat>
          <c:val>
            <c:numRef>
              <c:f>Sheet2!$O$502:$R$502</c:f>
              <c:numCache>
                <c:formatCode>General</c:formatCode>
                <c:ptCount val="4"/>
                <c:pt idx="0">
                  <c:v>317</c:v>
                </c:pt>
                <c:pt idx="1">
                  <c:v>42</c:v>
                </c:pt>
                <c:pt idx="2">
                  <c:v>377</c:v>
                </c:pt>
                <c:pt idx="3">
                  <c:v>566</c:v>
                </c:pt>
              </c:numCache>
            </c:numRef>
          </c:val>
        </c:ser>
        <c:ser>
          <c:idx val="12"/>
          <c:order val="12"/>
          <c:tx>
            <c:strRef>
              <c:f>Sheet2!$N$503</c:f>
              <c:strCache>
                <c:ptCount val="1"/>
                <c:pt idx="0">
                  <c:v>Lactobacillales</c:v>
                </c:pt>
              </c:strCache>
            </c:strRef>
          </c:tx>
          <c:cat>
            <c:strRef>
              <c:f>Sheet2!$O$490:$R$490</c:f>
              <c:strCache>
                <c:ptCount val="4"/>
                <c:pt idx="0">
                  <c:v>TWCZ</c:v>
                </c:pt>
                <c:pt idx="1">
                  <c:v>ACZ</c:v>
                </c:pt>
                <c:pt idx="2">
                  <c:v>HSCZ</c:v>
                </c:pt>
                <c:pt idx="3">
                  <c:v>MCZ</c:v>
                </c:pt>
              </c:strCache>
            </c:strRef>
          </c:cat>
          <c:val>
            <c:numRef>
              <c:f>Sheet2!$O$503:$R$503</c:f>
              <c:numCache>
                <c:formatCode>General</c:formatCode>
                <c:ptCount val="4"/>
                <c:pt idx="0">
                  <c:v>356</c:v>
                </c:pt>
                <c:pt idx="1">
                  <c:v>96</c:v>
                </c:pt>
                <c:pt idx="2">
                  <c:v>197</c:v>
                </c:pt>
                <c:pt idx="3">
                  <c:v>11</c:v>
                </c:pt>
              </c:numCache>
            </c:numRef>
          </c:val>
        </c:ser>
        <c:ser>
          <c:idx val="13"/>
          <c:order val="13"/>
          <c:tx>
            <c:strRef>
              <c:f>Sheet2!$N$504</c:f>
              <c:strCache>
                <c:ptCount val="1"/>
                <c:pt idx="0">
                  <c:v>Myxococcales</c:v>
                </c:pt>
              </c:strCache>
            </c:strRef>
          </c:tx>
          <c:cat>
            <c:strRef>
              <c:f>Sheet2!$O$490:$R$490</c:f>
              <c:strCache>
                <c:ptCount val="4"/>
                <c:pt idx="0">
                  <c:v>TWCZ</c:v>
                </c:pt>
                <c:pt idx="1">
                  <c:v>ACZ</c:v>
                </c:pt>
                <c:pt idx="2">
                  <c:v>HSCZ</c:v>
                </c:pt>
                <c:pt idx="3">
                  <c:v>MCZ</c:v>
                </c:pt>
              </c:strCache>
            </c:strRef>
          </c:cat>
          <c:val>
            <c:numRef>
              <c:f>Sheet2!$O$504:$R$504</c:f>
              <c:numCache>
                <c:formatCode>General</c:formatCode>
                <c:ptCount val="4"/>
                <c:pt idx="0">
                  <c:v>294</c:v>
                </c:pt>
                <c:pt idx="1">
                  <c:v>602</c:v>
                </c:pt>
                <c:pt idx="2">
                  <c:v>503</c:v>
                </c:pt>
                <c:pt idx="3">
                  <c:v>514</c:v>
                </c:pt>
              </c:numCache>
            </c:numRef>
          </c:val>
        </c:ser>
        <c:ser>
          <c:idx val="14"/>
          <c:order val="14"/>
          <c:tx>
            <c:strRef>
              <c:f>Sheet2!$N$505</c:f>
              <c:strCache>
                <c:ptCount val="1"/>
                <c:pt idx="0">
                  <c:v>Nitrospirales</c:v>
                </c:pt>
              </c:strCache>
            </c:strRef>
          </c:tx>
          <c:cat>
            <c:strRef>
              <c:f>Sheet2!$O$490:$R$490</c:f>
              <c:strCache>
                <c:ptCount val="4"/>
                <c:pt idx="0">
                  <c:v>TWCZ</c:v>
                </c:pt>
                <c:pt idx="1">
                  <c:v>ACZ</c:v>
                </c:pt>
                <c:pt idx="2">
                  <c:v>HSCZ</c:v>
                </c:pt>
                <c:pt idx="3">
                  <c:v>MCZ</c:v>
                </c:pt>
              </c:strCache>
            </c:strRef>
          </c:cat>
          <c:val>
            <c:numRef>
              <c:f>Sheet2!$O$505:$R$505</c:f>
              <c:numCache>
                <c:formatCode>General</c:formatCode>
                <c:ptCount val="4"/>
                <c:pt idx="0">
                  <c:v>231</c:v>
                </c:pt>
                <c:pt idx="1">
                  <c:v>181</c:v>
                </c:pt>
                <c:pt idx="2">
                  <c:v>734</c:v>
                </c:pt>
                <c:pt idx="3">
                  <c:v>389</c:v>
                </c:pt>
              </c:numCache>
            </c:numRef>
          </c:val>
        </c:ser>
        <c:ser>
          <c:idx val="15"/>
          <c:order val="15"/>
          <c:tx>
            <c:strRef>
              <c:f>Sheet2!$N$506</c:f>
              <c:strCache>
                <c:ptCount val="1"/>
                <c:pt idx="0">
                  <c:v>Xanthomonadales</c:v>
                </c:pt>
              </c:strCache>
            </c:strRef>
          </c:tx>
          <c:cat>
            <c:strRef>
              <c:f>Sheet2!$O$490:$R$490</c:f>
              <c:strCache>
                <c:ptCount val="4"/>
                <c:pt idx="0">
                  <c:v>TWCZ</c:v>
                </c:pt>
                <c:pt idx="1">
                  <c:v>ACZ</c:v>
                </c:pt>
                <c:pt idx="2">
                  <c:v>HSCZ</c:v>
                </c:pt>
                <c:pt idx="3">
                  <c:v>MCZ</c:v>
                </c:pt>
              </c:strCache>
            </c:strRef>
          </c:cat>
          <c:val>
            <c:numRef>
              <c:f>Sheet2!$O$506:$R$506</c:f>
              <c:numCache>
                <c:formatCode>General</c:formatCode>
                <c:ptCount val="4"/>
                <c:pt idx="0">
                  <c:v>211</c:v>
                </c:pt>
                <c:pt idx="1">
                  <c:v>56</c:v>
                </c:pt>
                <c:pt idx="2">
                  <c:v>395</c:v>
                </c:pt>
                <c:pt idx="3">
                  <c:v>205</c:v>
                </c:pt>
              </c:numCache>
            </c:numRef>
          </c:val>
        </c:ser>
        <c:ser>
          <c:idx val="16"/>
          <c:order val="16"/>
          <c:tx>
            <c:strRef>
              <c:f>Sheet2!$N$507</c:f>
              <c:strCache>
                <c:ptCount val="1"/>
                <c:pt idx="0">
                  <c:v>Burkholderiales</c:v>
                </c:pt>
              </c:strCache>
            </c:strRef>
          </c:tx>
          <c:cat>
            <c:strRef>
              <c:f>Sheet2!$O$490:$R$490</c:f>
              <c:strCache>
                <c:ptCount val="4"/>
                <c:pt idx="0">
                  <c:v>TWCZ</c:v>
                </c:pt>
                <c:pt idx="1">
                  <c:v>ACZ</c:v>
                </c:pt>
                <c:pt idx="2">
                  <c:v>HSCZ</c:v>
                </c:pt>
                <c:pt idx="3">
                  <c:v>MCZ</c:v>
                </c:pt>
              </c:strCache>
            </c:strRef>
          </c:cat>
          <c:val>
            <c:numRef>
              <c:f>Sheet2!$O$507:$R$507</c:f>
              <c:numCache>
                <c:formatCode>General</c:formatCode>
                <c:ptCount val="4"/>
                <c:pt idx="0">
                  <c:v>187</c:v>
                </c:pt>
                <c:pt idx="1">
                  <c:v>667</c:v>
                </c:pt>
                <c:pt idx="2">
                  <c:v>571</c:v>
                </c:pt>
                <c:pt idx="3">
                  <c:v>466</c:v>
                </c:pt>
              </c:numCache>
            </c:numRef>
          </c:val>
        </c:ser>
        <c:ser>
          <c:idx val="17"/>
          <c:order val="17"/>
          <c:tx>
            <c:strRef>
              <c:f>Sheet2!$N$508</c:f>
              <c:strCache>
                <c:ptCount val="1"/>
                <c:pt idx="0">
                  <c:v>Saprospirales</c:v>
                </c:pt>
              </c:strCache>
            </c:strRef>
          </c:tx>
          <c:cat>
            <c:strRef>
              <c:f>Sheet2!$O$490:$R$490</c:f>
              <c:strCache>
                <c:ptCount val="4"/>
                <c:pt idx="0">
                  <c:v>TWCZ</c:v>
                </c:pt>
                <c:pt idx="1">
                  <c:v>ACZ</c:v>
                </c:pt>
                <c:pt idx="2">
                  <c:v>HSCZ</c:v>
                </c:pt>
                <c:pt idx="3">
                  <c:v>MCZ</c:v>
                </c:pt>
              </c:strCache>
            </c:strRef>
          </c:cat>
          <c:val>
            <c:numRef>
              <c:f>Sheet2!$O$508:$R$508</c:f>
              <c:numCache>
                <c:formatCode>General</c:formatCode>
                <c:ptCount val="4"/>
                <c:pt idx="0">
                  <c:v>62</c:v>
                </c:pt>
                <c:pt idx="1">
                  <c:v>361</c:v>
                </c:pt>
                <c:pt idx="2">
                  <c:v>719</c:v>
                </c:pt>
                <c:pt idx="3">
                  <c:v>369</c:v>
                </c:pt>
              </c:numCache>
            </c:numRef>
          </c:val>
        </c:ser>
        <c:ser>
          <c:idx val="18"/>
          <c:order val="18"/>
          <c:tx>
            <c:strRef>
              <c:f>Sheet2!$N$509</c:f>
              <c:strCache>
                <c:ptCount val="1"/>
                <c:pt idx="0">
                  <c:v>Sphingomonadales</c:v>
                </c:pt>
              </c:strCache>
            </c:strRef>
          </c:tx>
          <c:cat>
            <c:strRef>
              <c:f>Sheet2!$O$490:$R$490</c:f>
              <c:strCache>
                <c:ptCount val="4"/>
                <c:pt idx="0">
                  <c:v>TWCZ</c:v>
                </c:pt>
                <c:pt idx="1">
                  <c:v>ACZ</c:v>
                </c:pt>
                <c:pt idx="2">
                  <c:v>HSCZ</c:v>
                </c:pt>
                <c:pt idx="3">
                  <c:v>MCZ</c:v>
                </c:pt>
              </c:strCache>
            </c:strRef>
          </c:cat>
          <c:val>
            <c:numRef>
              <c:f>Sheet2!$O$509:$R$509</c:f>
              <c:numCache>
                <c:formatCode>General</c:formatCode>
                <c:ptCount val="4"/>
                <c:pt idx="0">
                  <c:v>91</c:v>
                </c:pt>
                <c:pt idx="1">
                  <c:v>54</c:v>
                </c:pt>
                <c:pt idx="2">
                  <c:v>300</c:v>
                </c:pt>
                <c:pt idx="3">
                  <c:v>116</c:v>
                </c:pt>
              </c:numCache>
            </c:numRef>
          </c:val>
        </c:ser>
        <c:gapWidth val="75"/>
        <c:overlap val="100"/>
        <c:axId val="102414208"/>
        <c:axId val="103055360"/>
      </c:barChart>
      <c:catAx>
        <c:axId val="102414208"/>
        <c:scaling>
          <c:orientation val="minMax"/>
        </c:scaling>
        <c:axPos val="b"/>
        <c:title>
          <c:tx>
            <c:rich>
              <a:bodyPr/>
              <a:lstStyle/>
              <a:p>
                <a:pPr>
                  <a:defRPr/>
                </a:pPr>
                <a:r>
                  <a:rPr lang="en-US" sz="1200">
                    <a:latin typeface="Times New Roman" pitchFamily="18" charset="0"/>
                    <a:cs typeface="Times New Roman" pitchFamily="18" charset="0"/>
                  </a:rPr>
                  <a:t>Climatic</a:t>
                </a:r>
                <a:r>
                  <a:rPr lang="en-US" sz="1200" baseline="0">
                    <a:latin typeface="Times New Roman" pitchFamily="18" charset="0"/>
                    <a:cs typeface="Times New Roman" pitchFamily="18" charset="0"/>
                  </a:rPr>
                  <a:t> zones</a:t>
                </a:r>
                <a:endParaRPr lang="en-US" sz="1200">
                  <a:latin typeface="Times New Roman" pitchFamily="18" charset="0"/>
                  <a:cs typeface="Times New Roman" pitchFamily="18" charset="0"/>
                </a:endParaRPr>
              </a:p>
            </c:rich>
          </c:tx>
          <c:layout>
            <c:manualLayout>
              <c:xMode val="edge"/>
              <c:yMode val="edge"/>
              <c:x val="0.41550161684779857"/>
              <c:y val="0.94955224177034026"/>
            </c:manualLayout>
          </c:layout>
        </c:title>
        <c:numFmt formatCode="General" sourceLinked="0"/>
        <c:majorTickMark val="none"/>
        <c:tickLblPos val="nextTo"/>
        <c:txPr>
          <a:bodyPr/>
          <a:lstStyle/>
          <a:p>
            <a:pPr>
              <a:defRPr sz="1200" b="1">
                <a:latin typeface="Times New Roman" pitchFamily="18" charset="0"/>
                <a:cs typeface="Times New Roman" pitchFamily="18" charset="0"/>
              </a:defRPr>
            </a:pPr>
            <a:endParaRPr lang="en-US"/>
          </a:p>
        </c:txPr>
        <c:crossAx val="103055360"/>
        <c:crosses val="autoZero"/>
        <c:auto val="1"/>
        <c:lblAlgn val="ctr"/>
        <c:lblOffset val="100"/>
      </c:catAx>
      <c:valAx>
        <c:axId val="103055360"/>
        <c:scaling>
          <c:orientation val="minMax"/>
        </c:scaling>
        <c:axPos val="l"/>
        <c:majorGridlines/>
        <c:title>
          <c:tx>
            <c:rich>
              <a:bodyPr/>
              <a:lstStyle/>
              <a:p>
                <a:pPr>
                  <a:defRPr sz="1200"/>
                </a:pPr>
                <a:r>
                  <a:rPr lang="en-US" sz="1200">
                    <a:latin typeface="Times New Roman" pitchFamily="18" charset="0"/>
                    <a:cs typeface="Times New Roman" pitchFamily="18" charset="0"/>
                  </a:rPr>
                  <a:t>Relative  abundance (%)</a:t>
                </a:r>
              </a:p>
            </c:rich>
          </c:tx>
          <c:layout>
            <c:manualLayout>
              <c:xMode val="edge"/>
              <c:yMode val="edge"/>
              <c:x val="1.6877637130801686E-2"/>
              <c:y val="0.32323603196009337"/>
            </c:manualLayout>
          </c:layout>
        </c:title>
        <c:numFmt formatCode="0%" sourceLinked="1"/>
        <c:tickLblPos val="nextTo"/>
        <c:txPr>
          <a:bodyPr/>
          <a:lstStyle/>
          <a:p>
            <a:pPr>
              <a:defRPr sz="1200" b="1">
                <a:latin typeface="Times New Roman" pitchFamily="18" charset="0"/>
                <a:cs typeface="Times New Roman" pitchFamily="18" charset="0"/>
              </a:defRPr>
            </a:pPr>
            <a:endParaRPr lang="en-US"/>
          </a:p>
        </c:txPr>
        <c:crossAx val="102414208"/>
        <c:crosses val="autoZero"/>
        <c:crossBetween val="between"/>
      </c:valAx>
    </c:plotArea>
    <c:legend>
      <c:legendPos val="r"/>
      <c:layout>
        <c:manualLayout>
          <c:xMode val="edge"/>
          <c:yMode val="edge"/>
          <c:x val="0.74211761244481211"/>
          <c:y val="3.5728838934087508E-2"/>
          <c:w val="0.24601461999681809"/>
          <c:h val="0.91311815979659949"/>
        </c:manualLayout>
      </c:layout>
      <c:txPr>
        <a:bodyPr/>
        <a:lstStyle/>
        <a:p>
          <a:pPr>
            <a:defRPr sz="1200">
              <a:latin typeface="Times New Roman" pitchFamily="18" charset="0"/>
              <a:cs typeface="Times New Roman" pitchFamily="18" charset="0"/>
            </a:defRPr>
          </a:pPr>
          <a:endParaRPr lang="en-US"/>
        </a:p>
      </c:txPr>
    </c:legend>
    <c:plotVisOnly val="1"/>
    <c:dispBlanksAs val="gap"/>
  </c:chart>
  <c:externalData r:id="rId2"/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theme/themeOverride1.xml><?xml version="1.0" encoding="utf-8"?>
<a:themeOverride xmlns:a="http://schemas.openxmlformats.org/drawingml/2006/main">
  <a:clrScheme name="Custom 24">
    <a:dk1>
      <a:sysClr val="windowText" lastClr="000000"/>
    </a:dk1>
    <a:lt1>
      <a:sysClr val="window" lastClr="FFFFFF"/>
    </a:lt1>
    <a:dk2>
      <a:srgbClr val="64AC00"/>
    </a:dk2>
    <a:lt2>
      <a:srgbClr val="CBFF00"/>
    </a:lt2>
    <a:accent1>
      <a:srgbClr val="002E62"/>
    </a:accent1>
    <a:accent2>
      <a:srgbClr val="004CB9"/>
    </a:accent2>
    <a:accent3>
      <a:srgbClr val="005500"/>
    </a:accent3>
    <a:accent4>
      <a:srgbClr val="16B3DC"/>
    </a:accent4>
    <a:accent5>
      <a:srgbClr val="F9DC5C"/>
    </a:accent5>
    <a:accent6>
      <a:srgbClr val="EF626C"/>
    </a:accent6>
    <a:hlink>
      <a:srgbClr val="FFFFFF"/>
    </a:hlink>
    <a:folHlink>
      <a:srgbClr val="FFFFFF"/>
    </a:folHlink>
  </a:clrScheme>
  <a:fontScheme name="Custom 21">
    <a:majorFont>
      <a:latin typeface="Gill Sans MT"/>
      <a:ea typeface=""/>
      <a:cs typeface=""/>
    </a:majorFont>
    <a:minorFont>
      <a:latin typeface="Franklin Gothic Book"/>
      <a:ea typeface=""/>
      <a:cs typeface="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69</Words>
  <Characters>395</Characters>
  <Application>Microsoft Office Word</Application>
  <DocSecurity>0</DocSecurity>
  <Lines>3</Lines>
  <Paragraphs>1</Paragraphs>
  <ScaleCrop>false</ScaleCrop>
  <Company>Microsoft</Company>
  <LinksUpToDate>false</LinksUpToDate>
  <CharactersWithSpaces>463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rgiri</dc:creator>
  <cp:lastModifiedBy>rgiri</cp:lastModifiedBy>
  <cp:revision>6</cp:revision>
  <dcterms:created xsi:type="dcterms:W3CDTF">2021-04-17T16:33:00Z</dcterms:created>
  <dcterms:modified xsi:type="dcterms:W3CDTF">2021-05-03T07:39:00Z</dcterms:modified>
</cp:coreProperties>
</file>