
<file path=[Content_Types].xml><?xml version="1.0" encoding="utf-8"?>
<Types xmlns="http://schemas.openxmlformats.org/package/2006/content-types"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CAD" w:rsidRDefault="00AA60AB">
      <w:r w:rsidRPr="00AA60AB">
        <w:rPr>
          <w:noProof/>
        </w:rPr>
        <w:drawing>
          <wp:inline distT="0" distB="0" distL="0" distR="0">
            <wp:extent cx="5955527" cy="6512118"/>
            <wp:effectExtent l="19050" t="0" r="26173" b="2982"/>
            <wp:docPr id="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AA60AB" w:rsidRPr="00B0655D" w:rsidRDefault="00913E52" w:rsidP="00AA60AB">
      <w:pPr>
        <w:pStyle w:val="k3"/>
        <w:rPr>
          <w:b w:val="0"/>
          <w:sz w:val="24"/>
        </w:rPr>
      </w:pPr>
      <w:bookmarkStart w:id="0" w:name="_GoBack"/>
      <w:bookmarkEnd w:id="0"/>
      <w:r w:rsidRPr="00913E52">
        <w:rPr>
          <w:sz w:val="24"/>
        </w:rPr>
        <w:t>Additional file 8</w:t>
      </w:r>
      <w:r w:rsidR="006269A2" w:rsidRPr="00913E52">
        <w:rPr>
          <w:sz w:val="24"/>
        </w:rPr>
        <w:t>.</w:t>
      </w:r>
      <w:r w:rsidR="006269A2" w:rsidRPr="00B0655D">
        <w:rPr>
          <w:b w:val="0"/>
          <w:sz w:val="24"/>
        </w:rPr>
        <w:t xml:space="preserve"> </w:t>
      </w:r>
      <w:r w:rsidR="00AA60AB" w:rsidRPr="00B0655D">
        <w:rPr>
          <w:b w:val="0"/>
          <w:sz w:val="24"/>
        </w:rPr>
        <w:t xml:space="preserve">Relative abundance (%) of the major class of bacterial community detected in soils collected at four contrasting climatic zones </w:t>
      </w:r>
      <w:r w:rsidR="00AA60AB" w:rsidRPr="00B0655D">
        <w:rPr>
          <w:b w:val="0"/>
          <w:i/>
          <w:iCs/>
          <w:sz w:val="24"/>
        </w:rPr>
        <w:t xml:space="preserve">viz. </w:t>
      </w:r>
      <w:r w:rsidR="00AA60AB" w:rsidRPr="00B0655D">
        <w:rPr>
          <w:b w:val="0"/>
          <w:sz w:val="24"/>
        </w:rPr>
        <w:t xml:space="preserve">TWCZ (tropical wet climatic zone); ACZ (Arid climatic zone); HSCZ (humid subtropical </w:t>
      </w:r>
      <w:r w:rsidR="006269A2" w:rsidRPr="00B0655D">
        <w:rPr>
          <w:b w:val="0"/>
          <w:sz w:val="24"/>
        </w:rPr>
        <w:t>climatic zone); MCZ (Mountain</w:t>
      </w:r>
      <w:r w:rsidR="00AA60AB" w:rsidRPr="00B0655D">
        <w:rPr>
          <w:b w:val="0"/>
          <w:sz w:val="24"/>
        </w:rPr>
        <w:t xml:space="preserve"> climatic zone). </w:t>
      </w:r>
      <w:r w:rsidR="00AA60AB" w:rsidRPr="00B0655D">
        <w:rPr>
          <w:b w:val="0"/>
          <w:i/>
          <w:sz w:val="24"/>
        </w:rPr>
        <w:t xml:space="preserve">Bacilli </w:t>
      </w:r>
      <w:r w:rsidR="00AA60AB" w:rsidRPr="00B0655D">
        <w:rPr>
          <w:b w:val="0"/>
          <w:sz w:val="24"/>
        </w:rPr>
        <w:t xml:space="preserve">and </w:t>
      </w:r>
      <w:r w:rsidR="00AA60AB" w:rsidRPr="00B0655D">
        <w:rPr>
          <w:b w:val="0"/>
          <w:i/>
          <w:iCs/>
          <w:sz w:val="24"/>
        </w:rPr>
        <w:t>Alphaproteobacteria</w:t>
      </w:r>
      <w:r w:rsidR="00AA60AB" w:rsidRPr="00B0655D">
        <w:rPr>
          <w:b w:val="0"/>
          <w:sz w:val="24"/>
        </w:rPr>
        <w:t xml:space="preserve"> were the most dominant class among all.  The proportions of unequally distributed, low abu</w:t>
      </w:r>
      <w:r w:rsidR="008519F4" w:rsidRPr="00B0655D">
        <w:rPr>
          <w:b w:val="0"/>
          <w:sz w:val="24"/>
        </w:rPr>
        <w:t>ndant and unassigned taxa are</w:t>
      </w:r>
      <w:r w:rsidR="00AA60AB" w:rsidRPr="00B0655D">
        <w:rPr>
          <w:b w:val="0"/>
          <w:sz w:val="24"/>
        </w:rPr>
        <w:t xml:space="preserve"> excluded in this chart.</w:t>
      </w:r>
    </w:p>
    <w:p w:rsidR="00AA60AB" w:rsidRPr="00B0655D" w:rsidRDefault="00AA60AB">
      <w:pPr>
        <w:rPr>
          <w:sz w:val="24"/>
        </w:rPr>
      </w:pPr>
    </w:p>
    <w:p w:rsidR="00AA60AB" w:rsidRPr="008519F4" w:rsidRDefault="00AA60AB"/>
    <w:sectPr w:rsidR="00AA60AB" w:rsidRPr="008519F4" w:rsidSect="00AE45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60AB"/>
    <w:rsid w:val="0003648D"/>
    <w:rsid w:val="000D652F"/>
    <w:rsid w:val="001F20B4"/>
    <w:rsid w:val="003E2A59"/>
    <w:rsid w:val="005F29AC"/>
    <w:rsid w:val="006269A2"/>
    <w:rsid w:val="008519F4"/>
    <w:rsid w:val="00913E52"/>
    <w:rsid w:val="00AA60AB"/>
    <w:rsid w:val="00AE45B4"/>
    <w:rsid w:val="00B0655D"/>
    <w:rsid w:val="00E45D8F"/>
    <w:rsid w:val="00EE533B"/>
    <w:rsid w:val="00F14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45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60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0AB"/>
    <w:rPr>
      <w:rFonts w:ascii="Tahoma" w:hAnsi="Tahoma" w:cs="Tahoma"/>
      <w:sz w:val="16"/>
      <w:szCs w:val="16"/>
    </w:rPr>
  </w:style>
  <w:style w:type="paragraph" w:customStyle="1" w:styleId="k3">
    <w:name w:val="k3"/>
    <w:basedOn w:val="Normal"/>
    <w:qFormat/>
    <w:rsid w:val="00AA60AB"/>
    <w:pPr>
      <w:spacing w:after="0"/>
      <w:jc w:val="both"/>
    </w:pPr>
    <w:rPr>
      <w:rFonts w:ascii="Times New Roman" w:hAnsi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I:\Ph.D\analyszed%20results\nanopore\relative%20abundance\abundance%20data%20all.xls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percentStacked"/>
        <c:ser>
          <c:idx val="0"/>
          <c:order val="0"/>
          <c:tx>
            <c:strRef>
              <c:f>Sheet19!$A$2</c:f>
              <c:strCache>
                <c:ptCount val="1"/>
                <c:pt idx="0">
                  <c:v>Bacilli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Sheet19!$B$2:$E$2</c:f>
              <c:numCache>
                <c:formatCode>General</c:formatCode>
                <c:ptCount val="4"/>
                <c:pt idx="0">
                  <c:v>11035</c:v>
                </c:pt>
                <c:pt idx="1">
                  <c:v>4262</c:v>
                </c:pt>
                <c:pt idx="2">
                  <c:v>7360</c:v>
                </c:pt>
                <c:pt idx="3">
                  <c:v>5235</c:v>
                </c:pt>
              </c:numCache>
            </c:numRef>
          </c:val>
        </c:ser>
        <c:ser>
          <c:idx val="1"/>
          <c:order val="1"/>
          <c:tx>
            <c:strRef>
              <c:f>Sheet19!$A$3</c:f>
              <c:strCache>
                <c:ptCount val="1"/>
                <c:pt idx="0">
                  <c:v>Alphaproteobacteria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Sheet19!$B$3:$E$3</c:f>
              <c:numCache>
                <c:formatCode>General</c:formatCode>
                <c:ptCount val="4"/>
                <c:pt idx="0">
                  <c:v>4800</c:v>
                </c:pt>
                <c:pt idx="1">
                  <c:v>1848</c:v>
                </c:pt>
                <c:pt idx="2">
                  <c:v>3855</c:v>
                </c:pt>
                <c:pt idx="3">
                  <c:v>4030</c:v>
                </c:pt>
              </c:numCache>
            </c:numRef>
          </c:val>
        </c:ser>
        <c:ser>
          <c:idx val="2"/>
          <c:order val="2"/>
          <c:tx>
            <c:strRef>
              <c:f>Sheet19!$A$4</c:f>
              <c:strCache>
                <c:ptCount val="1"/>
                <c:pt idx="0">
                  <c:v>Actinobacteria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Sheet19!$B$4:$E$4</c:f>
              <c:numCache>
                <c:formatCode>General</c:formatCode>
                <c:ptCount val="4"/>
                <c:pt idx="0">
                  <c:v>2408</c:v>
                </c:pt>
                <c:pt idx="1">
                  <c:v>808</c:v>
                </c:pt>
                <c:pt idx="2">
                  <c:v>1995</c:v>
                </c:pt>
                <c:pt idx="3">
                  <c:v>1188</c:v>
                </c:pt>
              </c:numCache>
            </c:numRef>
          </c:val>
        </c:ser>
        <c:ser>
          <c:idx val="3"/>
          <c:order val="3"/>
          <c:tx>
            <c:strRef>
              <c:f>Sheet19!$A$5</c:f>
              <c:strCache>
                <c:ptCount val="1"/>
                <c:pt idx="0">
                  <c:v>Clostridia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Sheet19!$B$5:$E$5</c:f>
              <c:numCache>
                <c:formatCode>General</c:formatCode>
                <c:ptCount val="4"/>
                <c:pt idx="0">
                  <c:v>2162</c:v>
                </c:pt>
                <c:pt idx="1">
                  <c:v>703</c:v>
                </c:pt>
                <c:pt idx="2">
                  <c:v>1657</c:v>
                </c:pt>
                <c:pt idx="3">
                  <c:v>1333</c:v>
                </c:pt>
              </c:numCache>
            </c:numRef>
          </c:val>
        </c:ser>
        <c:ser>
          <c:idx val="4"/>
          <c:order val="4"/>
          <c:tx>
            <c:strRef>
              <c:f>Sheet19!$A$6</c:f>
              <c:strCache>
                <c:ptCount val="1"/>
                <c:pt idx="0">
                  <c:v>Planctomycetia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Sheet19!$B$6:$E$6</c:f>
              <c:numCache>
                <c:formatCode>General</c:formatCode>
                <c:ptCount val="4"/>
                <c:pt idx="0">
                  <c:v>2063</c:v>
                </c:pt>
                <c:pt idx="1">
                  <c:v>780</c:v>
                </c:pt>
                <c:pt idx="2">
                  <c:v>1864</c:v>
                </c:pt>
                <c:pt idx="3">
                  <c:v>2271</c:v>
                </c:pt>
              </c:numCache>
            </c:numRef>
          </c:val>
        </c:ser>
        <c:ser>
          <c:idx val="5"/>
          <c:order val="5"/>
          <c:tx>
            <c:strRef>
              <c:f>Sheet19!$A$7</c:f>
              <c:strCache>
                <c:ptCount val="1"/>
                <c:pt idx="0">
                  <c:v>Thermoleophilia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Sheet19!$B$7:$E$7</c:f>
              <c:numCache>
                <c:formatCode>General</c:formatCode>
                <c:ptCount val="4"/>
                <c:pt idx="0">
                  <c:v>1520</c:v>
                </c:pt>
                <c:pt idx="1">
                  <c:v>503</c:v>
                </c:pt>
                <c:pt idx="2">
                  <c:v>1290</c:v>
                </c:pt>
                <c:pt idx="3">
                  <c:v>1007</c:v>
                </c:pt>
              </c:numCache>
            </c:numRef>
          </c:val>
        </c:ser>
        <c:ser>
          <c:idx val="6"/>
          <c:order val="6"/>
          <c:tx>
            <c:strRef>
              <c:f>Sheet19!$A$8</c:f>
              <c:strCache>
                <c:ptCount val="1"/>
                <c:pt idx="0">
                  <c:v>Acidobacteria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Sheet19!$B$8:$E$8</c:f>
              <c:numCache>
                <c:formatCode>General</c:formatCode>
                <c:ptCount val="4"/>
                <c:pt idx="0">
                  <c:v>1475</c:v>
                </c:pt>
                <c:pt idx="1">
                  <c:v>532</c:v>
                </c:pt>
                <c:pt idx="2">
                  <c:v>1298</c:v>
                </c:pt>
                <c:pt idx="3">
                  <c:v>415</c:v>
                </c:pt>
              </c:numCache>
            </c:numRef>
          </c:val>
        </c:ser>
        <c:ser>
          <c:idx val="7"/>
          <c:order val="7"/>
          <c:tx>
            <c:strRef>
              <c:f>Sheet19!$A$9</c:f>
              <c:strCache>
                <c:ptCount val="1"/>
                <c:pt idx="0">
                  <c:v>Spartobacteria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Sheet19!$B$9:$E$9</c:f>
              <c:numCache>
                <c:formatCode>General</c:formatCode>
                <c:ptCount val="4"/>
                <c:pt idx="0">
                  <c:v>1123</c:v>
                </c:pt>
                <c:pt idx="1">
                  <c:v>455</c:v>
                </c:pt>
                <c:pt idx="2">
                  <c:v>616</c:v>
                </c:pt>
                <c:pt idx="3">
                  <c:v>356</c:v>
                </c:pt>
              </c:numCache>
            </c:numRef>
          </c:val>
        </c:ser>
        <c:ser>
          <c:idx val="8"/>
          <c:order val="8"/>
          <c:tx>
            <c:strRef>
              <c:f>Sheet19!$A$10</c:f>
              <c:strCache>
                <c:ptCount val="1"/>
                <c:pt idx="0">
                  <c:v>Deltaproteobacteria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Sheet19!$B$10:$E$10</c:f>
              <c:numCache>
                <c:formatCode>General</c:formatCode>
                <c:ptCount val="4"/>
                <c:pt idx="0">
                  <c:v>788</c:v>
                </c:pt>
                <c:pt idx="1">
                  <c:v>260</c:v>
                </c:pt>
                <c:pt idx="2">
                  <c:v>923</c:v>
                </c:pt>
                <c:pt idx="3">
                  <c:v>871</c:v>
                </c:pt>
              </c:numCache>
            </c:numRef>
          </c:val>
        </c:ser>
        <c:ser>
          <c:idx val="9"/>
          <c:order val="9"/>
          <c:tx>
            <c:strRef>
              <c:f>Sheet19!$A$11</c:f>
              <c:strCache>
                <c:ptCount val="1"/>
                <c:pt idx="0">
                  <c:v>Ktedonobacteria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Sheet19!$B$11:$E$11</c:f>
              <c:numCache>
                <c:formatCode>General</c:formatCode>
                <c:ptCount val="4"/>
                <c:pt idx="0">
                  <c:v>514</c:v>
                </c:pt>
                <c:pt idx="1">
                  <c:v>163</c:v>
                </c:pt>
                <c:pt idx="2">
                  <c:v>374</c:v>
                </c:pt>
                <c:pt idx="3">
                  <c:v>235</c:v>
                </c:pt>
              </c:numCache>
            </c:numRef>
          </c:val>
        </c:ser>
        <c:ser>
          <c:idx val="10"/>
          <c:order val="10"/>
          <c:tx>
            <c:strRef>
              <c:f>Sheet19!$A$12</c:f>
              <c:strCache>
                <c:ptCount val="1"/>
                <c:pt idx="0">
                  <c:v>Solibacteres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Sheet19!$B$12:$E$12</c:f>
              <c:numCache>
                <c:formatCode>General</c:formatCode>
                <c:ptCount val="4"/>
                <c:pt idx="0">
                  <c:v>489</c:v>
                </c:pt>
                <c:pt idx="1">
                  <c:v>166</c:v>
                </c:pt>
                <c:pt idx="2">
                  <c:v>374</c:v>
                </c:pt>
                <c:pt idx="3">
                  <c:v>358</c:v>
                </c:pt>
              </c:numCache>
            </c:numRef>
          </c:val>
        </c:ser>
        <c:ser>
          <c:idx val="11"/>
          <c:order val="11"/>
          <c:tx>
            <c:strRef>
              <c:f>Sheet19!$A$13</c:f>
              <c:strCache>
                <c:ptCount val="1"/>
                <c:pt idx="0">
                  <c:v>Betaproteobacteria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Sheet19!$B$13:$E$13</c:f>
              <c:numCache>
                <c:formatCode>General</c:formatCode>
                <c:ptCount val="4"/>
                <c:pt idx="0">
                  <c:v>320</c:v>
                </c:pt>
                <c:pt idx="1">
                  <c:v>106</c:v>
                </c:pt>
                <c:pt idx="2">
                  <c:v>572</c:v>
                </c:pt>
                <c:pt idx="3">
                  <c:v>1170</c:v>
                </c:pt>
              </c:numCache>
            </c:numRef>
          </c:val>
        </c:ser>
        <c:ser>
          <c:idx val="12"/>
          <c:order val="12"/>
          <c:tx>
            <c:strRef>
              <c:f>Sheet19!$A$14</c:f>
              <c:strCache>
                <c:ptCount val="1"/>
                <c:pt idx="0">
                  <c:v>Acidimicrobiia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Sheet19!$B$14:$E$14</c:f>
              <c:numCache>
                <c:formatCode>General</c:formatCode>
                <c:ptCount val="4"/>
                <c:pt idx="0">
                  <c:v>317</c:v>
                </c:pt>
                <c:pt idx="1">
                  <c:v>102</c:v>
                </c:pt>
                <c:pt idx="2">
                  <c:v>390</c:v>
                </c:pt>
                <c:pt idx="3">
                  <c:v>608</c:v>
                </c:pt>
              </c:numCache>
            </c:numRef>
          </c:val>
        </c:ser>
        <c:ser>
          <c:idx val="13"/>
          <c:order val="13"/>
          <c:tx>
            <c:strRef>
              <c:f>Sheet19!$A$15</c:f>
              <c:strCache>
                <c:ptCount val="1"/>
                <c:pt idx="0">
                  <c:v>Gammaproteobacteria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Sheet19!$B$15:$E$15</c:f>
              <c:numCache>
                <c:formatCode>General</c:formatCode>
                <c:ptCount val="4"/>
                <c:pt idx="0">
                  <c:v>303</c:v>
                </c:pt>
                <c:pt idx="1">
                  <c:v>104</c:v>
                </c:pt>
                <c:pt idx="2">
                  <c:v>269</c:v>
                </c:pt>
                <c:pt idx="3">
                  <c:v>384</c:v>
                </c:pt>
              </c:numCache>
            </c:numRef>
          </c:val>
        </c:ser>
        <c:ser>
          <c:idx val="14"/>
          <c:order val="14"/>
          <c:tx>
            <c:strRef>
              <c:f>Sheet19!$A$16</c:f>
              <c:strCache>
                <c:ptCount val="1"/>
                <c:pt idx="0">
                  <c:v>Anaerolineae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Sheet19!$B$16:$E$16</c:f>
              <c:numCache>
                <c:formatCode>General</c:formatCode>
                <c:ptCount val="4"/>
                <c:pt idx="0">
                  <c:v>257</c:v>
                </c:pt>
                <c:pt idx="1">
                  <c:v>66</c:v>
                </c:pt>
                <c:pt idx="2">
                  <c:v>395</c:v>
                </c:pt>
                <c:pt idx="3">
                  <c:v>406</c:v>
                </c:pt>
              </c:numCache>
            </c:numRef>
          </c:val>
        </c:ser>
        <c:ser>
          <c:idx val="15"/>
          <c:order val="15"/>
          <c:tx>
            <c:strRef>
              <c:f>Sheet19!$A$17</c:f>
              <c:strCache>
                <c:ptCount val="1"/>
                <c:pt idx="0">
                  <c:v>Nitrospira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Sheet19!$B$17:$E$17</c:f>
              <c:numCache>
                <c:formatCode>General</c:formatCode>
                <c:ptCount val="4"/>
                <c:pt idx="0">
                  <c:v>231</c:v>
                </c:pt>
                <c:pt idx="1">
                  <c:v>80</c:v>
                </c:pt>
                <c:pt idx="2">
                  <c:v>244</c:v>
                </c:pt>
                <c:pt idx="3">
                  <c:v>346</c:v>
                </c:pt>
              </c:numCache>
            </c:numRef>
          </c:val>
        </c:ser>
        <c:ser>
          <c:idx val="16"/>
          <c:order val="16"/>
          <c:tx>
            <c:strRef>
              <c:f>Sheet19!$A$18</c:f>
              <c:strCache>
                <c:ptCount val="1"/>
                <c:pt idx="0">
                  <c:v>Chloracidobacteria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Sheet19!$B$18:$E$18</c:f>
              <c:numCache>
                <c:formatCode>General</c:formatCode>
                <c:ptCount val="4"/>
                <c:pt idx="0">
                  <c:v>189</c:v>
                </c:pt>
                <c:pt idx="1">
                  <c:v>67</c:v>
                </c:pt>
                <c:pt idx="2">
                  <c:v>109</c:v>
                </c:pt>
                <c:pt idx="3">
                  <c:v>584</c:v>
                </c:pt>
              </c:numCache>
            </c:numRef>
          </c:val>
        </c:ser>
        <c:ser>
          <c:idx val="17"/>
          <c:order val="17"/>
          <c:tx>
            <c:strRef>
              <c:f>Sheet19!$A$19</c:f>
              <c:strCache>
                <c:ptCount val="1"/>
                <c:pt idx="0">
                  <c:v>Phycisphaerae</c:v>
                </c:pt>
              </c:strCache>
            </c:strRef>
          </c:tx>
          <c:cat>
            <c:strRef>
              <c:f>Sheet19!$B$1:$E$1</c:f>
              <c:strCache>
                <c:ptCount val="4"/>
                <c:pt idx="0">
                  <c:v>TWCZ</c:v>
                </c:pt>
                <c:pt idx="1">
                  <c:v>ACZ</c:v>
                </c:pt>
                <c:pt idx="2">
                  <c:v>HSCZ</c:v>
                </c:pt>
                <c:pt idx="3">
                  <c:v>MCZ</c:v>
                </c:pt>
              </c:strCache>
            </c:strRef>
          </c:cat>
          <c:val>
            <c:numRef>
              <c:f>Sheet19!$B$19:$E$19</c:f>
              <c:numCache>
                <c:formatCode>General</c:formatCode>
                <c:ptCount val="4"/>
                <c:pt idx="0">
                  <c:v>170</c:v>
                </c:pt>
                <c:pt idx="1">
                  <c:v>60</c:v>
                </c:pt>
                <c:pt idx="2">
                  <c:v>127</c:v>
                </c:pt>
                <c:pt idx="3">
                  <c:v>328</c:v>
                </c:pt>
              </c:numCache>
            </c:numRef>
          </c:val>
        </c:ser>
        <c:gapWidth val="75"/>
        <c:overlap val="100"/>
        <c:axId val="66449408"/>
        <c:axId val="66451712"/>
      </c:barChart>
      <c:catAx>
        <c:axId val="66449408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sz="1200"/>
                </a:pPr>
                <a:r>
                  <a:rPr lang="en-US" sz="1200" dirty="0" smtClean="0">
                    <a:latin typeface="Times New Roman" pitchFamily="18" charset="0"/>
                    <a:cs typeface="Times New Roman" pitchFamily="18" charset="0"/>
                  </a:rPr>
                  <a:t>Climatic</a:t>
                </a:r>
                <a:r>
                  <a:rPr lang="en-US" sz="1200" baseline="0" dirty="0" smtClean="0">
                    <a:latin typeface="Times New Roman" pitchFamily="18" charset="0"/>
                    <a:cs typeface="Times New Roman" pitchFamily="18" charset="0"/>
                  </a:rPr>
                  <a:t> zones</a:t>
                </a:r>
                <a:endParaRPr lang="en-US" sz="1200" dirty="0"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0.36177067117653922"/>
              <c:y val="0.95303570973376062"/>
            </c:manualLayout>
          </c:layout>
        </c:title>
        <c:numFmt formatCode="General" sourceLinked="0"/>
        <c:majorTickMark val="none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66451712"/>
        <c:crosses val="autoZero"/>
        <c:auto val="1"/>
        <c:lblAlgn val="ctr"/>
        <c:lblOffset val="100"/>
      </c:catAx>
      <c:valAx>
        <c:axId val="66451712"/>
        <c:scaling>
          <c:orientation val="minMax"/>
        </c:scaling>
        <c:axPos val="l"/>
        <c:majorGridlines/>
        <c:title>
          <c:tx>
            <c:rich>
              <a:bodyPr/>
              <a:lstStyle/>
              <a:p>
                <a:pPr>
                  <a:defRPr sz="1200"/>
                </a:pPr>
                <a:r>
                  <a:rPr lang="en-US" sz="1200" dirty="0" smtClean="0">
                    <a:latin typeface="Times New Roman" pitchFamily="18" charset="0"/>
                    <a:cs typeface="Times New Roman" pitchFamily="18" charset="0"/>
                  </a:rPr>
                  <a:t>Relative abundance (%)</a:t>
                </a:r>
                <a:endParaRPr lang="en-US" sz="1200" dirty="0"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/>
        </c:title>
        <c:numFmt formatCode="0%" sourceLinked="1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66449408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73011338878994203"/>
          <c:y val="9.6250249215794698E-2"/>
          <c:w val="0.25964016282690011"/>
          <c:h val="0.74288241574810165"/>
        </c:manualLayout>
      </c:layout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en-US"/>
        </a:p>
      </c:txPr>
    </c:legend>
    <c:plotVisOnly val="1"/>
    <c:dispBlanksAs val="gap"/>
  </c:chart>
  <c:externalData r:id="rId2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Custom 24">
    <a:dk1>
      <a:sysClr val="windowText" lastClr="000000"/>
    </a:dk1>
    <a:lt1>
      <a:sysClr val="window" lastClr="FFFFFF"/>
    </a:lt1>
    <a:dk2>
      <a:srgbClr val="64AC00"/>
    </a:dk2>
    <a:lt2>
      <a:srgbClr val="CBFF00"/>
    </a:lt2>
    <a:accent1>
      <a:srgbClr val="002E62"/>
    </a:accent1>
    <a:accent2>
      <a:srgbClr val="004CB9"/>
    </a:accent2>
    <a:accent3>
      <a:srgbClr val="005500"/>
    </a:accent3>
    <a:accent4>
      <a:srgbClr val="16B3DC"/>
    </a:accent4>
    <a:accent5>
      <a:srgbClr val="F9DC5C"/>
    </a:accent5>
    <a:accent6>
      <a:srgbClr val="EF626C"/>
    </a:accent6>
    <a:hlink>
      <a:srgbClr val="FFFFFF"/>
    </a:hlink>
    <a:folHlink>
      <a:srgbClr val="FFFFFF"/>
    </a:folHlink>
  </a:clrScheme>
  <a:fontScheme name="Custom 21">
    <a:majorFont>
      <a:latin typeface="Gill Sans MT"/>
      <a:ea typeface=""/>
      <a:cs typeface=""/>
    </a:majorFont>
    <a:minorFont>
      <a:latin typeface="Franklin Gothic Book"/>
      <a:ea typeface=""/>
      <a:cs typeface="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rgiri</dc:creator>
  <cp:lastModifiedBy>rgiri</cp:lastModifiedBy>
  <cp:revision>5</cp:revision>
  <dcterms:created xsi:type="dcterms:W3CDTF">2021-04-17T16:29:00Z</dcterms:created>
  <dcterms:modified xsi:type="dcterms:W3CDTF">2021-05-02T15:15:00Z</dcterms:modified>
</cp:coreProperties>
</file>