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6FFAEC" w14:textId="77777777" w:rsidR="001B67BE" w:rsidRPr="001B67BE" w:rsidRDefault="001B67BE" w:rsidP="001B67BE">
      <w:pPr>
        <w:rPr>
          <w:b/>
          <w:bCs/>
        </w:rPr>
      </w:pPr>
      <w:r w:rsidRPr="001B67BE">
        <w:rPr>
          <w:b/>
          <w:bCs/>
        </w:rPr>
        <w:t>Supplementary figures and legends</w:t>
      </w:r>
    </w:p>
    <w:p w14:paraId="09FA1903" w14:textId="77777777" w:rsidR="001B67BE" w:rsidRPr="001B67BE" w:rsidRDefault="001B67BE" w:rsidP="001B67BE">
      <w:pPr>
        <w:rPr>
          <w:b/>
          <w:bCs/>
        </w:rPr>
      </w:pPr>
      <w:r w:rsidRPr="001B67BE">
        <w:t>The following are the Supplementary figures and legends to this article:</w:t>
      </w:r>
    </w:p>
    <w:p w14:paraId="5A9E436F" w14:textId="5D5D5852" w:rsidR="001B67BE" w:rsidRPr="001B67BE" w:rsidRDefault="001B67BE" w:rsidP="001B67BE">
      <w:pPr>
        <w:rPr>
          <w:b/>
          <w:bCs/>
        </w:rPr>
      </w:pPr>
      <w:r w:rsidRPr="001B67BE">
        <w:rPr>
          <w:b/>
        </w:rPr>
        <w:drawing>
          <wp:inline distT="0" distB="0" distL="0" distR="0" wp14:anchorId="4EF3ED7D" wp14:editId="40967CA8">
            <wp:extent cx="5267325" cy="3514725"/>
            <wp:effectExtent l="0" t="0" r="9525" b="9525"/>
            <wp:docPr id="40762287" name="Picture 8" descr="Supplement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 descr="Supplement Fig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DCDC6" w14:textId="77777777" w:rsidR="001B67BE" w:rsidRPr="001B67BE" w:rsidRDefault="001B67BE" w:rsidP="001B67BE">
      <w:r w:rsidRPr="001B67BE">
        <w:rPr>
          <w:b/>
          <w:bCs/>
        </w:rPr>
        <w:t xml:space="preserve">Supplement Figure. 1. </w:t>
      </w:r>
      <w:r w:rsidRPr="001B67BE">
        <w:t xml:space="preserve">Gene set enrichment analysis and mutational landscapes between high and low-risk groups. </w:t>
      </w:r>
    </w:p>
    <w:p w14:paraId="4F1BCD3E" w14:textId="77777777" w:rsidR="001B67BE" w:rsidRPr="001B67BE" w:rsidRDefault="001B67BE" w:rsidP="001B67BE">
      <w:r w:rsidRPr="001B67BE">
        <w:t>(A) GSEA revealing enriched gene sets in the high-risk group (nominal p &lt; 0.05). (B) GSEA revealing enriched gene sets in the low-risk group (nominal p &lt; 0.05). (C-D) Genomic profiling of the top 20 most frequently altered genes in the high-risk group (C) and low-risk group (D).</w:t>
      </w:r>
      <w:r w:rsidRPr="001B67BE">
        <w:br w:type="page"/>
      </w:r>
    </w:p>
    <w:p w14:paraId="789D92B8" w14:textId="037981F5" w:rsidR="001B67BE" w:rsidRPr="001B67BE" w:rsidRDefault="001B67BE" w:rsidP="001B67BE">
      <w:pPr>
        <w:rPr>
          <w:b/>
          <w:bCs/>
        </w:rPr>
      </w:pPr>
      <w:r w:rsidRPr="001B67BE">
        <w:rPr>
          <w:b/>
        </w:rPr>
        <w:lastRenderedPageBreak/>
        <w:drawing>
          <wp:inline distT="0" distB="0" distL="0" distR="0" wp14:anchorId="7EEAB73D" wp14:editId="53495D8B">
            <wp:extent cx="5267325" cy="7353300"/>
            <wp:effectExtent l="0" t="0" r="9525" b="0"/>
            <wp:docPr id="669096825" name="Picture 7" descr="Supplement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5" descr="Supplement Fig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35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29CD2" w14:textId="77777777" w:rsidR="001B67BE" w:rsidRPr="001B67BE" w:rsidRDefault="001B67BE" w:rsidP="001B67BE">
      <w:r w:rsidRPr="001B67BE">
        <w:rPr>
          <w:b/>
          <w:bCs/>
        </w:rPr>
        <w:t xml:space="preserve">Supplement Figure. 2. </w:t>
      </w:r>
      <w:r w:rsidRPr="001B67BE">
        <w:t xml:space="preserve">Expression and functions of MRGs model. </w:t>
      </w:r>
    </w:p>
    <w:p w14:paraId="7517076B" w14:textId="792B34F6" w:rsidR="001B67BE" w:rsidRDefault="001B67BE" w:rsidP="001B67BE">
      <w:r w:rsidRPr="001B67BE">
        <w:lastRenderedPageBreak/>
        <w:t>(A-B) Visualization of all cell clusters using t-SNE plots. The Seurat algorithm was used to annotate the different clusters. (C) Proportional projection of model gene expression in various cell clusters. (D-E) GO and KEGG pathway analysis of model genes in bladder cancer.</w:t>
      </w:r>
    </w:p>
    <w:p w14:paraId="351C09DB" w14:textId="77777777" w:rsidR="001B67BE" w:rsidRDefault="001B67BE" w:rsidP="001B67BE"/>
    <w:p w14:paraId="5E69EE7A" w14:textId="77777777" w:rsidR="001B67BE" w:rsidRDefault="001B67BE" w:rsidP="001B67BE"/>
    <w:p w14:paraId="7CE887B5" w14:textId="77777777" w:rsidR="001B67BE" w:rsidRPr="001B67BE" w:rsidRDefault="001B67BE" w:rsidP="001B67BE">
      <w:pPr>
        <w:rPr>
          <w:b/>
          <w:bCs/>
        </w:rPr>
      </w:pPr>
    </w:p>
    <w:p w14:paraId="0F8479A1" w14:textId="63FCDFC6" w:rsidR="001B67BE" w:rsidRPr="001B67BE" w:rsidRDefault="001B67BE" w:rsidP="001B67BE">
      <w:pPr>
        <w:rPr>
          <w:b/>
          <w:bCs/>
        </w:rPr>
      </w:pPr>
      <w:r w:rsidRPr="001B67BE">
        <w:rPr>
          <w:b/>
        </w:rPr>
        <w:drawing>
          <wp:inline distT="0" distB="0" distL="0" distR="0" wp14:anchorId="0D848F68" wp14:editId="664DD74C">
            <wp:extent cx="5267325" cy="3743325"/>
            <wp:effectExtent l="0" t="0" r="9525" b="9525"/>
            <wp:docPr id="402818644" name="Picture 6" descr="Supplement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6" descr="Supplement Fig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ABC60" w14:textId="77777777" w:rsidR="001B67BE" w:rsidRPr="001B67BE" w:rsidRDefault="001B67BE" w:rsidP="001B67BE">
      <w:r w:rsidRPr="001B67BE">
        <w:rPr>
          <w:b/>
          <w:bCs/>
        </w:rPr>
        <w:t xml:space="preserve">Supplementary Figure. 3. </w:t>
      </w:r>
      <w:r w:rsidRPr="001B67BE">
        <w:t>DARS2 is related to mitophagy.</w:t>
      </w:r>
    </w:p>
    <w:p w14:paraId="30599321" w14:textId="77777777" w:rsidR="001B67BE" w:rsidRPr="001B67BE" w:rsidRDefault="001B67BE" w:rsidP="001B67BE">
      <w:pPr>
        <w:rPr>
          <w:b/>
          <w:bCs/>
        </w:rPr>
      </w:pPr>
      <w:r w:rsidRPr="001B67BE">
        <w:t>(A) Transwell assay showing the migration as well as invasion abilities of BCa cells after DARS2 knockdown. (B) GSEA enrichment analysis of DARS2-related genes in the GSE13507 dataset. (C) Correlation analysis between DARS2 and mitophagy-related genes. (D-E) Analysis of PINK1 and PRKN mRNA (D) and protein levels (E) following DARS2 knockdown.</w:t>
      </w:r>
      <w:r w:rsidRPr="001B67BE">
        <w:rPr>
          <w:b/>
          <w:bCs/>
        </w:rPr>
        <w:br w:type="page"/>
      </w:r>
    </w:p>
    <w:p w14:paraId="776E342C" w14:textId="5E7BC1BA" w:rsidR="001B67BE" w:rsidRPr="001B67BE" w:rsidRDefault="001B67BE" w:rsidP="001B67BE">
      <w:pPr>
        <w:rPr>
          <w:b/>
          <w:bCs/>
        </w:rPr>
      </w:pPr>
      <w:r w:rsidRPr="001B67BE">
        <w:rPr>
          <w:b/>
        </w:rPr>
        <w:lastRenderedPageBreak/>
        <w:drawing>
          <wp:inline distT="0" distB="0" distL="0" distR="0" wp14:anchorId="317E4028" wp14:editId="7FAB3644">
            <wp:extent cx="5267325" cy="4248150"/>
            <wp:effectExtent l="0" t="0" r="9525" b="0"/>
            <wp:docPr id="1069423438" name="Picture 5" descr="Supplement 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7" descr="Supplement Fig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47E5C" w14:textId="77777777" w:rsidR="001B67BE" w:rsidRPr="001B67BE" w:rsidRDefault="001B67BE" w:rsidP="001B67BE">
      <w:r w:rsidRPr="001B67BE">
        <w:rPr>
          <w:b/>
          <w:bCs/>
        </w:rPr>
        <w:t xml:space="preserve">Supplementary Figure. 4. </w:t>
      </w:r>
      <w:r w:rsidRPr="001B67BE">
        <w:t>DARS2 promotes PINK1 mitochondrial synthesis.</w:t>
      </w:r>
      <w:r w:rsidRPr="001B67BE">
        <w:br/>
        <w:t>(A-B) qRT-PCR (A) and Western blot (B) confirming stable DARS2 knockdown efficiency. (C) Western blot analysis of PINK1 protein levels in mitochondrial and cytoplasmic fractions following DARS2 knockdown. β-actin was used as the loading control for cytoplasmic proteins, and COX IV as the control for mitochondrial proteins.</w:t>
      </w:r>
    </w:p>
    <w:p w14:paraId="7DE83EC8" w14:textId="1BC53FBF" w:rsidR="00AD1398" w:rsidRDefault="001B67BE">
      <w:r>
        <w:t>v</w:t>
      </w:r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7BE"/>
    <w:rsid w:val="001B67BE"/>
    <w:rsid w:val="005374DE"/>
    <w:rsid w:val="00871FE1"/>
    <w:rsid w:val="00AD1398"/>
    <w:rsid w:val="00B0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CC2A9"/>
  <w15:chartTrackingRefBased/>
  <w15:docId w15:val="{39A04E9F-D6D8-4878-9CA6-FFCE831A7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67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67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67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67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67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67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67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67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67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67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67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67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67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67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67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67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67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67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67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67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67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67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67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67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67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67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67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67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67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84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245</Words>
  <Characters>1403</Characters>
  <Application>Microsoft Office Word</Application>
  <DocSecurity>0</DocSecurity>
  <Lines>11</Lines>
  <Paragraphs>3</Paragraphs>
  <ScaleCrop>false</ScaleCrop>
  <Company>Springer Nature</Company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2024-10-28T12:13:00Z</dcterms:created>
  <dcterms:modified xsi:type="dcterms:W3CDTF">2024-10-28T12:13:00Z</dcterms:modified>
</cp:coreProperties>
</file>