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47D4CA">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Supplementary</w:t>
      </w:r>
      <w:r>
        <w:rPr>
          <w:rFonts w:hint="eastAsia" w:ascii="Times New Roman" w:hAnsi="Times New Roman" w:cs="Times New Roman"/>
          <w:b/>
          <w:bCs/>
          <w:color w:val="auto"/>
          <w:sz w:val="24"/>
          <w:szCs w:val="24"/>
          <w:lang w:val="en-US" w:eastAsia="zh-CN"/>
        </w:rPr>
        <w:t xml:space="preserve"> m</w:t>
      </w:r>
      <w:r>
        <w:rPr>
          <w:rFonts w:hint="default" w:ascii="Times New Roman" w:hAnsi="Times New Roman" w:cs="Times New Roman"/>
          <w:b/>
          <w:bCs/>
          <w:color w:val="auto"/>
          <w:sz w:val="24"/>
          <w:szCs w:val="24"/>
        </w:rPr>
        <w:t xml:space="preserve">aterials and methods </w:t>
      </w:r>
    </w:p>
    <w:p w14:paraId="72985B3F">
      <w:pPr>
        <w:numPr>
          <w:ilvl w:val="0"/>
          <w:numId w:val="1"/>
        </w:numPr>
        <w:spacing w:line="360" w:lineRule="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Data collection and acquisition</w:t>
      </w:r>
    </w:p>
    <w:p w14:paraId="59F178AB">
      <w:pPr>
        <w:spacing w:line="360" w:lineRule="auto"/>
        <w:ind w:firstLine="240" w:firstLineChars="1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The transcriptome and clinical data of BCa patients were sourced from The Cancer Genome Atlas (TCGA), Gene Expression Omnibus (GEO) database GSE13507, and IMvigor210. Single-cell transcriptomic profiles were derived from GSE211388. We analyzed the scRNA-seq data using the R package Seurat. Quality control for single cells was initially conducted. Single cells were excluded if any of the following criteria were met: (1) Gene count fewer than 200 or more than 4000 genes; (2) Read count fewer than 1,000; (3) UMI count fewer than 500 or more than 15000 UMIs; (4) More than 10% of UMIs mapping to the mitochondrial genome. Subsequently, the filtered data underwent normalization using the LogNormalize method. The identification of the top 2,000 highly variable genes was carried out using the FindVariableFeatures function. Principal component analysis (PCA), t-distributed stochastic neighbor embedding (t-SNE), and Uniform Manifold Approximation and Projection (UMAP) were subsequently applied to reduce the dimensions based on these 2,000 genes. For cell clustering analysis, the FindNeighbors and FindClusters functions were employed. Based on the R package SingleR, we obtained the cell annotation information (Supplementary Table 3) .</w:t>
      </w:r>
    </w:p>
    <w:p w14:paraId="071EF3C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cs="Times New Roman"/>
          <w:b/>
          <w:bCs/>
          <w:color w:val="auto"/>
          <w:sz w:val="24"/>
          <w:szCs w:val="24"/>
        </w:rPr>
      </w:pPr>
      <w:r>
        <w:rPr>
          <w:rFonts w:hint="default" w:ascii="Times New Roman" w:hAnsi="Times New Roman" w:cs="Times New Roman"/>
          <w:color w:val="auto"/>
          <w:sz w:val="24"/>
          <w:szCs w:val="24"/>
        </w:rPr>
        <w:t>824 MRGs (Supplementary Table 1) were achieved from the GeneCards (</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"https://www.genecards.org/" </w:instrText>
      </w:r>
      <w:r>
        <w:rPr>
          <w:rFonts w:hint="default" w:ascii="Times New Roman" w:hAnsi="Times New Roman" w:cs="Times New Roman"/>
          <w:color w:val="auto"/>
          <w:sz w:val="24"/>
          <w:szCs w:val="24"/>
        </w:rPr>
        <w:fldChar w:fldCharType="separate"/>
      </w:r>
      <w:r>
        <w:rPr>
          <w:rStyle w:val="4"/>
          <w:rFonts w:hint="default" w:ascii="Times New Roman" w:hAnsi="Times New Roman" w:cs="Times New Roman"/>
          <w:color w:val="auto"/>
          <w:sz w:val="24"/>
          <w:szCs w:val="24"/>
          <w:u w:val="none"/>
        </w:rPr>
        <w:t>https://www.genecards.org/</w:t>
      </w:r>
      <w:r>
        <w:rPr>
          <w:rStyle w:val="4"/>
          <w:rFonts w:hint="default" w:ascii="Times New Roman" w:hAnsi="Times New Roman" w:cs="Times New Roman"/>
          <w:color w:val="auto"/>
          <w:sz w:val="24"/>
          <w:szCs w:val="24"/>
          <w:u w:val="none"/>
        </w:rPr>
        <w:fldChar w:fldCharType="end"/>
      </w:r>
      <w:r>
        <w:rPr>
          <w:rFonts w:hint="default" w:ascii="Times New Roman" w:hAnsi="Times New Roman" w:cs="Times New Roman"/>
          <w:color w:val="auto"/>
          <w:sz w:val="24"/>
          <w:szCs w:val="24"/>
        </w:rPr>
        <w:t xml:space="preserve">) databases (relevance score &gt; 1). Meanwhile, the prognosis-related genes (PRGs) in BCa were determined by using Kaplan-Meier survival analysis and a univariate cox proportional hazard model where </w:t>
      </w:r>
      <w:r>
        <w:rPr>
          <w:rFonts w:hint="default" w:ascii="Times New Roman" w:hAnsi="Times New Roman" w:cs="Times New Roman"/>
          <w:i/>
          <w:iCs/>
          <w:color w:val="auto"/>
          <w:sz w:val="24"/>
          <w:szCs w:val="24"/>
        </w:rPr>
        <w:t>p</w:t>
      </w:r>
      <w:r>
        <w:rPr>
          <w:rFonts w:hint="default" w:ascii="Times New Roman" w:hAnsi="Times New Roman" w:eastAsia="MS Gothic" w:cs="Times New Roman"/>
          <w:color w:val="auto"/>
          <w:sz w:val="24"/>
          <w:szCs w:val="24"/>
        </w:rPr>
        <w:t> </w:t>
      </w:r>
      <w:r>
        <w:rPr>
          <w:rFonts w:hint="default" w:ascii="Times New Roman" w:hAnsi="Times New Roman" w:cs="Times New Roman"/>
          <w:color w:val="auto"/>
          <w:sz w:val="24"/>
          <w:szCs w:val="24"/>
        </w:rPr>
        <w:t>&lt;</w:t>
      </w:r>
      <w:r>
        <w:rPr>
          <w:rFonts w:hint="default" w:ascii="Times New Roman" w:hAnsi="Times New Roman" w:eastAsia="MS Gothic" w:cs="Times New Roman"/>
          <w:color w:val="auto"/>
          <w:sz w:val="24"/>
          <w:szCs w:val="24"/>
        </w:rPr>
        <w:t> </w:t>
      </w:r>
      <w:r>
        <w:rPr>
          <w:rFonts w:hint="default" w:ascii="Times New Roman" w:hAnsi="Times New Roman" w:cs="Times New Roman"/>
          <w:color w:val="auto"/>
          <w:sz w:val="24"/>
          <w:szCs w:val="24"/>
        </w:rPr>
        <w:t>0.05 was considered statistically significant in TCGA and GSE13507. Then, the R package</w:t>
      </w:r>
      <w:r>
        <w:rPr>
          <w:rFonts w:hint="default" w:ascii="Times New Roman" w:hAnsi="Times New Roman" w:eastAsia="等线" w:cs="Times New Roman"/>
          <w:color w:val="auto"/>
          <w:sz w:val="24"/>
          <w:szCs w:val="24"/>
        </w:rPr>
        <w:t xml:space="preserve"> </w:t>
      </w:r>
      <w:r>
        <w:rPr>
          <w:rFonts w:hint="default" w:ascii="Times New Roman" w:hAnsi="Times New Roman" w:cs="Times New Roman"/>
          <w:color w:val="auto"/>
          <w:sz w:val="24"/>
          <w:szCs w:val="24"/>
        </w:rPr>
        <w:t>VennDiagram (</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"https://cran.r-project.org/web/packages/VennDiagram/index.html" </w:instrText>
      </w:r>
      <w:r>
        <w:rPr>
          <w:rFonts w:hint="default" w:ascii="Times New Roman" w:hAnsi="Times New Roman" w:cs="Times New Roman"/>
          <w:color w:val="auto"/>
          <w:sz w:val="24"/>
          <w:szCs w:val="24"/>
        </w:rPr>
        <w:fldChar w:fldCharType="separate"/>
      </w:r>
      <w:r>
        <w:rPr>
          <w:rStyle w:val="4"/>
          <w:rFonts w:hint="default" w:ascii="Times New Roman" w:hAnsi="Times New Roman" w:cs="Times New Roman"/>
          <w:color w:val="auto"/>
          <w:sz w:val="24"/>
          <w:szCs w:val="24"/>
          <w:u w:val="none"/>
        </w:rPr>
        <w:t>CRAN - Package VennDiagram (r-project.org)</w:t>
      </w:r>
      <w:r>
        <w:rPr>
          <w:rStyle w:val="4"/>
          <w:rFonts w:hint="default" w:ascii="Times New Roman" w:hAnsi="Times New Roman" w:cs="Times New Roman"/>
          <w:color w:val="auto"/>
          <w:sz w:val="24"/>
          <w:szCs w:val="24"/>
          <w:u w:val="none"/>
        </w:rPr>
        <w:fldChar w:fldCharType="end"/>
      </w:r>
      <w:r>
        <w:rPr>
          <w:rFonts w:hint="default" w:ascii="Times New Roman" w:hAnsi="Times New Roman" w:cs="Times New Roman"/>
          <w:color w:val="auto"/>
          <w:sz w:val="24"/>
          <w:szCs w:val="24"/>
        </w:rPr>
        <w:t>) was used to enrich the overlapped genes of MRGs and PRGs. Finally, 26 genes were included for further analysis.</w:t>
      </w:r>
      <w:r>
        <w:rPr>
          <w:rFonts w:hint="default" w:ascii="Times New Roman" w:hAnsi="Times New Roman" w:cs="Times New Roman"/>
          <w:b/>
          <w:bCs/>
          <w:color w:val="auto"/>
          <w:sz w:val="24"/>
          <w:szCs w:val="24"/>
        </w:rPr>
        <w:t xml:space="preserve"> </w:t>
      </w:r>
    </w:p>
    <w:p w14:paraId="1EF126C2">
      <w:pPr>
        <w:numPr>
          <w:ilvl w:val="0"/>
          <w:numId w:val="1"/>
        </w:numPr>
        <w:spacing w:line="360" w:lineRule="auto"/>
        <w:ind w:left="0" w:leftChars="0" w:firstLine="0" w:firstLineChars="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Assessment of the prognostic model</w:t>
      </w:r>
    </w:p>
    <w:p w14:paraId="2468AFFA">
      <w:pPr>
        <w:spacing w:line="360" w:lineRule="auto"/>
        <w:ind w:firstLine="240" w:firstLineChars="1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The prognostic value of the model was evaluated by performing K-M analysis, cox regression analysis and nomogram construction. The R package survival (</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"https://cran.r-project.org/web/packages/survival/%20index.%20html" </w:instrText>
      </w:r>
      <w:r>
        <w:rPr>
          <w:rFonts w:hint="default" w:ascii="Times New Roman" w:hAnsi="Times New Roman" w:cs="Times New Roman"/>
          <w:color w:val="auto"/>
          <w:sz w:val="24"/>
          <w:szCs w:val="24"/>
        </w:rPr>
        <w:fldChar w:fldCharType="separate"/>
      </w:r>
      <w:r>
        <w:rPr>
          <w:rStyle w:val="4"/>
          <w:rFonts w:hint="default" w:ascii="Times New Roman" w:hAnsi="Times New Roman" w:cs="Times New Roman"/>
          <w:color w:val="auto"/>
          <w:sz w:val="24"/>
          <w:szCs w:val="24"/>
          <w:u w:val="none"/>
        </w:rPr>
        <w:t>https://cran.r-project.org/web/packages/survival/ index. html</w:t>
      </w:r>
      <w:r>
        <w:rPr>
          <w:rStyle w:val="4"/>
          <w:rFonts w:hint="default" w:ascii="Times New Roman" w:hAnsi="Times New Roman" w:cs="Times New Roman"/>
          <w:color w:val="auto"/>
          <w:sz w:val="24"/>
          <w:szCs w:val="24"/>
          <w:u w:val="none"/>
        </w:rPr>
        <w:fldChar w:fldCharType="end"/>
      </w:r>
      <w:r>
        <w:rPr>
          <w:rFonts w:hint="default" w:ascii="Times New Roman" w:hAnsi="Times New Roman" w:cs="Times New Roman"/>
          <w:color w:val="auto"/>
          <w:sz w:val="24"/>
          <w:szCs w:val="24"/>
        </w:rPr>
        <w:t>) was employed for K-M analysis to all cohorts. In addition, multivariate cox regression analyses were performed to test their independent predictive power across all cohorts. Meanwhile, receiver operating characteristic (ROC) curves were produced and the areas under the ROC curves (AUCs) were defined using the R package timeROC to evaluate the sensitivity and specificity of the prognostic model in predicting 1-year, 3-year, and 5-year survival probabilities. Finally, a predictive nomogram</w:t>
      </w:r>
      <w:r>
        <w:rPr>
          <w:rFonts w:hint="default" w:ascii="Times New Roman" w:hAnsi="Times New Roman" w:eastAsia="等线" w:cs="Times New Roman"/>
          <w:color w:val="auto"/>
          <w:sz w:val="24"/>
          <w:szCs w:val="24"/>
        </w:rPr>
        <w:t xml:space="preserve"> using the R package rms (</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"https://github.com/harrelfe/rms" </w:instrText>
      </w:r>
      <w:r>
        <w:rPr>
          <w:rFonts w:hint="default" w:ascii="Times New Roman" w:hAnsi="Times New Roman" w:cs="Times New Roman"/>
          <w:color w:val="auto"/>
          <w:sz w:val="24"/>
          <w:szCs w:val="24"/>
        </w:rPr>
        <w:fldChar w:fldCharType="separate"/>
      </w:r>
      <w:r>
        <w:rPr>
          <w:rStyle w:val="4"/>
          <w:rFonts w:hint="default" w:ascii="Times New Roman" w:hAnsi="Times New Roman" w:cs="Times New Roman"/>
          <w:color w:val="auto"/>
          <w:sz w:val="24"/>
          <w:szCs w:val="24"/>
          <w:u w:val="none"/>
        </w:rPr>
        <w:t>https://github.com/harrelfe/rms</w:t>
      </w:r>
      <w:r>
        <w:rPr>
          <w:rStyle w:val="4"/>
          <w:rFonts w:hint="default" w:ascii="Times New Roman" w:hAnsi="Times New Roman" w:cs="Times New Roman"/>
          <w:color w:val="auto"/>
          <w:sz w:val="24"/>
          <w:szCs w:val="24"/>
          <w:u w:val="none"/>
        </w:rPr>
        <w:fldChar w:fldCharType="end"/>
      </w:r>
      <w:r>
        <w:rPr>
          <w:rFonts w:hint="default" w:ascii="Times New Roman" w:hAnsi="Times New Roman" w:eastAsia="等线" w:cs="Times New Roman"/>
          <w:color w:val="auto"/>
          <w:sz w:val="24"/>
          <w:szCs w:val="24"/>
        </w:rPr>
        <w:t>)</w:t>
      </w:r>
      <w:r>
        <w:rPr>
          <w:rFonts w:hint="default" w:ascii="Times New Roman" w:hAnsi="Times New Roman" w:cs="Times New Roman"/>
          <w:color w:val="auto"/>
          <w:sz w:val="24"/>
          <w:szCs w:val="24"/>
        </w:rPr>
        <w:t xml:space="preserve"> was constructed by integrating the independent predictors identified in the TCGA cohort. Its predictive power was then investigated by decision curve analysis (DCA) and corresponding calibration analyses.</w:t>
      </w:r>
    </w:p>
    <w:p w14:paraId="5F33D8F1">
      <w:pPr>
        <w:numPr>
          <w:ilvl w:val="0"/>
          <w:numId w:val="1"/>
        </w:numPr>
        <w:spacing w:line="360" w:lineRule="auto"/>
        <w:ind w:left="0" w:leftChars="0" w:firstLine="0" w:firstLineChars="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Identification of differentially expressed genes between BCa tissues and non-tumor tissues</w:t>
      </w:r>
    </w:p>
    <w:p w14:paraId="63168E8F">
      <w:pPr>
        <w:spacing w:line="360" w:lineRule="auto"/>
        <w:ind w:firstLine="240" w:firstLineChars="1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The differentially expressed genes (DEGs) between BCa tissues and non-tumor tissues were identified by using the R package limma and visualized via the R package</w:t>
      </w:r>
      <w:r>
        <w:rPr>
          <w:rFonts w:hint="default" w:ascii="Times New Roman" w:hAnsi="Times New Roman" w:eastAsia="等线" w:cs="Times New Roman"/>
          <w:color w:val="auto"/>
          <w:sz w:val="24"/>
          <w:szCs w:val="24"/>
        </w:rPr>
        <w:t xml:space="preserve"> </w:t>
      </w:r>
      <w:r>
        <w:rPr>
          <w:rFonts w:hint="default" w:ascii="Times New Roman" w:hAnsi="Times New Roman" w:cs="Times New Roman"/>
          <w:color w:val="auto"/>
          <w:sz w:val="24"/>
          <w:szCs w:val="24"/>
        </w:rPr>
        <w:t>ggplot2(</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"https://cran.r-project.org/web/packages/ggplot2/index.html" </w:instrText>
      </w:r>
      <w:r>
        <w:rPr>
          <w:rFonts w:hint="default" w:ascii="Times New Roman" w:hAnsi="Times New Roman" w:cs="Times New Roman"/>
          <w:color w:val="auto"/>
          <w:sz w:val="24"/>
          <w:szCs w:val="24"/>
        </w:rPr>
        <w:fldChar w:fldCharType="separate"/>
      </w:r>
      <w:r>
        <w:rPr>
          <w:rStyle w:val="4"/>
          <w:rFonts w:hint="default" w:ascii="Times New Roman" w:hAnsi="Times New Roman" w:cs="Times New Roman"/>
          <w:color w:val="auto"/>
          <w:sz w:val="24"/>
          <w:szCs w:val="24"/>
          <w:u w:val="none"/>
        </w:rPr>
        <w:t>CRAN - Package ggplot2 (r-project.org)</w:t>
      </w:r>
      <w:r>
        <w:rPr>
          <w:rStyle w:val="4"/>
          <w:rFonts w:hint="default" w:ascii="Times New Roman" w:hAnsi="Times New Roman" w:cs="Times New Roman"/>
          <w:color w:val="auto"/>
          <w:sz w:val="24"/>
          <w:szCs w:val="24"/>
          <w:u w:val="none"/>
        </w:rPr>
        <w:fldChar w:fldCharType="end"/>
      </w:r>
      <w:r>
        <w:rPr>
          <w:rFonts w:hint="default" w:ascii="Times New Roman" w:hAnsi="Times New Roman" w:cs="Times New Roman"/>
          <w:color w:val="auto"/>
          <w:sz w:val="24"/>
          <w:szCs w:val="24"/>
        </w:rPr>
        <w:t xml:space="preserve">). </w:t>
      </w:r>
    </w:p>
    <w:p w14:paraId="792F4316">
      <w:pPr>
        <w:numPr>
          <w:ilvl w:val="0"/>
          <w:numId w:val="1"/>
        </w:numPr>
        <w:spacing w:line="360" w:lineRule="auto"/>
        <w:ind w:left="0" w:leftChars="0" w:firstLine="0" w:firstLineChars="0"/>
        <w:rPr>
          <w:rFonts w:hint="default" w:ascii="Times New Roman" w:hAnsi="Times New Roman" w:eastAsia="等线" w:cs="Times New Roman"/>
          <w:b/>
          <w:bCs/>
          <w:color w:val="auto"/>
          <w:sz w:val="24"/>
          <w:szCs w:val="24"/>
        </w:rPr>
      </w:pPr>
      <w:r>
        <w:rPr>
          <w:rFonts w:hint="default" w:ascii="Times New Roman" w:hAnsi="Times New Roman" w:eastAsia="等线" w:cs="Times New Roman"/>
          <w:b/>
          <w:bCs/>
          <w:color w:val="auto"/>
          <w:sz w:val="24"/>
          <w:szCs w:val="24"/>
        </w:rPr>
        <w:t>Function enrichment analysis</w:t>
      </w:r>
    </w:p>
    <w:p w14:paraId="74B6E8E7">
      <w:pPr>
        <w:spacing w:line="360" w:lineRule="auto"/>
        <w:ind w:firstLine="240" w:firstLineChars="1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We used the GO annotation of genes in the R package org.Hs.eg.db (</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"https://bioconductor.org/packages/release/data/annotation/html/org.Hs.eg.db.html" </w:instrText>
      </w:r>
      <w:r>
        <w:rPr>
          <w:rFonts w:hint="default" w:ascii="Times New Roman" w:hAnsi="Times New Roman" w:cs="Times New Roman"/>
          <w:color w:val="auto"/>
          <w:sz w:val="24"/>
          <w:szCs w:val="24"/>
        </w:rPr>
        <w:fldChar w:fldCharType="separate"/>
      </w:r>
      <w:r>
        <w:rPr>
          <w:rStyle w:val="4"/>
          <w:rFonts w:hint="default" w:ascii="Times New Roman" w:hAnsi="Times New Roman" w:cs="Times New Roman"/>
          <w:color w:val="auto"/>
          <w:sz w:val="24"/>
          <w:szCs w:val="24"/>
          <w:u w:val="none"/>
        </w:rPr>
        <w:t>bioconductor.org/packages/release/data/annotation/html/org.Hs.eg.db.html</w:t>
      </w:r>
      <w:r>
        <w:rPr>
          <w:rStyle w:val="4"/>
          <w:rFonts w:hint="default" w:ascii="Times New Roman" w:hAnsi="Times New Roman" w:cs="Times New Roman"/>
          <w:color w:val="auto"/>
          <w:sz w:val="24"/>
          <w:szCs w:val="24"/>
          <w:u w:val="none"/>
        </w:rPr>
        <w:fldChar w:fldCharType="end"/>
      </w:r>
      <w:r>
        <w:rPr>
          <w:rFonts w:hint="default" w:ascii="Times New Roman" w:hAnsi="Times New Roman" w:cs="Times New Roman"/>
          <w:color w:val="auto"/>
          <w:sz w:val="24"/>
          <w:szCs w:val="24"/>
        </w:rPr>
        <w:t>) as the background, map genes into the background set, and use the R package cluster profiler</w:t>
      </w:r>
      <w:r>
        <w:rPr>
          <w:rFonts w:hint="default" w:ascii="Times New Roman" w:hAnsi="Times New Roman" w:cs="Times New Roman"/>
          <w:color w:val="auto"/>
          <w:sz w:val="24"/>
          <w:szCs w:val="24"/>
          <w:vertAlign w:val="superscript"/>
        </w:rPr>
        <w:t xml:space="preserve"> </w:t>
      </w:r>
      <w:r>
        <w:rPr>
          <w:rFonts w:hint="default" w:ascii="Times New Roman" w:hAnsi="Times New Roman" w:cs="Times New Roman"/>
          <w:color w:val="auto"/>
          <w:sz w:val="24"/>
          <w:szCs w:val="24"/>
        </w:rPr>
        <w:t xml:space="preserve">for enrichment analysis to obtain the results of gene set enrichment. Set the minimum gene set to 5, the maximum gene set to 5000, </w:t>
      </w:r>
      <w:r>
        <w:rPr>
          <w:rFonts w:hint="default" w:ascii="Times New Roman" w:hAnsi="Times New Roman" w:cs="Times New Roman"/>
          <w:i/>
          <w:iCs/>
          <w:color w:val="auto"/>
          <w:sz w:val="24"/>
          <w:szCs w:val="24"/>
        </w:rPr>
        <w:t>p</w:t>
      </w:r>
      <w:r>
        <w:rPr>
          <w:rFonts w:hint="default" w:ascii="Times New Roman" w:hAnsi="Times New Roman" w:cs="Times New Roman"/>
          <w:color w:val="auto"/>
          <w:sz w:val="24"/>
          <w:szCs w:val="24"/>
        </w:rPr>
        <w:t xml:space="preserve"> value of &lt; 0.05 and FDR of &lt; 0.1 were considered statistically significant. The latest gene annotation of the KEGG Pathway was obtained using the Kegg rest API (</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"https://www.Kegg.jp/Kegg/rest/Kegg%20API.html" </w:instrText>
      </w:r>
      <w:r>
        <w:rPr>
          <w:rFonts w:hint="default" w:ascii="Times New Roman" w:hAnsi="Times New Roman" w:cs="Times New Roman"/>
          <w:color w:val="auto"/>
          <w:sz w:val="24"/>
          <w:szCs w:val="24"/>
        </w:rPr>
        <w:fldChar w:fldCharType="separate"/>
      </w:r>
      <w:r>
        <w:rPr>
          <w:rStyle w:val="4"/>
          <w:rFonts w:hint="default" w:ascii="Times New Roman" w:hAnsi="Times New Roman" w:cs="Times New Roman"/>
          <w:color w:val="auto"/>
          <w:sz w:val="24"/>
          <w:szCs w:val="24"/>
          <w:u w:val="none"/>
        </w:rPr>
        <w:t>https://www.Kegg.jp/Kegg/rest/Kegg API.html</w:t>
      </w:r>
      <w:r>
        <w:rPr>
          <w:rStyle w:val="4"/>
          <w:rFonts w:hint="default" w:ascii="Times New Roman" w:hAnsi="Times New Roman" w:cs="Times New Roman"/>
          <w:color w:val="auto"/>
          <w:sz w:val="24"/>
          <w:szCs w:val="24"/>
          <w:u w:val="none"/>
        </w:rPr>
        <w:fldChar w:fldCharType="end"/>
      </w:r>
      <w:r>
        <w:rPr>
          <w:rFonts w:hint="default" w:ascii="Times New Roman" w:hAnsi="Times New Roman" w:cs="Times New Roman"/>
          <w:color w:val="auto"/>
          <w:sz w:val="24"/>
          <w:szCs w:val="24"/>
        </w:rPr>
        <w:t xml:space="preserve">), and as the background, genes were mapped into the background set. Subsequently, the R package clusterProfiler was utilized for enrichment analysis to derive the results of gene set enrichment. We set the minimum gene set to 5, the maximum gene set to 5000, </w:t>
      </w:r>
      <w:r>
        <w:rPr>
          <w:rFonts w:hint="default" w:ascii="Times New Roman" w:hAnsi="Times New Roman" w:cs="Times New Roman"/>
          <w:i/>
          <w:iCs/>
          <w:color w:val="auto"/>
          <w:sz w:val="24"/>
          <w:szCs w:val="24"/>
        </w:rPr>
        <w:t>p</w:t>
      </w:r>
      <w:r>
        <w:rPr>
          <w:rFonts w:hint="default" w:ascii="Times New Roman" w:hAnsi="Times New Roman" w:cs="Times New Roman"/>
          <w:color w:val="auto"/>
          <w:sz w:val="24"/>
          <w:szCs w:val="24"/>
        </w:rPr>
        <w:t xml:space="preserve"> value of &lt; 0.05 and FDR of &lt; 0.25 were considered statistically significant. Analysis of distinct biological functions between the high and low groups was performed using the 'c2.cp.reactome.v7.4.symbols.gmt' database and the R package GSEABase (</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HYPERLINK "https://bioconductor.org/packages/GSEABase/" </w:instrText>
      </w:r>
      <w:r>
        <w:rPr>
          <w:rFonts w:hint="default" w:ascii="Times New Roman" w:hAnsi="Times New Roman" w:cs="Times New Roman"/>
          <w:color w:val="auto"/>
          <w:sz w:val="24"/>
          <w:szCs w:val="24"/>
        </w:rPr>
        <w:fldChar w:fldCharType="separate"/>
      </w:r>
      <w:r>
        <w:rPr>
          <w:rStyle w:val="4"/>
          <w:rFonts w:hint="default" w:ascii="Times New Roman" w:hAnsi="Times New Roman" w:cs="Times New Roman"/>
          <w:color w:val="auto"/>
          <w:sz w:val="24"/>
          <w:szCs w:val="24"/>
          <w:u w:val="none"/>
        </w:rPr>
        <w:t>https://bioconductor.org/packages/GSEABase/</w:t>
      </w:r>
      <w:r>
        <w:rPr>
          <w:rStyle w:val="4"/>
          <w:rFonts w:hint="default" w:ascii="Times New Roman" w:hAnsi="Times New Roman" w:cs="Times New Roman"/>
          <w:color w:val="auto"/>
          <w:sz w:val="24"/>
          <w:szCs w:val="24"/>
          <w:u w:val="none"/>
        </w:rPr>
        <w:fldChar w:fldCharType="end"/>
      </w:r>
      <w:r>
        <w:rPr>
          <w:rFonts w:hint="default" w:ascii="Times New Roman" w:hAnsi="Times New Roman" w:cs="Times New Roman"/>
          <w:color w:val="auto"/>
          <w:sz w:val="24"/>
          <w:szCs w:val="24"/>
        </w:rPr>
        <w:t>). The mutation counts and mutation profiles in the high-risk and the low-risk groups were estimated and compared using the R package maftools, reshape2, and ggpubr.</w:t>
      </w:r>
    </w:p>
    <w:p w14:paraId="6238E2ED">
      <w:pPr>
        <w:numPr>
          <w:ilvl w:val="0"/>
          <w:numId w:val="1"/>
        </w:numPr>
        <w:spacing w:line="360" w:lineRule="auto"/>
        <w:ind w:left="0" w:leftChars="0" w:firstLine="0" w:firstLineChars="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Estimation of immune cell infiltration</w:t>
      </w:r>
    </w:p>
    <w:p w14:paraId="3B667D1B">
      <w:pPr>
        <w:spacing w:line="360" w:lineRule="auto"/>
        <w:ind w:firstLine="240" w:firstLineChars="1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The cibersort algorithm, a widely used method of characterizing the cell composition of complex tissues, was applied to quantify the relative proportion of 22 distinct immune cell types in the tumor microenvironment of TCGA-BLCA samples.</w:t>
      </w:r>
    </w:p>
    <w:p w14:paraId="6587F67C">
      <w:pPr>
        <w:numPr>
          <w:ilvl w:val="0"/>
          <w:numId w:val="1"/>
        </w:numPr>
        <w:spacing w:line="360" w:lineRule="auto"/>
        <w:ind w:left="0" w:leftChars="0" w:firstLine="0" w:firstLineChars="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Evaluation of drug sensitivity</w:t>
      </w:r>
    </w:p>
    <w:p w14:paraId="7C36BC3C">
      <w:pPr>
        <w:keepNext w:val="0"/>
        <w:keepLines w:val="0"/>
        <w:pageBreakBefore w:val="0"/>
        <w:kinsoku/>
        <w:wordWrap/>
        <w:overflowPunct/>
        <w:topLinePunct w:val="0"/>
        <w:autoSpaceDE/>
        <w:autoSpaceDN/>
        <w:bidi w:val="0"/>
        <w:adjustRightInd/>
        <w:snapToGrid/>
        <w:spacing w:line="360" w:lineRule="auto"/>
        <w:ind w:left="0" w:firstLine="240" w:firstLineChars="1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The response to chemotherapeutic drugs was predicted using the Genomics of Drug Sensitivity in Cancer (GDSC) database. The Half Maximal Inhibitory concentration (IC</w:t>
      </w:r>
      <w:r>
        <w:rPr>
          <w:rFonts w:hint="default" w:ascii="Times New Roman" w:hAnsi="Times New Roman" w:cs="Times New Roman"/>
          <w:color w:val="auto"/>
          <w:sz w:val="24"/>
          <w:szCs w:val="24"/>
          <w:vertAlign w:val="subscript"/>
        </w:rPr>
        <w:t>50</w:t>
      </w:r>
      <w:r>
        <w:rPr>
          <w:rFonts w:hint="default" w:ascii="Times New Roman" w:hAnsi="Times New Roman" w:cs="Times New Roman"/>
          <w:color w:val="auto"/>
          <w:sz w:val="24"/>
          <w:szCs w:val="24"/>
        </w:rPr>
        <w:t>) was calculated through the R package oncoPredict.</w:t>
      </w:r>
    </w:p>
    <w:p w14:paraId="03D1095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Times New Roman" w:hAnsi="Times New Roman" w:cs="Times New Roman"/>
          <w:color w:val="auto"/>
          <w:sz w:val="24"/>
          <w:szCs w:val="24"/>
        </w:rPr>
      </w:pPr>
      <w:r>
        <w:rPr>
          <w:rFonts w:hint="eastAsia" w:ascii="Times New Roman" w:hAnsi="Times New Roman" w:cs="Times New Roman"/>
          <w:b/>
          <w:bCs/>
          <w:color w:val="auto"/>
          <w:sz w:val="24"/>
          <w:szCs w:val="24"/>
          <w:lang w:val="en-US" w:eastAsia="zh-CN"/>
        </w:rPr>
        <w:t xml:space="preserve">7. </w:t>
      </w:r>
      <w:r>
        <w:rPr>
          <w:rFonts w:hint="default" w:ascii="Times New Roman" w:hAnsi="Times New Roman" w:cs="Times New Roman"/>
          <w:b/>
          <w:bCs/>
          <w:color w:val="auto"/>
          <w:sz w:val="24"/>
          <w:szCs w:val="24"/>
        </w:rPr>
        <w:t>Western Blotting</w:t>
      </w:r>
    </w:p>
    <w:p w14:paraId="34EB5797">
      <w:pPr>
        <w:keepNext w:val="0"/>
        <w:keepLines w:val="0"/>
        <w:pageBreakBefore w:val="0"/>
        <w:kinsoku/>
        <w:wordWrap/>
        <w:overflowPunct/>
        <w:topLinePunct w:val="0"/>
        <w:autoSpaceDE/>
        <w:autoSpaceDN/>
        <w:bidi w:val="0"/>
        <w:adjustRightInd/>
        <w:snapToGrid/>
        <w:spacing w:line="360" w:lineRule="auto"/>
        <w:textAlignment w:val="auto"/>
        <w:rPr>
          <w:sz w:val="24"/>
          <w:szCs w:val="24"/>
        </w:rPr>
      </w:pPr>
      <w:r>
        <w:rPr>
          <w:rFonts w:hint="default" w:ascii="Times New Roman" w:hAnsi="Times New Roman" w:cs="Times New Roman"/>
          <w:color w:val="auto"/>
          <w:sz w:val="24"/>
          <w:szCs w:val="24"/>
        </w:rPr>
        <w:t xml:space="preserve">Protein lysates were separated by SDS-PAGE and transferred to PVDF membranes. The membranes were incubated overnight at 4°C with primary antibodies against β-actin, DARS2, PINK1, and others. After incubation with secondary antibodies at room temperature </w:t>
      </w:r>
      <w:bookmarkStart w:id="0" w:name="_GoBack"/>
      <w:bookmarkEnd w:id="0"/>
      <w:r>
        <w:rPr>
          <w:rFonts w:hint="default" w:ascii="Times New Roman" w:hAnsi="Times New Roman" w:cs="Times New Roman"/>
          <w:color w:val="auto"/>
          <w:sz w:val="24"/>
          <w:szCs w:val="24"/>
        </w:rPr>
        <w:t>for 1 hour, protein detection was performed using an enhanced chemiluminescence detection system.</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The following antibodies were used in this study: </w:t>
      </w:r>
      <w:r>
        <w:rPr>
          <w:rFonts w:hint="default" w:ascii="Times New Roman" w:hAnsi="Times New Roman" w:eastAsia="宋体" w:cs="Times New Roman"/>
          <w:color w:val="000000"/>
          <w:kern w:val="0"/>
          <w:sz w:val="24"/>
          <w:szCs w:val="24"/>
          <w:lang w:bidi="ar"/>
        </w:rPr>
        <w:t>Anti-DARS2 (Proteintech,</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13807-1-AP,</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1:2000)</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Anti-</w:t>
      </w:r>
      <w:r>
        <w:rPr>
          <w:rFonts w:hint="default" w:ascii="Times New Roman" w:hAnsi="Times New Roman" w:eastAsia="宋体" w:cs="Times New Roman"/>
          <w:color w:val="000000" w:themeColor="text1"/>
          <w:sz w:val="24"/>
          <w:szCs w:val="24"/>
          <w14:textFill>
            <w14:solidFill>
              <w14:schemeClr w14:val="tx1"/>
            </w14:solidFill>
          </w14:textFill>
        </w:rPr>
        <w:t>P53</w:t>
      </w:r>
      <w:r>
        <w:rPr>
          <w:rFonts w:hint="default" w:ascii="Times New Roman" w:hAnsi="Times New Roman" w:eastAsia="宋体" w:cs="Times New Roman"/>
          <w:color w:val="000000"/>
          <w:kern w:val="0"/>
          <w:sz w:val="24"/>
          <w:szCs w:val="24"/>
          <w:lang w:bidi="ar"/>
        </w:rPr>
        <w:t xml:space="preserve"> (Proteintech</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10442-1-AP</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1:2000)</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Anti-</w:t>
      </w:r>
      <w:r>
        <w:rPr>
          <w:rFonts w:hint="default" w:ascii="Times New Roman" w:hAnsi="Times New Roman" w:eastAsia="宋体" w:cs="Times New Roman"/>
          <w:color w:val="000000" w:themeColor="text1"/>
          <w:sz w:val="24"/>
          <w:szCs w:val="24"/>
          <w14:textFill>
            <w14:solidFill>
              <w14:schemeClr w14:val="tx1"/>
            </w14:solidFill>
          </w14:textFill>
        </w:rPr>
        <w:t xml:space="preserve">P21 </w:t>
      </w:r>
      <w:r>
        <w:rPr>
          <w:rFonts w:hint="default" w:ascii="Times New Roman" w:hAnsi="Times New Roman" w:eastAsia="宋体" w:cs="Times New Roman"/>
          <w:color w:val="000000"/>
          <w:kern w:val="0"/>
          <w:sz w:val="24"/>
          <w:szCs w:val="24"/>
          <w:lang w:bidi="ar"/>
        </w:rPr>
        <w:t>(Proteintech</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10355-1-AP,</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1:2000)</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Anti-</w:t>
      </w:r>
      <w:r>
        <w:rPr>
          <w:rFonts w:hint="default" w:ascii="Times New Roman" w:hAnsi="Times New Roman" w:eastAsia="宋体" w:cs="Times New Roman"/>
          <w:color w:val="000000" w:themeColor="text1"/>
          <w:sz w:val="24"/>
          <w:szCs w:val="24"/>
          <w14:textFill>
            <w14:solidFill>
              <w14:schemeClr w14:val="tx1"/>
            </w14:solidFill>
          </w14:textFill>
        </w:rPr>
        <w:t>CDK6</w:t>
      </w:r>
      <w:r>
        <w:rPr>
          <w:rFonts w:hint="default" w:ascii="Times New Roman" w:hAnsi="Times New Roman" w:eastAsia="宋体" w:cs="Times New Roman"/>
          <w:color w:val="000000"/>
          <w:kern w:val="0"/>
          <w:sz w:val="24"/>
          <w:szCs w:val="24"/>
          <w:lang w:bidi="ar"/>
        </w:rPr>
        <w:t xml:space="preserve"> (Proteintech</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14052-1-AP,</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1:2000)</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Anti-</w:t>
      </w:r>
      <w:r>
        <w:rPr>
          <w:rFonts w:hint="default" w:ascii="Times New Roman" w:hAnsi="Times New Roman" w:eastAsia="宋体" w:cs="Times New Roman"/>
          <w:color w:val="000000" w:themeColor="text1"/>
          <w:sz w:val="24"/>
          <w:szCs w:val="24"/>
          <w14:textFill>
            <w14:solidFill>
              <w14:schemeClr w14:val="tx1"/>
            </w14:solidFill>
          </w14:textFill>
        </w:rPr>
        <w:t>CDK4</w:t>
      </w:r>
      <w:r>
        <w:rPr>
          <w:rFonts w:hint="default" w:ascii="Times New Roman" w:hAnsi="Times New Roman" w:eastAsia="宋体" w:cs="Times New Roman"/>
          <w:color w:val="000000"/>
          <w:kern w:val="0"/>
          <w:sz w:val="24"/>
          <w:szCs w:val="24"/>
          <w:lang w:bidi="ar"/>
        </w:rPr>
        <w:t xml:space="preserve"> (Proteintech</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11026-1-AP,</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1:2000)</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Anti-</w:t>
      </w:r>
      <w:r>
        <w:rPr>
          <w:rFonts w:hint="default" w:ascii="Times New Roman" w:hAnsi="Times New Roman" w:eastAsia="宋体" w:cs="Times New Roman"/>
          <w:color w:val="000000" w:themeColor="text1"/>
          <w:sz w:val="24"/>
          <w:szCs w:val="24"/>
          <w14:textFill>
            <w14:solidFill>
              <w14:schemeClr w14:val="tx1"/>
            </w14:solidFill>
          </w14:textFill>
        </w:rPr>
        <w:t>LC3</w:t>
      </w:r>
      <w:r>
        <w:rPr>
          <w:rFonts w:hint="default" w:ascii="Times New Roman" w:hAnsi="Times New Roman" w:eastAsia="宋体" w:cs="Times New Roman"/>
          <w:color w:val="000000"/>
          <w:kern w:val="0"/>
          <w:sz w:val="24"/>
          <w:szCs w:val="24"/>
          <w:lang w:bidi="ar"/>
        </w:rPr>
        <w:t xml:space="preserve"> (Proteintech</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14600-1-AP,</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1:2000)</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Anti-</w:t>
      </w:r>
      <w:r>
        <w:rPr>
          <w:rFonts w:hint="default" w:ascii="Times New Roman" w:hAnsi="Times New Roman" w:eastAsia="宋体" w:cs="Times New Roman"/>
          <w:color w:val="000000" w:themeColor="text1"/>
          <w:sz w:val="24"/>
          <w:szCs w:val="24"/>
          <w14:textFill>
            <w14:solidFill>
              <w14:schemeClr w14:val="tx1"/>
            </w14:solidFill>
          </w14:textFill>
        </w:rPr>
        <w:t>PINK1</w:t>
      </w:r>
      <w:r>
        <w:rPr>
          <w:rFonts w:hint="default" w:ascii="Times New Roman" w:hAnsi="Times New Roman" w:eastAsia="宋体" w:cs="Times New Roman"/>
          <w:color w:val="000000"/>
          <w:kern w:val="0"/>
          <w:sz w:val="24"/>
          <w:szCs w:val="24"/>
          <w:lang w:bidi="ar"/>
        </w:rPr>
        <w:t xml:space="preserve"> (Proteintech,</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23274-1-AP,</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1:2000)</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Anti-</w:t>
      </w:r>
      <w:r>
        <w:rPr>
          <w:rFonts w:hint="default" w:ascii="Times New Roman" w:hAnsi="Times New Roman" w:eastAsia="宋体" w:cs="Times New Roman"/>
          <w:color w:val="000000" w:themeColor="text1"/>
          <w:sz w:val="24"/>
          <w:szCs w:val="24"/>
          <w14:textFill>
            <w14:solidFill>
              <w14:schemeClr w14:val="tx1"/>
            </w14:solidFill>
          </w14:textFill>
        </w:rPr>
        <w:t>Parkin</w:t>
      </w:r>
      <w:r>
        <w:rPr>
          <w:rFonts w:hint="default" w:ascii="Times New Roman" w:hAnsi="Times New Roman" w:eastAsia="宋体" w:cs="Times New Roman"/>
          <w:color w:val="000000"/>
          <w:kern w:val="0"/>
          <w:sz w:val="24"/>
          <w:szCs w:val="24"/>
          <w:lang w:bidi="ar"/>
        </w:rPr>
        <w:t xml:space="preserve"> (Proteintech</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14060-1-AP,</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1:2000)</w:t>
      </w:r>
      <w:r>
        <w:rPr>
          <w:rFonts w:hint="default" w:ascii="Times New Roman" w:hAnsi="Times New Roman" w:cs="Times New Roman"/>
          <w:color w:val="auto"/>
          <w:sz w:val="24"/>
          <w:szCs w:val="24"/>
        </w:rPr>
        <w:t>. β-actin (</w:t>
      </w:r>
      <w:r>
        <w:rPr>
          <w:rFonts w:hint="default" w:ascii="Times New Roman" w:hAnsi="Times New Roman" w:eastAsia="宋体" w:cs="Times New Roman"/>
          <w:color w:val="000000"/>
          <w:kern w:val="0"/>
          <w:sz w:val="24"/>
          <w:szCs w:val="24"/>
          <w:lang w:bidi="ar"/>
        </w:rPr>
        <w:t>Proteintech</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20536-1-AP,</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1:2000</w:t>
      </w:r>
      <w:r>
        <w:rPr>
          <w:rFonts w:hint="default" w:ascii="Times New Roman" w:hAnsi="Times New Roman" w:cs="Times New Roman"/>
          <w:color w:val="auto"/>
          <w:sz w:val="24"/>
          <w:szCs w:val="24"/>
        </w:rPr>
        <w:t>) was used as the loading control. Protein expression was quantified using ImageJ software.</w:t>
      </w:r>
    </w:p>
    <w:sectPr>
      <w:pgSz w:w="11906" w:h="16838"/>
      <w:pgMar w:top="1440" w:right="1800" w:bottom="1440" w:left="180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Gothic">
    <w:panose1 w:val="020B0609070205080204"/>
    <w:charset w:val="80"/>
    <w:family w:val="modern"/>
    <w:pitch w:val="default"/>
    <w:sig w:usb0="E00002FF" w:usb1="6AC7FDFB" w:usb2="08000012" w:usb3="00000000" w:csb0="4002009F" w:csb1="DFD7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61B76B"/>
    <w:multiLevelType w:val="singleLevel"/>
    <w:tmpl w:val="6661B76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3F4D1A8A"/>
    <w:rsid w:val="061E4834"/>
    <w:rsid w:val="12A3059B"/>
    <w:rsid w:val="15A5462A"/>
    <w:rsid w:val="16361726"/>
    <w:rsid w:val="1C3C7768"/>
    <w:rsid w:val="1DC37D43"/>
    <w:rsid w:val="1F2E5690"/>
    <w:rsid w:val="2CA62D0A"/>
    <w:rsid w:val="2F1A178D"/>
    <w:rsid w:val="3E377C66"/>
    <w:rsid w:val="3F253F62"/>
    <w:rsid w:val="3F4D1A8A"/>
    <w:rsid w:val="4235270E"/>
    <w:rsid w:val="446B0669"/>
    <w:rsid w:val="53876B42"/>
    <w:rsid w:val="61215C6A"/>
    <w:rsid w:val="665E1984"/>
    <w:rsid w:val="6B9D4CFC"/>
    <w:rsid w:val="72F71196"/>
    <w:rsid w:val="76CE0460"/>
    <w:rsid w:val="77D00208"/>
    <w:rsid w:val="7D650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nhideWhenUsed/>
    <w:qFormat/>
    <w:uiPriority w:val="99"/>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815</Words>
  <Characters>5125</Characters>
  <Lines>0</Lines>
  <Paragraphs>0</Paragraphs>
  <TotalTime>2</TotalTime>
  <ScaleCrop>false</ScaleCrop>
  <LinksUpToDate>false</LinksUpToDate>
  <CharactersWithSpaces>5925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2024-10-10T04:50:00Z</dcterms:created>
  <dc:creator>简</dc:creator>
  <cp:lastModifiedBy>简</cp:lastModifiedBy>
  <dcterms:modified xsi:type="dcterms:W3CDTF">2024-10-11T07:25:08Z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70046069E2D6439D82E260CB8F5CF144_11</vt:lpwstr>
  </property>
</Properties>
</file>