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2"/>
        <w:rPr>
          <w:b w:val="0"/>
          <w:i w:val="0"/>
          <w:iCs/>
        </w:rPr>
      </w:pPr>
      <w:r>
        <w:rPr>
          <w:i w:val="0"/>
          <w:iCs/>
        </w:rPr>
        <w:t>Supplementary Material</w:t>
      </w:r>
    </w:p>
    <w:p>
      <w:pPr>
        <w:pStyle w:val="2"/>
        <w:numPr>
          <w:ilvl w:val="0"/>
          <w:numId w:val="0"/>
        </w:numPr>
        <w:ind w:leftChars="0"/>
      </w:pPr>
      <w:r>
        <w:t>Supplementary Figures and Tables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0" w:after="0" w:line="240" w:lineRule="auto"/>
        <w:ind w:firstLine="0"/>
        <w:jc w:val="left"/>
        <w:textAlignment w:val="auto"/>
        <w:rPr>
          <w:color w:val="000000"/>
          <w:szCs w:val="21"/>
        </w:rPr>
      </w:pPr>
      <w:bookmarkStart w:id="0" w:name="OLE_LINK4"/>
      <w:bookmarkStart w:id="1" w:name="OLE_LINK2"/>
      <w:r>
        <w:rPr>
          <w:color w:val="000000"/>
          <w:szCs w:val="21"/>
        </w:rPr>
        <w:t>Supplementary Table 1</w:t>
      </w:r>
      <w:bookmarkEnd w:id="0"/>
      <w:r>
        <w:rPr>
          <w:color w:val="000000"/>
          <w:szCs w:val="21"/>
        </w:rPr>
        <w:t>. GSE69334</w:t>
      </w:r>
      <w:r>
        <w:t xml:space="preserve"> </w:t>
      </w:r>
      <w:r>
        <w:rPr>
          <w:color w:val="000000"/>
          <w:szCs w:val="21"/>
        </w:rPr>
        <w:t>scRNA-seq data and sample information of incomplete SCI model in mice</w:t>
      </w:r>
    </w:p>
    <w:tbl>
      <w:tblPr>
        <w:tblStyle w:val="54"/>
        <w:tblW w:w="3969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5"/>
        <w:gridCol w:w="1984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Sample ID</w:t>
            </w:r>
          </w:p>
        </w:tc>
        <w:tc>
          <w:tcPr>
            <w:tcW w:w="1984" w:type="dxa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ind w:firstLine="240" w:firstLineChars="100"/>
              <w:jc w:val="center"/>
              <w:rPr>
                <w:sz w:val="24"/>
              </w:rPr>
            </w:pPr>
            <w:r>
              <w:rPr>
                <w:sz w:val="24"/>
              </w:rPr>
              <w:t>Group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GSM4955359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uninj_sample1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GSM4955360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uninj_sample2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GSM4955361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uninj_sample3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GSM4955362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1dpi_sample1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GSM4955363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1dpi_sample2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GSM4955364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1dpi_sample3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GSM4955365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3dpi_sample1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GSM4955366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3dpi_sample2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GSM4955367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7dpi_sample1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5" w:type="dxa"/>
          </w:tcPr>
          <w:p>
            <w:pPr>
              <w:jc w:val="center"/>
            </w:pPr>
            <w:r>
              <w:t>GSM4955368</w:t>
            </w:r>
          </w:p>
        </w:tc>
        <w:tc>
          <w:tcPr>
            <w:tcW w:w="1984" w:type="dxa"/>
          </w:tcPr>
          <w:p>
            <w:pPr>
              <w:jc w:val="center"/>
            </w:pPr>
            <w:r>
              <w:t>7dpi_sample2</w:t>
            </w:r>
          </w:p>
        </w:tc>
      </w:tr>
      <w:bookmarkEnd w:id="1"/>
    </w:tbl>
    <w:p>
      <w:pPr>
        <w:autoSpaceDE w:val="0"/>
        <w:autoSpaceDN w:val="0"/>
        <w:adjustRightInd w:val="0"/>
        <w:spacing w:line="400" w:lineRule="exact"/>
        <w:jc w:val="left"/>
        <w:rPr>
          <w:color w:val="000000"/>
          <w:szCs w:val="21"/>
        </w:rPr>
      </w:pPr>
      <w:r>
        <w:rPr>
          <w:color w:val="000000"/>
          <w:szCs w:val="21"/>
        </w:rPr>
        <w:t>Supplementary Table 2. GSE151371</w:t>
      </w:r>
      <w:r>
        <w:t xml:space="preserve"> </w:t>
      </w:r>
      <w:r>
        <w:rPr>
          <w:color w:val="000000"/>
          <w:szCs w:val="21"/>
        </w:rPr>
        <w:t>RNA-seq data and demographic information of peripheral blood mononuclear cells (PBMCs) in SCI patients</w:t>
      </w:r>
    </w:p>
    <w:tbl>
      <w:tblPr>
        <w:tblStyle w:val="54"/>
        <w:tblW w:w="10224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74"/>
        <w:gridCol w:w="2645"/>
        <w:gridCol w:w="2523"/>
        <w:gridCol w:w="218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tcBorders>
              <w:top w:val="single" w:color="auto" w:sz="12" w:space="0"/>
              <w:left w:val="nil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/>
              </w:rPr>
            </w:pPr>
          </w:p>
        </w:tc>
        <w:tc>
          <w:tcPr>
            <w:tcW w:w="1293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szCs w:val="24"/>
                <w:lang w:eastAsia="zh-CN"/>
              </w:rPr>
              <w:t>Healthy control</w:t>
            </w:r>
            <w:r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i/>
                <w:szCs w:val="24"/>
              </w:rPr>
              <w:t>n</w:t>
            </w:r>
            <w:r>
              <w:rPr>
                <w:rFonts w:ascii="Times New Roman" w:hAnsi="Times New Roman"/>
                <w:szCs w:val="24"/>
              </w:rPr>
              <w:t xml:space="preserve"> = 10)</w:t>
            </w:r>
          </w:p>
        </w:tc>
        <w:tc>
          <w:tcPr>
            <w:tcW w:w="1233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szCs w:val="24"/>
                <w:lang w:eastAsia="zh-CN"/>
              </w:rPr>
              <w:t>Trauma control</w:t>
            </w:r>
            <w:r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i/>
                <w:szCs w:val="24"/>
              </w:rPr>
              <w:t>n</w:t>
            </w:r>
            <w:r>
              <w:rPr>
                <w:rFonts w:ascii="Times New Roman" w:hAnsi="Times New Roman"/>
                <w:szCs w:val="24"/>
              </w:rPr>
              <w:t xml:space="preserve"> = 10)</w:t>
            </w:r>
          </w:p>
        </w:tc>
        <w:tc>
          <w:tcPr>
            <w:tcW w:w="1067" w:type="pct"/>
            <w:tcBorders>
              <w:top w:val="single" w:color="auto" w:sz="12" w:space="0"/>
              <w:bottom w:val="single" w:color="auto" w:sz="6" w:space="0"/>
              <w:right w:val="nil"/>
              <w:insideH w:val="single" w:sz="6" w:space="0"/>
              <w:insideV w:val="nil"/>
              <w:tl2br w:val="nil"/>
              <w:tr2bl w:val="nil"/>
            </w:tcBorders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SCI (</w:t>
            </w:r>
            <w:r>
              <w:rPr>
                <w:rFonts w:ascii="Times New Roman" w:hAnsi="Times New Roman"/>
                <w:i/>
                <w:szCs w:val="24"/>
              </w:rPr>
              <w:t>n</w:t>
            </w:r>
            <w:r>
              <w:rPr>
                <w:rFonts w:ascii="Times New Roman" w:hAnsi="Times New Roman"/>
                <w:szCs w:val="24"/>
              </w:rPr>
              <w:t xml:space="preserve"> = 38)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b/>
                <w:lang w:eastAsia="zh-CN"/>
              </w:rPr>
              <w:t>Gender</w:t>
            </w:r>
          </w:p>
        </w:tc>
        <w:tc>
          <w:tcPr>
            <w:tcW w:w="1293" w:type="pct"/>
            <w:noWrap/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33" w:type="pct"/>
            <w:noWrap/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7" w:type="pct"/>
            <w:noWrap/>
          </w:tcPr>
          <w:p>
            <w:pPr>
              <w:pStyle w:val="55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Male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8 (80.0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6 (60.0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25 (65.8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Female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 (20.0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4 (40.0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13 (34.2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宋体"/>
                <w:b/>
                <w:lang w:eastAsia="zh-CN"/>
              </w:rPr>
              <w:t>Race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Asian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4 (40.0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 (20.0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10 (26.3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Black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5 (13.2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Hispanic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 (10.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0%)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3 (7.9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White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4 (40.0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4 (40.0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17 (44.7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Other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3 (30.0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 w:eastAsia="宋体"/>
                <w:lang w:eastAsia="zh-CN"/>
              </w:rPr>
            </w:pPr>
            <w:r>
              <w:rPr>
                <w:rFonts w:ascii="Times New Roman" w:hAnsi="Times New Roman" w:eastAsia="宋体"/>
                <w:lang w:eastAsia="zh-CN"/>
              </w:rPr>
              <w:t>Unknown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 (20.0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3 (7.9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hint="eastAsia" w:ascii="Times New Roman" w:hAnsi="Times New Roman" w:eastAsia="宋体"/>
                <w:b/>
                <w:lang w:eastAsia="zh-CN"/>
              </w:rPr>
              <w:t>A</w:t>
            </w:r>
            <w:r>
              <w:rPr>
                <w:rFonts w:ascii="Times New Roman" w:hAnsi="Times New Roman" w:eastAsia="宋体"/>
                <w:b/>
                <w:lang w:eastAsia="zh-CN"/>
              </w:rPr>
              <w:t>ge（</w:t>
            </w:r>
            <w:r>
              <w:rPr>
                <w:rFonts w:hint="eastAsia" w:ascii="Times New Roman" w:hAnsi="Times New Roman" w:eastAsia="宋体"/>
                <w:b/>
                <w:lang w:eastAsia="zh-CN"/>
              </w:rPr>
              <w:t>Y</w:t>
            </w:r>
            <w:r>
              <w:rPr>
                <w:rFonts w:ascii="Times New Roman" w:hAnsi="Times New Roman" w:eastAsia="宋体"/>
                <w:b/>
                <w:lang w:eastAsia="zh-CN"/>
              </w:rPr>
              <w:t>ear）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Mean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SD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ascii="Times New Roman" w:hAnsi="Times New Roman"/>
                <w:szCs w:val="24"/>
              </w:rPr>
              <w:t>49.4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12.2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ascii="Times New Roman" w:hAnsi="Times New Roman"/>
                <w:szCs w:val="24"/>
              </w:rPr>
              <w:t>41.7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18.0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ascii="Times New Roman" w:hAnsi="Times New Roman"/>
                <w:szCs w:val="24"/>
              </w:rPr>
              <w:t>55.3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20.0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Median [Min, Max]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51.0 (31.0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, 67.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0)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hanging="1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42.0 (22.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0, 78.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0)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hanging="1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53.5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(20.0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, 89.0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Unknown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 (10.0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Cs w:val="24"/>
              </w:rPr>
              <w:t>Injury Severity Score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Mean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SD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NA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NA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6.57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4.35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ascii="Times New Roman" w:hAnsi="Times New Roman"/>
                <w:szCs w:val="24"/>
              </w:rPr>
              <w:t>27.8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13.2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Median [Min, Max]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NA (NA, NA)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hanging="14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5.00 (1.00, 14.0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hanging="1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26.5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(9.00, 75.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Unknown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10 (100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3 (30.0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 (5.3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 w:eastAsia="宋体"/>
                <w:b/>
                <w:szCs w:val="24"/>
              </w:rPr>
              <w:t>Concurrent traumatic brain injury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Yes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8 (21.1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No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10 (100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10 (100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28 (73.7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Unknown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 (5.3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szCs w:val="24"/>
              </w:rPr>
              <w:t>Time for blood sampling post SCI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Mean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SD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 xml:space="preserve">NA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NA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ascii="Times New Roman" w:hAnsi="Times New Roman"/>
                <w:szCs w:val="24"/>
              </w:rPr>
              <w:t>21.5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5.75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ascii="Times New Roman" w:hAnsi="Times New Roman"/>
                <w:szCs w:val="24"/>
              </w:rPr>
              <w:t>30.3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>
              <w:rPr>
                <w:rFonts w:ascii="Times New Roman" w:hAnsi="Times New Roman"/>
                <w:szCs w:val="24"/>
              </w:rPr>
              <w:sym w:font="Symbol" w:char="F0B1"/>
            </w:r>
            <w:r>
              <w:rPr>
                <w:rFonts w:ascii="Times New Roman" w:hAnsi="Times New Roman"/>
                <w:szCs w:val="24"/>
              </w:rPr>
              <w:t xml:space="preserve"> 18.9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Median [Min, Max]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NA (NA, NA)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hanging="18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20.0 (15.0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, 32.0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hanging="17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23.0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 xml:space="preserve"> (5.00, 97.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0)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1405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ind w:left="240" w:leftChars="10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宋体"/>
                <w:lang w:eastAsia="zh-CN"/>
              </w:rPr>
              <w:t>Unknown</w:t>
            </w:r>
          </w:p>
        </w:tc>
        <w:tc>
          <w:tcPr>
            <w:tcW w:w="129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10 (100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233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4 (40.0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1067" w:type="pct"/>
            <w:noWrap/>
          </w:tcPr>
          <w:p>
            <w:pPr>
              <w:pStyle w:val="56"/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Cs w:val="24"/>
              </w:rPr>
              <w:t>0 (0</w:t>
            </w: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.00</w:t>
            </w:r>
            <w:r>
              <w:rPr>
                <w:rFonts w:ascii="Times New Roman" w:hAnsi="Times New Roman"/>
                <w:szCs w:val="24"/>
              </w:rPr>
              <w:t>%)</w:t>
            </w:r>
          </w:p>
        </w:tc>
      </w:tr>
    </w:tbl>
    <w:p>
      <w:pPr>
        <w:autoSpaceDE w:val="0"/>
        <w:autoSpaceDN w:val="0"/>
        <w:adjustRightInd w:val="0"/>
        <w:spacing w:line="400" w:lineRule="exact"/>
        <w:jc w:val="center"/>
        <w:rPr>
          <w:color w:val="000000"/>
          <w:szCs w:val="21"/>
        </w:rPr>
      </w:pPr>
    </w:p>
    <w:p>
      <w:pPr>
        <w:pStyle w:val="4"/>
        <w:numPr>
          <w:ilvl w:val="1"/>
          <w:numId w:val="0"/>
        </w:numPr>
        <w:ind w:leftChars="0"/>
      </w:pPr>
      <w:bookmarkStart w:id="2" w:name="OLE_LINK3"/>
      <w:r>
        <w:t>Supplementary Figure</w:t>
      </w:r>
      <w:bookmarkEnd w:id="2"/>
      <w:r>
        <w:t>s</w:t>
      </w:r>
    </w:p>
    <w:p>
      <w:pPr>
        <w:keepNext w:val="0"/>
        <w:keepLines w:val="0"/>
        <w:pageBreakBefore w:val="0"/>
        <w:widowControl w:val="0"/>
        <w:suppressLineNumbers w:val="0"/>
        <w:shd w:val="clear" w:fill="FC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left"/>
        <w:textAlignment w:val="auto"/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</w:pPr>
      <w:bookmarkStart w:id="3" w:name="OLE_LINK1"/>
      <w:r>
        <w:rPr>
          <w:b w:val="0"/>
          <w:bCs w:val="0"/>
        </w:rPr>
        <w:t>Supplementary Fig</w:t>
      </w:r>
      <w:bookmarkEnd w:id="3"/>
      <w:r>
        <w:rPr>
          <w:rFonts w:hint="eastAsia" w:eastAsia="宋体"/>
          <w:b w:val="0"/>
          <w:bCs w:val="0"/>
          <w:lang w:val="en-US" w:eastAsia="zh-CN"/>
        </w:rPr>
        <w:t>. 1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Integrated analyses of differential expression gene (DEG), cellular communication, and cell cycle. 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(A)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The Cleveland's dot plot showed the expression levels of 3 classical marker genes; the stacked bar plot displayed the proportion of 11 cell types in samples. 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(B)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The co-expression correlation heat map illustrated the expression levels of the top 5 marker genes in each cell type.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(C)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The violin plots showed the G2M. Score and S. Score of 11 cell clusters. 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>(D)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The feature plot illustrated the distribution of all cell types at different cell cycle phases.</w:t>
      </w:r>
    </w:p>
    <w:p>
      <w:pPr>
        <w:keepNext w:val="0"/>
        <w:keepLines w:val="0"/>
        <w:pageBreakBefore w:val="0"/>
        <w:widowControl w:val="0"/>
        <w:suppressLineNumbers w:val="0"/>
        <w:shd w:val="clear" w:fill="FC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left"/>
        <w:textAlignment w:val="auto"/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shd w:val="clear" w:fill="FC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left"/>
        <w:textAlignment w:val="auto"/>
        <w:rPr>
          <w:lang w:val="en-US"/>
        </w:rPr>
      </w:pPr>
      <w:r>
        <w:rPr>
          <w:b w:val="0"/>
          <w:bCs w:val="0"/>
        </w:rPr>
        <w:t>Supplementary Fig</w:t>
      </w:r>
      <w:r>
        <w:rPr>
          <w:rFonts w:hint="eastAsia" w:eastAsia="宋体"/>
          <w:b w:val="0"/>
          <w:bCs w:val="0"/>
          <w:lang w:val="en-US" w:eastAsia="zh-CN"/>
        </w:rPr>
        <w:t xml:space="preserve">. </w:t>
      </w:r>
      <w:r>
        <w:rPr>
          <w:rFonts w:hint="eastAsia" w:eastAsia="微软雅黑" w:cs="Times New Roman"/>
          <w:b w:val="0"/>
          <w:bCs w:val="0"/>
          <w:color w:val="auto"/>
          <w:kern w:val="2"/>
          <w:sz w:val="24"/>
          <w:szCs w:val="24"/>
          <w:shd w:val="clear" w:fill="auto"/>
          <w:lang w:val="en-US" w:eastAsia="zh-CN" w:bidi="ar"/>
        </w:rPr>
        <w:t>2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Identification of key ODC/OPC differentiation-related genes. 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(A)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The Venn diagram showed genes overlapping of univariate regression analysis and pseudo-time analysis, which were defined as the PDEODG set.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(B)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Statistically significant results of univariate regression</w:t>
      </w:r>
      <w:r>
        <w:rPr>
          <w:rFonts w:hint="default" w:ascii="Times New Roman" w:hAnsi="Times New Roman" w:eastAsia="微软雅黑" w:cs="Times New Roman"/>
          <w:i/>
          <w:i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analysis and pseudo-time analysis.</w:t>
      </w:r>
    </w:p>
    <w:p>
      <w:pP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</w:pPr>
      <w:r>
        <w:rPr>
          <w:b w:val="0"/>
          <w:bCs w:val="0"/>
        </w:rPr>
        <w:t>Supplementary Fig</w:t>
      </w:r>
      <w:r>
        <w:rPr>
          <w:rFonts w:hint="eastAsia" w:eastAsia="宋体"/>
          <w:b w:val="0"/>
          <w:bCs w:val="0"/>
          <w:lang w:val="en-US" w:eastAsia="zh-CN"/>
        </w:rPr>
        <w:t xml:space="preserve">. </w:t>
      </w:r>
      <w:r>
        <w:rPr>
          <w:rFonts w:hint="eastAsia" w:eastAsia="微软雅黑" w:cs="Times New Roman"/>
          <w:b w:val="0"/>
          <w:bCs w:val="0"/>
          <w:color w:val="auto"/>
          <w:kern w:val="2"/>
          <w:sz w:val="24"/>
          <w:szCs w:val="24"/>
          <w:shd w:val="clear" w:fill="auto"/>
          <w:lang w:val="en-US" w:eastAsia="zh-CN" w:bidi="ar"/>
        </w:rPr>
        <w:t>3</w:t>
      </w:r>
      <w:r>
        <w:rPr>
          <w:rFonts w:hint="eastAsia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The </w:t>
      </w:r>
      <w:bookmarkStart w:id="4" w:name="OLE_LINK78"/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ODBSC</w:t>
      </w:r>
      <w:bookmarkEnd w:id="4"/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(SCI animal model) was constructed based on 34 key ODGs.</w:t>
      </w:r>
      <w:r>
        <w:rPr>
          <w:rFonts w:hint="eastAsia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</w:t>
      </w:r>
      <w:r>
        <w:rPr>
          <w:b/>
          <w:bCs/>
          <w:lang w:eastAsia="zh-CN" w:bidi="ar"/>
        </w:rPr>
        <w:t xml:space="preserve">(A) </w:t>
      </w:r>
      <w:r>
        <w:rPr>
          <w:lang w:eastAsia="zh-CN" w:bidi="ar"/>
        </w:rPr>
        <w:t xml:space="preserve">Identification of 3 consensus clusters using </w:t>
      </w:r>
      <w:r>
        <w:rPr>
          <w:bCs/>
          <w:lang w:eastAsia="zh-CN" w:bidi="ar"/>
        </w:rPr>
        <w:t>micro-array</w:t>
      </w:r>
      <w:r>
        <w:rPr>
          <w:lang w:eastAsia="zh-CN" w:bidi="ar"/>
        </w:rPr>
        <w:t xml:space="preserve"> data in GEO based on the expression of 34 PDEODGs. Corresponding heat map when </w:t>
      </w:r>
      <w:r>
        <w:rPr>
          <w:i/>
          <w:iCs/>
          <w:lang w:eastAsia="zh-CN" w:bidi="ar"/>
        </w:rPr>
        <w:t>k</w:t>
      </w:r>
      <w:r>
        <w:rPr>
          <w:lang w:eastAsia="zh-CN" w:bidi="ar"/>
        </w:rPr>
        <w:t xml:space="preserve"> = 3 was constructed with the samples represented by columns and rows. </w:t>
      </w:r>
      <w:bookmarkStart w:id="5" w:name="OLE_LINK73"/>
      <w:r>
        <w:rPr>
          <w:b/>
          <w:bCs/>
          <w:lang w:eastAsia="zh-CN" w:bidi="ar"/>
        </w:rPr>
        <w:t>(B)</w:t>
      </w:r>
      <w:bookmarkEnd w:id="5"/>
      <w:r>
        <w:rPr>
          <w:b/>
          <w:bCs/>
          <w:lang w:eastAsia="zh-CN" w:bidi="ar"/>
        </w:rPr>
        <w:t xml:space="preserve"> </w:t>
      </w:r>
      <w:r>
        <w:rPr>
          <w:lang w:eastAsia="zh-CN" w:bidi="ar"/>
        </w:rPr>
        <w:t xml:space="preserve">The delta area plot showed the relative change of area under the CDF curve when taking different </w:t>
      </w:r>
      <w:r>
        <w:rPr>
          <w:i/>
          <w:iCs/>
          <w:lang w:eastAsia="zh-CN" w:bidi="ar"/>
        </w:rPr>
        <w:t>k</w:t>
      </w:r>
      <w:r>
        <w:rPr>
          <w:lang w:eastAsia="zh-CN" w:bidi="ar"/>
        </w:rPr>
        <w:t xml:space="preserve"> values.</w:t>
      </w:r>
      <w:r>
        <w:rPr>
          <w:b/>
          <w:bCs/>
          <w:lang w:eastAsia="zh-CN" w:bidi="ar"/>
        </w:rPr>
        <w:t xml:space="preserve"> (C) </w:t>
      </w:r>
      <w:r>
        <w:rPr>
          <w:lang w:eastAsia="zh-CN" w:bidi="ar"/>
        </w:rPr>
        <w:t xml:space="preserve">The map showed the CDF curve with different </w:t>
      </w:r>
      <w:r>
        <w:rPr>
          <w:i/>
          <w:iCs/>
          <w:lang w:eastAsia="zh-CN" w:bidi="ar"/>
        </w:rPr>
        <w:t>k</w:t>
      </w:r>
      <w:r>
        <w:rPr>
          <w:lang w:eastAsia="zh-CN" w:bidi="ar"/>
        </w:rPr>
        <w:t xml:space="preserve"> values. </w:t>
      </w:r>
      <w:r>
        <w:rPr>
          <w:b/>
          <w:bCs/>
          <w:lang w:eastAsia="zh-CN" w:bidi="ar"/>
        </w:rPr>
        <w:t xml:space="preserve">(D) </w:t>
      </w:r>
      <w:r>
        <w:rPr>
          <w:lang w:eastAsia="zh-CN" w:bidi="ar"/>
        </w:rPr>
        <w:t>The cluster heat map showed the expression levels of 34 PDEODGs in 3 consensus clusters.</w:t>
      </w:r>
      <w:r>
        <w:rPr>
          <w:b/>
          <w:bCs/>
          <w:lang w:eastAsia="zh-CN" w:bidi="ar"/>
        </w:rPr>
        <w:t xml:space="preserve"> </w:t>
      </w:r>
      <w:bookmarkStart w:id="6" w:name="OLE_LINK71"/>
      <w:r>
        <w:rPr>
          <w:b/>
          <w:bCs/>
          <w:lang w:eastAsia="zh-CN" w:bidi="ar"/>
        </w:rPr>
        <w:t>(E)</w:t>
      </w:r>
      <w:bookmarkEnd w:id="6"/>
      <w:r>
        <w:rPr>
          <w:b/>
          <w:bCs/>
          <w:lang w:eastAsia="zh-CN" w:bidi="ar"/>
        </w:rPr>
        <w:t xml:space="preserve"> </w:t>
      </w:r>
      <w:r>
        <w:rPr>
          <w:lang w:eastAsia="zh-CN" w:bidi="ar"/>
        </w:rPr>
        <w:t>Pearson's chi-squared test demonstrated the proportions of time parameters varied significantly among 3 consensus clusters.</w:t>
      </w:r>
      <w:r>
        <w:rPr>
          <w:b/>
          <w:bCs/>
          <w:lang w:eastAsia="zh-CN" w:bidi="ar"/>
        </w:rPr>
        <w:t xml:space="preserve"> (F) </w:t>
      </w:r>
      <w:r>
        <w:rPr>
          <w:lang w:eastAsia="zh-CN" w:bidi="ar"/>
        </w:rPr>
        <w:t>Pearson's chi-squared test demonstrated the proportions of treatment parameters varied significantly among 3 consensus clusters.</w:t>
      </w:r>
    </w:p>
    <w:p>
      <w:pPr>
        <w:rPr>
          <w:lang w:eastAsia="zh-CN" w:bidi="ar"/>
        </w:rPr>
      </w:pPr>
      <w:r>
        <w:rPr>
          <w:b w:val="0"/>
          <w:bCs w:val="0"/>
        </w:rPr>
        <w:t>Supplementary Fig</w:t>
      </w:r>
      <w:r>
        <w:rPr>
          <w:rFonts w:hint="eastAsia" w:eastAsia="宋体"/>
          <w:b w:val="0"/>
          <w:bCs w:val="0"/>
          <w:lang w:val="en-US" w:eastAsia="zh-CN"/>
        </w:rPr>
        <w:t>. 4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The ODBSC (PBMC) was built based on 34 key DEGs</w:t>
      </w:r>
      <w:r>
        <w:rPr>
          <w:rFonts w:hint="eastAsia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.</w:t>
      </w:r>
      <w:r>
        <w:rPr>
          <w:lang w:eastAsia="zh-CN" w:bidi="ar"/>
        </w:rPr>
        <w:t xml:space="preserve"> </w:t>
      </w:r>
      <w:bookmarkStart w:id="7" w:name="OLE_LINK74"/>
      <w:r>
        <w:rPr>
          <w:b/>
          <w:bCs/>
          <w:lang w:eastAsia="zh-CN" w:bidi="ar"/>
        </w:rPr>
        <w:t>(A)</w:t>
      </w:r>
      <w:bookmarkEnd w:id="7"/>
      <w:r>
        <w:rPr>
          <w:b/>
          <w:bCs/>
          <w:lang w:eastAsia="zh-CN" w:bidi="ar"/>
        </w:rPr>
        <w:t xml:space="preserve"> </w:t>
      </w:r>
      <w:r>
        <w:rPr>
          <w:lang w:eastAsia="zh-CN" w:bidi="ar"/>
        </w:rPr>
        <w:t xml:space="preserve">Identification of 3 consensus clusters using RNA-seq data in GEO based on the expression of 34 PDEODGs. A corresponding heat map when </w:t>
      </w:r>
      <w:r>
        <w:rPr>
          <w:i/>
          <w:iCs/>
          <w:lang w:eastAsia="zh-CN" w:bidi="ar"/>
        </w:rPr>
        <w:t>k</w:t>
      </w:r>
      <w:r>
        <w:rPr>
          <w:lang w:eastAsia="zh-CN" w:bidi="ar"/>
        </w:rPr>
        <w:t xml:space="preserve"> = 3 was constructed with the samples represented by columns and rows. </w:t>
      </w:r>
      <w:r>
        <w:rPr>
          <w:b/>
          <w:bCs/>
          <w:lang w:eastAsia="zh-CN" w:bidi="ar"/>
        </w:rPr>
        <w:t xml:space="preserve">(B) </w:t>
      </w:r>
      <w:r>
        <w:rPr>
          <w:lang w:eastAsia="zh-CN" w:bidi="ar"/>
        </w:rPr>
        <w:t xml:space="preserve">The delta area plot showed the relative change of area under the CDF curve when taking different </w:t>
      </w:r>
      <w:r>
        <w:rPr>
          <w:i/>
          <w:iCs/>
          <w:lang w:eastAsia="zh-CN" w:bidi="ar"/>
        </w:rPr>
        <w:t>k</w:t>
      </w:r>
      <w:r>
        <w:rPr>
          <w:lang w:eastAsia="zh-CN" w:bidi="ar"/>
        </w:rPr>
        <w:t xml:space="preserve"> values.</w:t>
      </w:r>
      <w:r>
        <w:rPr>
          <w:b/>
          <w:bCs/>
          <w:lang w:eastAsia="zh-CN" w:bidi="ar"/>
        </w:rPr>
        <w:t xml:space="preserve"> (C)</w:t>
      </w:r>
      <w:r>
        <w:rPr>
          <w:lang w:eastAsia="zh-CN" w:bidi="ar"/>
        </w:rPr>
        <w:t xml:space="preserve">The map showed the CDF curve with different </w:t>
      </w:r>
      <w:r>
        <w:rPr>
          <w:i/>
          <w:iCs/>
          <w:lang w:eastAsia="zh-CN" w:bidi="ar"/>
        </w:rPr>
        <w:t>k</w:t>
      </w:r>
      <w:r>
        <w:rPr>
          <w:lang w:eastAsia="zh-CN" w:bidi="ar"/>
        </w:rPr>
        <w:t xml:space="preserve"> values. </w:t>
      </w:r>
      <w:r>
        <w:rPr>
          <w:b/>
          <w:bCs/>
          <w:lang w:eastAsia="zh-CN" w:bidi="ar"/>
        </w:rPr>
        <w:t xml:space="preserve">(D) </w:t>
      </w:r>
      <w:r>
        <w:rPr>
          <w:lang w:eastAsia="zh-CN" w:bidi="ar"/>
        </w:rPr>
        <w:t>The cluster heat map showed the expression levels of 34 PDEODGs in 3 consensus clusters.</w:t>
      </w:r>
      <w:r>
        <w:rPr>
          <w:b/>
          <w:bCs/>
          <w:lang w:eastAsia="zh-CN" w:bidi="ar"/>
        </w:rPr>
        <w:t xml:space="preserve"> (E) </w:t>
      </w:r>
      <w:r>
        <w:rPr>
          <w:lang w:eastAsia="zh-CN" w:bidi="ar"/>
        </w:rPr>
        <w:t xml:space="preserve">Pearson's chi-squared test demonstrated the proportions of 3-10 dpi AIS grades parameters varied significantly among 3 consensus clusters. </w:t>
      </w:r>
      <w:r>
        <w:rPr>
          <w:b/>
          <w:bCs/>
          <w:lang w:eastAsia="zh-CN" w:bidi="ar"/>
        </w:rPr>
        <w:t xml:space="preserve">(F) </w:t>
      </w:r>
      <w:r>
        <w:rPr>
          <w:lang w:eastAsia="zh-CN" w:bidi="ar"/>
        </w:rPr>
        <w:t>Pearson's chi-squared test demonstrated the proportions of group parameters varied significantly among 3 consensus clusters.</w:t>
      </w:r>
    </w:p>
    <w:p>
      <w:pP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</w:pPr>
      <w:r>
        <w:rPr>
          <w:b w:val="0"/>
          <w:bCs w:val="0"/>
        </w:rPr>
        <w:t>Supplementary Fig</w:t>
      </w:r>
      <w:r>
        <w:rPr>
          <w:rFonts w:hint="eastAsia" w:eastAsia="宋体"/>
          <w:b w:val="0"/>
          <w:bCs w:val="0"/>
          <w:lang w:val="en-US" w:eastAsia="zh-CN"/>
        </w:rPr>
        <w:t>.</w:t>
      </w:r>
      <w:bookmarkStart w:id="8" w:name="_GoBack"/>
      <w:bookmarkEnd w:id="8"/>
      <w:r>
        <w:rPr>
          <w:rFonts w:hint="eastAsia" w:eastAsia="宋体"/>
          <w:b w:val="0"/>
          <w:bCs w:val="0"/>
          <w:lang w:val="en-US" w:eastAsia="zh-CN"/>
        </w:rPr>
        <w:t xml:space="preserve"> </w:t>
      </w:r>
      <w:r>
        <w:rPr>
          <w:rFonts w:hint="eastAsia" w:eastAsia="微软雅黑" w:cs="Times New Roman"/>
          <w:b w:val="0"/>
          <w:bCs w:val="0"/>
          <w:color w:val="auto"/>
          <w:kern w:val="2"/>
          <w:sz w:val="24"/>
          <w:szCs w:val="24"/>
          <w:shd w:val="clear" w:fill="auto"/>
          <w:lang w:val="en-US" w:eastAsia="zh-CN" w:bidi="ar"/>
        </w:rPr>
        <w:t>5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Immune infiltration characteristics reflected by PCA ODC/OPC score.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(A)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The box plot showed statistical differences in immune cell infiltration degree of different consensus clusters. 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(B)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The co-expression heat map showed that PCA ODC/OPC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score was positively correlated with inflammatory cell infiltrates. </w:t>
      </w:r>
      <w:r>
        <w:rPr>
          <w:rFonts w:hint="default" w:ascii="Times New Roman" w:hAnsi="Times New Roman" w:eastAsia="微软雅黑" w:cs="Times New Roman"/>
          <w:b/>
          <w:bCs/>
          <w:color w:val="auto"/>
          <w:kern w:val="2"/>
          <w:sz w:val="24"/>
          <w:szCs w:val="24"/>
          <w:shd w:val="clear" w:fill="auto"/>
          <w:lang w:val="en-US" w:eastAsia="zh-CN" w:bidi="ar"/>
        </w:rPr>
        <w:t xml:space="preserve">(C) </w:t>
      </w:r>
      <w:r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  <w:t>The box plot showed expression levels of OLIGN1, MBP, and CNP in the low PCA ODC/OPC score group were significantly higher than the high PCA ODC/OPC score group.</w:t>
      </w:r>
    </w:p>
    <w:p>
      <w:pPr>
        <w:keepNext w:val="0"/>
        <w:keepLines w:val="0"/>
        <w:pageBreakBefore w:val="0"/>
        <w:widowControl w:val="0"/>
        <w:suppressLineNumbers w:val="0"/>
        <w:shd w:val="clear" w:fill="FC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left"/>
        <w:textAlignment w:val="auto"/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</w:pPr>
    </w:p>
    <w:p>
      <w:pPr>
        <w:pStyle w:val="17"/>
        <w:keepNext w:val="0"/>
        <w:keepLines w:val="0"/>
        <w:pageBreakBefore w:val="0"/>
        <w:widowControl w:val="0"/>
        <w:suppressLineNumbers w:val="0"/>
        <w:shd w:val="clear" w:fill="FCFDFE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0" w:firstLineChars="0"/>
        <w:jc w:val="left"/>
        <w:textAlignment w:val="auto"/>
        <w:rPr>
          <w:rFonts w:hint="default" w:ascii="Times New Roman" w:hAnsi="Times New Roman" w:eastAsia="微软雅黑" w:cs="Times New Roman"/>
          <w:color w:val="auto"/>
          <w:kern w:val="2"/>
          <w:sz w:val="24"/>
          <w:szCs w:val="24"/>
          <w:shd w:val="clear" w:fill="auto"/>
          <w:lang w:val="en-US" w:eastAsia="zh-CN" w:bidi="ar"/>
        </w:rPr>
      </w:pPr>
    </w:p>
    <w:p/>
    <w:p>
      <w:pPr>
        <w:keepNext/>
        <w:jc w:val="center"/>
      </w:pPr>
    </w:p>
    <w:sectPr>
      <w:headerReference r:id="rId6" w:type="first"/>
      <w:footerReference r:id="rId7" w:type="default"/>
      <w:headerReference r:id="rId5" w:type="even"/>
      <w:footerReference r:id="rId8" w:type="even"/>
      <w:pgSz w:w="12240" w:h="15840"/>
      <w:pgMar w:top="1138" w:right="1181" w:bottom="1138" w:left="1282" w:header="720" w:footer="720" w:gutter="0"/>
      <w:cols w:space="720" w:num="1"/>
      <w:titlePg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Rotis Sans Serif Std Light">
    <w:altName w:val="Calibri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b/>
        <w:sz w:val="2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3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56" o:spid="_x0000_s1026" o:spt="202" type="#_x0000_t202" style="position:absolute;left:0pt;margin-left:434.15pt;margin-top:726.5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BMV0Qi0gAAAAQBAAAPAAAAAAAAAAEAIAAAACIAAABkcnMvZG93bnJldi54bWxQSwEC&#10;FAAUAAAACACHTuJARAcAODMCAAB1BAAADgAAAAAAAAABACAAAAAhAQAAZHJzL2Uyb0RvYy54bWxQ&#10;SwUGAAAAAAYABgBZAQAAxgUAAAAA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3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val="en-GB" w:eastAsia="en-GB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434.15pt;margin-top:724.2pt;height:31.15pt;width:118.8pt;mso-position-horizontal-relative:page;mso-position-vertical-relative:page;z-index:251660288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attachedTemplate r:id="rId1"/>
  <w:documentProtection w:enforcement="0"/>
  <w:defaultTabStop w:val="720"/>
  <w:evenAndOddHeaders w:val="1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I0MzI0ZDBmMjBiMjRhNjNkODRlMzMwNjJkOGVjYzYifQ=="/>
  </w:docVars>
  <w:rsids>
    <w:rsidRoot w:val="00803D24"/>
    <w:rsid w:val="0001436A"/>
    <w:rsid w:val="00034304"/>
    <w:rsid w:val="00035434"/>
    <w:rsid w:val="00052A14"/>
    <w:rsid w:val="00077D53"/>
    <w:rsid w:val="00105FD9"/>
    <w:rsid w:val="00117666"/>
    <w:rsid w:val="001549D3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25102"/>
    <w:rsid w:val="00447801"/>
    <w:rsid w:val="00452E9C"/>
    <w:rsid w:val="004735C8"/>
    <w:rsid w:val="004961FF"/>
    <w:rsid w:val="00517A89"/>
    <w:rsid w:val="005250F2"/>
    <w:rsid w:val="005721CC"/>
    <w:rsid w:val="00593EEA"/>
    <w:rsid w:val="005A5EEE"/>
    <w:rsid w:val="006375C7"/>
    <w:rsid w:val="00654E8F"/>
    <w:rsid w:val="00660D05"/>
    <w:rsid w:val="006820B1"/>
    <w:rsid w:val="006B7D14"/>
    <w:rsid w:val="00701727"/>
    <w:rsid w:val="0070566C"/>
    <w:rsid w:val="00714C50"/>
    <w:rsid w:val="00725A7D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94A3D"/>
    <w:rsid w:val="009C2B12"/>
    <w:rsid w:val="009C70F3"/>
    <w:rsid w:val="009D2003"/>
    <w:rsid w:val="00A174D9"/>
    <w:rsid w:val="00A569CD"/>
    <w:rsid w:val="00AB6715"/>
    <w:rsid w:val="00B1671E"/>
    <w:rsid w:val="00B25EB8"/>
    <w:rsid w:val="00B354E1"/>
    <w:rsid w:val="00B37F4D"/>
    <w:rsid w:val="00C52A7B"/>
    <w:rsid w:val="00C56BAF"/>
    <w:rsid w:val="00C679AA"/>
    <w:rsid w:val="00C75972"/>
    <w:rsid w:val="00CC0A3A"/>
    <w:rsid w:val="00CD066B"/>
    <w:rsid w:val="00CE4FEE"/>
    <w:rsid w:val="00DB59C3"/>
    <w:rsid w:val="00DC259A"/>
    <w:rsid w:val="00DE23E8"/>
    <w:rsid w:val="00E52377"/>
    <w:rsid w:val="00E64E17"/>
    <w:rsid w:val="00E866C9"/>
    <w:rsid w:val="00EA3D3C"/>
    <w:rsid w:val="00F46900"/>
    <w:rsid w:val="00F61D89"/>
    <w:rsid w:val="02607427"/>
    <w:rsid w:val="07636835"/>
    <w:rsid w:val="0D3E556D"/>
    <w:rsid w:val="278816F7"/>
    <w:rsid w:val="33A87367"/>
    <w:rsid w:val="3A727207"/>
    <w:rsid w:val="3EBE601B"/>
    <w:rsid w:val="4622744D"/>
    <w:rsid w:val="5A2C0443"/>
    <w:rsid w:val="5E665566"/>
    <w:rsid w:val="5E6F39FA"/>
    <w:rsid w:val="68F61578"/>
    <w:rsid w:val="6B194EDF"/>
    <w:rsid w:val="747573D2"/>
    <w:rsid w:val="75AE5089"/>
    <w:rsid w:val="7D074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nhideWhenUsed="0" w:uiPriority="2" w:semiHidden="0" w:name="heading 3"/>
    <w:lsdException w:qFormat="1" w:unhideWhenUsed="0" w:uiPriority="2" w:semiHidden="0" w:name="heading 4"/>
    <w:lsdException w:qFormat="1" w:unhideWhenUsed="0" w:uiPriority="2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iPriority="99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qFormat="1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spacing w:before="120" w:after="24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link w:val="31"/>
    <w:autoRedefine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link w:val="32"/>
    <w:autoRedefine/>
    <w:qFormat/>
    <w:uiPriority w:val="2"/>
    <w:pPr>
      <w:numPr>
        <w:ilvl w:val="1"/>
      </w:numPr>
      <w:spacing w:after="200"/>
      <w:outlineLvl w:val="1"/>
    </w:pPr>
  </w:style>
  <w:style w:type="paragraph" w:styleId="5">
    <w:name w:val="heading 3"/>
    <w:basedOn w:val="1"/>
    <w:next w:val="1"/>
    <w:link w:val="45"/>
    <w:autoRedefine/>
    <w:qFormat/>
    <w:uiPriority w:val="2"/>
    <w:pPr>
      <w:keepNext/>
      <w:keepLines/>
      <w:numPr>
        <w:ilvl w:val="2"/>
        <w:numId w:val="1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6">
    <w:name w:val="heading 4"/>
    <w:basedOn w:val="5"/>
    <w:next w:val="1"/>
    <w:link w:val="46"/>
    <w:autoRedefine/>
    <w:qFormat/>
    <w:uiPriority w:val="2"/>
    <w:pPr>
      <w:numPr>
        <w:ilvl w:val="3"/>
      </w:numPr>
      <w:outlineLvl w:val="3"/>
    </w:pPr>
    <w:rPr>
      <w:iCs/>
    </w:rPr>
  </w:style>
  <w:style w:type="paragraph" w:styleId="7">
    <w:name w:val="heading 5"/>
    <w:basedOn w:val="6"/>
    <w:next w:val="1"/>
    <w:link w:val="47"/>
    <w:autoRedefine/>
    <w:qFormat/>
    <w:uiPriority w:val="2"/>
    <w:pPr>
      <w:numPr>
        <w:ilvl w:val="4"/>
      </w:numPr>
      <w:outlineLvl w:val="4"/>
    </w:pPr>
  </w:style>
  <w:style w:type="character" w:default="1" w:styleId="22">
    <w:name w:val="Default Paragraph Font"/>
    <w:autoRedefine/>
    <w:semiHidden/>
    <w:unhideWhenUsed/>
    <w:qFormat/>
    <w:uiPriority w:val="1"/>
  </w:style>
  <w:style w:type="table" w:default="1" w:styleId="20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autoRedefine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8">
    <w:name w:val="caption"/>
    <w:basedOn w:val="1"/>
    <w:next w:val="9"/>
    <w:autoRedefine/>
    <w:unhideWhenUsed/>
    <w:qFormat/>
    <w:uiPriority w:val="35"/>
    <w:pPr>
      <w:keepNext/>
    </w:pPr>
    <w:rPr>
      <w:rFonts w:cs="Times New Roman"/>
      <w:b/>
      <w:bCs/>
      <w:szCs w:val="24"/>
    </w:rPr>
  </w:style>
  <w:style w:type="paragraph" w:styleId="9">
    <w:name w:val="No Spacing"/>
    <w:autoRedefine/>
    <w:unhideWhenUsed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10">
    <w:name w:val="annotation text"/>
    <w:basedOn w:val="1"/>
    <w:link w:val="37"/>
    <w:autoRedefine/>
    <w:semiHidden/>
    <w:unhideWhenUsed/>
    <w:qFormat/>
    <w:uiPriority w:val="99"/>
    <w:rPr>
      <w:sz w:val="20"/>
      <w:szCs w:val="20"/>
    </w:rPr>
  </w:style>
  <w:style w:type="paragraph" w:styleId="11">
    <w:name w:val="endnote text"/>
    <w:basedOn w:val="1"/>
    <w:link w:val="39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2">
    <w:name w:val="Balloon Text"/>
    <w:basedOn w:val="1"/>
    <w:link w:val="35"/>
    <w:autoRedefine/>
    <w:semiHidden/>
    <w:unhideWhenUsed/>
    <w:qFormat/>
    <w:uiPriority w:val="99"/>
    <w:pPr>
      <w:spacing w:after="0"/>
    </w:pPr>
    <w:rPr>
      <w:rFonts w:ascii="Tahoma" w:hAnsi="Tahoma" w:cs="Tahoma"/>
      <w:sz w:val="16"/>
      <w:szCs w:val="16"/>
    </w:rPr>
  </w:style>
  <w:style w:type="paragraph" w:styleId="13">
    <w:name w:val="footer"/>
    <w:basedOn w:val="1"/>
    <w:link w:val="40"/>
    <w:autoRedefine/>
    <w:unhideWhenUsed/>
    <w:qFormat/>
    <w:uiPriority w:val="99"/>
    <w:pPr>
      <w:tabs>
        <w:tab w:val="center" w:pos="4844"/>
        <w:tab w:val="right" w:pos="9689"/>
      </w:tabs>
      <w:spacing w:after="0"/>
    </w:pPr>
  </w:style>
  <w:style w:type="paragraph" w:styleId="14">
    <w:name w:val="header"/>
    <w:basedOn w:val="1"/>
    <w:link w:val="42"/>
    <w:autoRedefine/>
    <w:unhideWhenUsed/>
    <w:qFormat/>
    <w:uiPriority w:val="99"/>
    <w:pPr>
      <w:tabs>
        <w:tab w:val="center" w:pos="4844"/>
        <w:tab w:val="right" w:pos="9689"/>
      </w:tabs>
    </w:pPr>
    <w:rPr>
      <w:b/>
    </w:rPr>
  </w:style>
  <w:style w:type="paragraph" w:styleId="15">
    <w:name w:val="Subtitle"/>
    <w:basedOn w:val="1"/>
    <w:next w:val="1"/>
    <w:link w:val="33"/>
    <w:autoRedefine/>
    <w:unhideWhenUsed/>
    <w:qFormat/>
    <w:uiPriority w:val="99"/>
    <w:pPr>
      <w:spacing w:before="240"/>
    </w:pPr>
    <w:rPr>
      <w:rFonts w:cs="Times New Roman"/>
      <w:b/>
      <w:szCs w:val="24"/>
    </w:rPr>
  </w:style>
  <w:style w:type="paragraph" w:styleId="16">
    <w:name w:val="footnote text"/>
    <w:basedOn w:val="1"/>
    <w:link w:val="41"/>
    <w:autoRedefine/>
    <w:semiHidden/>
    <w:unhideWhenUsed/>
    <w:qFormat/>
    <w:uiPriority w:val="99"/>
    <w:pPr>
      <w:spacing w:after="0"/>
    </w:pPr>
    <w:rPr>
      <w:sz w:val="20"/>
      <w:szCs w:val="20"/>
    </w:rPr>
  </w:style>
  <w:style w:type="paragraph" w:styleId="17">
    <w:name w:val="Normal (Web)"/>
    <w:basedOn w:val="1"/>
    <w:autoRedefine/>
    <w:unhideWhenUsed/>
    <w:qFormat/>
    <w:uiPriority w:val="99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18">
    <w:name w:val="Title"/>
    <w:basedOn w:val="1"/>
    <w:next w:val="1"/>
    <w:link w:val="51"/>
    <w:autoRedefine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paragraph" w:styleId="19">
    <w:name w:val="annotation subject"/>
    <w:basedOn w:val="10"/>
    <w:next w:val="10"/>
    <w:link w:val="38"/>
    <w:autoRedefine/>
    <w:semiHidden/>
    <w:unhideWhenUsed/>
    <w:qFormat/>
    <w:uiPriority w:val="99"/>
    <w:rPr>
      <w:b/>
      <w:bCs/>
    </w:rPr>
  </w:style>
  <w:style w:type="table" w:styleId="21">
    <w:name w:val="Table Grid"/>
    <w:basedOn w:val="20"/>
    <w:autoRedefine/>
    <w:qFormat/>
    <w:uiPriority w:val="59"/>
    <w:pPr>
      <w:spacing w:after="0" w:line="240" w:lineRule="auto"/>
    </w:pPr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3">
    <w:name w:val="Strong"/>
    <w:basedOn w:val="22"/>
    <w:autoRedefine/>
    <w:qFormat/>
    <w:uiPriority w:val="22"/>
    <w:rPr>
      <w:rFonts w:ascii="Times New Roman" w:hAnsi="Times New Roman"/>
      <w:b/>
      <w:bCs/>
    </w:rPr>
  </w:style>
  <w:style w:type="character" w:styleId="24">
    <w:name w:val="endnote reference"/>
    <w:basedOn w:val="22"/>
    <w:autoRedefine/>
    <w:semiHidden/>
    <w:unhideWhenUsed/>
    <w:qFormat/>
    <w:uiPriority w:val="99"/>
    <w:rPr>
      <w:vertAlign w:val="superscript"/>
    </w:rPr>
  </w:style>
  <w:style w:type="character" w:styleId="25">
    <w:name w:val="FollowedHyperlink"/>
    <w:basedOn w:val="22"/>
    <w:autoRedefine/>
    <w:semiHidden/>
    <w:unhideWhenUsed/>
    <w:qFormat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26">
    <w:name w:val="Emphasis"/>
    <w:basedOn w:val="22"/>
    <w:autoRedefine/>
    <w:qFormat/>
    <w:uiPriority w:val="20"/>
    <w:rPr>
      <w:rFonts w:ascii="Times New Roman" w:hAnsi="Times New Roman"/>
      <w:i/>
      <w:iCs/>
    </w:rPr>
  </w:style>
  <w:style w:type="character" w:styleId="27">
    <w:name w:val="line number"/>
    <w:basedOn w:val="22"/>
    <w:autoRedefine/>
    <w:semiHidden/>
    <w:unhideWhenUsed/>
    <w:qFormat/>
    <w:uiPriority w:val="99"/>
  </w:style>
  <w:style w:type="character" w:styleId="28">
    <w:name w:val="Hyperlink"/>
    <w:basedOn w:val="22"/>
    <w:autoRedefine/>
    <w:unhideWhenUsed/>
    <w:qFormat/>
    <w:uiPriority w:val="99"/>
    <w:rPr>
      <w:color w:val="0000FF"/>
      <w:u w:val="single"/>
    </w:rPr>
  </w:style>
  <w:style w:type="character" w:styleId="29">
    <w:name w:val="annotation reference"/>
    <w:basedOn w:val="22"/>
    <w:autoRedefine/>
    <w:semiHidden/>
    <w:unhideWhenUsed/>
    <w:qFormat/>
    <w:uiPriority w:val="99"/>
    <w:rPr>
      <w:sz w:val="16"/>
      <w:szCs w:val="16"/>
    </w:rPr>
  </w:style>
  <w:style w:type="character" w:styleId="30">
    <w:name w:val="footnote reference"/>
    <w:basedOn w:val="22"/>
    <w:autoRedefine/>
    <w:semiHidden/>
    <w:unhideWhenUsed/>
    <w:qFormat/>
    <w:uiPriority w:val="99"/>
    <w:rPr>
      <w:vertAlign w:val="superscript"/>
    </w:rPr>
  </w:style>
  <w:style w:type="character" w:customStyle="1" w:styleId="31">
    <w:name w:val="Heading 1 Char"/>
    <w:basedOn w:val="22"/>
    <w:link w:val="2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2">
    <w:name w:val="Heading 2 Char"/>
    <w:basedOn w:val="22"/>
    <w:link w:val="4"/>
    <w:autoRedefine/>
    <w:qFormat/>
    <w:uiPriority w:val="2"/>
    <w:rPr>
      <w:rFonts w:ascii="Times New Roman" w:hAnsi="Times New Roman" w:eastAsia="Cambria" w:cs="Times New Roman"/>
      <w:b/>
      <w:sz w:val="24"/>
      <w:szCs w:val="24"/>
    </w:rPr>
  </w:style>
  <w:style w:type="character" w:customStyle="1" w:styleId="33">
    <w:name w:val="Subtitle Char"/>
    <w:basedOn w:val="22"/>
    <w:link w:val="15"/>
    <w:autoRedefine/>
    <w:qFormat/>
    <w:uiPriority w:val="99"/>
    <w:rPr>
      <w:rFonts w:ascii="Times New Roman" w:hAnsi="Times New Roman" w:cs="Times New Roman"/>
      <w:b/>
      <w:sz w:val="24"/>
      <w:szCs w:val="24"/>
    </w:rPr>
  </w:style>
  <w:style w:type="paragraph" w:customStyle="1" w:styleId="34">
    <w:name w:val="Author List"/>
    <w:basedOn w:val="15"/>
    <w:next w:val="1"/>
    <w:autoRedefine/>
    <w:qFormat/>
    <w:uiPriority w:val="1"/>
  </w:style>
  <w:style w:type="character" w:customStyle="1" w:styleId="35">
    <w:name w:val="Balloon Text Char"/>
    <w:basedOn w:val="22"/>
    <w:link w:val="12"/>
    <w:autoRedefine/>
    <w:semiHidden/>
    <w:qFormat/>
    <w:uiPriority w:val="99"/>
    <w:rPr>
      <w:rFonts w:ascii="Tahoma" w:hAnsi="Tahoma" w:cs="Tahoma"/>
      <w:sz w:val="16"/>
      <w:szCs w:val="16"/>
    </w:rPr>
  </w:style>
  <w:style w:type="character" w:customStyle="1" w:styleId="36">
    <w:name w:val="Book Title"/>
    <w:basedOn w:val="22"/>
    <w:autoRedefine/>
    <w:qFormat/>
    <w:uiPriority w:val="33"/>
    <w:rPr>
      <w:rFonts w:ascii="Times New Roman" w:hAnsi="Times New Roman"/>
      <w:b/>
      <w:bCs/>
      <w:i/>
      <w:iCs/>
      <w:spacing w:val="5"/>
    </w:rPr>
  </w:style>
  <w:style w:type="character" w:customStyle="1" w:styleId="37">
    <w:name w:val="Comment Text Char"/>
    <w:basedOn w:val="22"/>
    <w:link w:val="10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38">
    <w:name w:val="Comment Subject Char"/>
    <w:basedOn w:val="37"/>
    <w:link w:val="19"/>
    <w:autoRedefine/>
    <w:semiHidden/>
    <w:qFormat/>
    <w:uiPriority w:val="99"/>
    <w:rPr>
      <w:rFonts w:ascii="Times New Roman" w:hAnsi="Times New Roman"/>
      <w:b/>
      <w:bCs/>
      <w:sz w:val="20"/>
      <w:szCs w:val="20"/>
    </w:rPr>
  </w:style>
  <w:style w:type="character" w:customStyle="1" w:styleId="39">
    <w:name w:val="Endnote Text Char"/>
    <w:basedOn w:val="22"/>
    <w:link w:val="11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0">
    <w:name w:val="Footer Char"/>
    <w:basedOn w:val="22"/>
    <w:link w:val="13"/>
    <w:autoRedefine/>
    <w:qFormat/>
    <w:uiPriority w:val="99"/>
    <w:rPr>
      <w:rFonts w:ascii="Times New Roman" w:hAnsi="Times New Roman"/>
      <w:sz w:val="24"/>
    </w:rPr>
  </w:style>
  <w:style w:type="character" w:customStyle="1" w:styleId="41">
    <w:name w:val="Footnote Text Char"/>
    <w:basedOn w:val="22"/>
    <w:link w:val="16"/>
    <w:autoRedefine/>
    <w:semiHidden/>
    <w:qFormat/>
    <w:uiPriority w:val="99"/>
    <w:rPr>
      <w:rFonts w:ascii="Times New Roman" w:hAnsi="Times New Roman"/>
      <w:sz w:val="20"/>
      <w:szCs w:val="20"/>
    </w:rPr>
  </w:style>
  <w:style w:type="character" w:customStyle="1" w:styleId="42">
    <w:name w:val="Header Char"/>
    <w:basedOn w:val="22"/>
    <w:link w:val="14"/>
    <w:autoRedefine/>
    <w:qFormat/>
    <w:uiPriority w:val="99"/>
    <w:rPr>
      <w:rFonts w:ascii="Times New Roman" w:hAnsi="Times New Roman"/>
      <w:b/>
      <w:sz w:val="24"/>
    </w:rPr>
  </w:style>
  <w:style w:type="character" w:customStyle="1" w:styleId="43">
    <w:name w:val="Intense Emphasis"/>
    <w:basedOn w:val="22"/>
    <w:autoRedefine/>
    <w:unhideWhenUsed/>
    <w:qFormat/>
    <w:uiPriority w:val="21"/>
    <w:rPr>
      <w:rFonts w:ascii="Times New Roman" w:hAnsi="Times New Roman"/>
      <w:i/>
      <w:iCs/>
      <w:color w:val="auto"/>
    </w:rPr>
  </w:style>
  <w:style w:type="character" w:customStyle="1" w:styleId="44">
    <w:name w:val="Intense Reference"/>
    <w:basedOn w:val="22"/>
    <w:autoRedefine/>
    <w:qFormat/>
    <w:uiPriority w:val="32"/>
    <w:rPr>
      <w:b/>
      <w:bCs/>
      <w:smallCaps/>
      <w:color w:val="auto"/>
      <w:spacing w:val="5"/>
    </w:rPr>
  </w:style>
  <w:style w:type="character" w:customStyle="1" w:styleId="45">
    <w:name w:val="Heading 3 Char"/>
    <w:basedOn w:val="22"/>
    <w:link w:val="5"/>
    <w:autoRedefine/>
    <w:qFormat/>
    <w:uiPriority w:val="2"/>
    <w:rPr>
      <w:rFonts w:ascii="Times New Roman" w:hAnsi="Times New Roman" w:eastAsiaTheme="majorEastAsia" w:cstheme="majorBidi"/>
      <w:b/>
      <w:sz w:val="24"/>
      <w:szCs w:val="24"/>
    </w:rPr>
  </w:style>
  <w:style w:type="character" w:customStyle="1" w:styleId="46">
    <w:name w:val="Heading 4 Char"/>
    <w:basedOn w:val="22"/>
    <w:link w:val="6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character" w:customStyle="1" w:styleId="47">
    <w:name w:val="Heading 5 Char"/>
    <w:basedOn w:val="22"/>
    <w:link w:val="7"/>
    <w:autoRedefine/>
    <w:qFormat/>
    <w:uiPriority w:val="2"/>
    <w:rPr>
      <w:rFonts w:ascii="Times New Roman" w:hAnsi="Times New Roman" w:eastAsiaTheme="majorEastAsia" w:cstheme="majorBidi"/>
      <w:b/>
      <w:iCs/>
      <w:sz w:val="24"/>
      <w:szCs w:val="24"/>
    </w:rPr>
  </w:style>
  <w:style w:type="paragraph" w:styleId="48">
    <w:name w:val="Quote"/>
    <w:basedOn w:val="1"/>
    <w:next w:val="1"/>
    <w:link w:val="49"/>
    <w:autoRedefine/>
    <w:qFormat/>
    <w:uiPriority w:val="29"/>
    <w:pPr>
      <w:spacing w:before="200" w:after="160"/>
      <w:ind w:left="864" w:right="864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49">
    <w:name w:val="Quote Char"/>
    <w:basedOn w:val="22"/>
    <w:link w:val="48"/>
    <w:autoRedefine/>
    <w:qFormat/>
    <w:uiPriority w:val="29"/>
    <w:rPr>
      <w:rFonts w:ascii="Times New Roman" w:hAnsi="Times New Roman"/>
      <w:i/>
      <w:iCs/>
      <w:color w:val="404040" w:themeColor="text1" w:themeTint="BF"/>
      <w:sz w:val="24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0">
    <w:name w:val="Subtle Emphasis"/>
    <w:basedOn w:val="22"/>
    <w:autoRedefine/>
    <w:qFormat/>
    <w:uiPriority w:val="19"/>
    <w:rPr>
      <w:rFonts w:ascii="Times New Roman" w:hAnsi="Times New Roman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51">
    <w:name w:val="Title Char"/>
    <w:basedOn w:val="22"/>
    <w:link w:val="18"/>
    <w:autoRedefine/>
    <w:qFormat/>
    <w:uiPriority w:val="0"/>
    <w:rPr>
      <w:rFonts w:ascii="Times New Roman" w:hAnsi="Times New Roman" w:cs="Times New Roman"/>
      <w:b/>
      <w:sz w:val="32"/>
      <w:szCs w:val="32"/>
    </w:rPr>
  </w:style>
  <w:style w:type="paragraph" w:customStyle="1" w:styleId="52">
    <w:name w:val="Supplementary Material"/>
    <w:basedOn w:val="18"/>
    <w:next w:val="18"/>
    <w:autoRedefine/>
    <w:qFormat/>
    <w:uiPriority w:val="0"/>
    <w:pPr>
      <w:spacing w:after="120"/>
    </w:pPr>
    <w:rPr>
      <w:i/>
    </w:rPr>
  </w:style>
  <w:style w:type="paragraph" w:customStyle="1" w:styleId="53">
    <w:name w:val="Revision"/>
    <w:autoRedefine/>
    <w:hidden/>
    <w:semiHidden/>
    <w:qFormat/>
    <w:uiPriority w:val="99"/>
    <w:pPr>
      <w:spacing w:after="0" w:line="240" w:lineRule="auto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table" w:customStyle="1" w:styleId="54">
    <w:name w:val="三线表1"/>
    <w:basedOn w:val="20"/>
    <w:autoRedefine/>
    <w:qFormat/>
    <w:uiPriority w:val="99"/>
    <w:tblPr>
      <w:tblBorders>
        <w:top w:val="single" w:color="auto" w:sz="12" w:space="0"/>
        <w:bottom w:val="single" w:color="auto" w:sz="12" w:space="0"/>
      </w:tblBorders>
    </w:tblPr>
    <w:tblStylePr w:type="firstRow">
      <w:tcPr>
        <w:tcBorders>
          <w:top w:val="single" w:color="auto" w:sz="12" w:space="0"/>
          <w:left w:val="nil"/>
          <w:bottom w:val="single" w:color="auto" w:sz="6" w:space="0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55">
    <w:name w:val="Table_Head"/>
    <w:basedOn w:val="56"/>
    <w:autoRedefine/>
    <w:qFormat/>
    <w:uiPriority w:val="0"/>
    <w:rPr>
      <w:b/>
    </w:rPr>
  </w:style>
  <w:style w:type="paragraph" w:customStyle="1" w:styleId="56">
    <w:name w:val="Table_Body"/>
    <w:basedOn w:val="1"/>
    <w:autoRedefine/>
    <w:qFormat/>
    <w:uiPriority w:val="0"/>
    <w:pPr>
      <w:widowControl/>
      <w:spacing w:line="210" w:lineRule="exact"/>
      <w:jc w:val="left"/>
    </w:pPr>
    <w:rPr>
      <w:rFonts w:ascii="Rotis Sans Serif Std Light" w:hAnsi="Rotis Sans Serif Std Light" w:eastAsia="Times New Roman"/>
      <w:kern w:val="0"/>
      <w:sz w:val="17"/>
      <w:szCs w:val="20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6.xml"/><Relationship Id="rId15" Type="http://schemas.openxmlformats.org/officeDocument/2006/relationships/customXml" Target="../customXml/item5.xml"/><Relationship Id="rId14" Type="http://schemas.openxmlformats.org/officeDocument/2006/relationships/customXml" Target="../customXml/item4.xml"/><Relationship Id="rId13" Type="http://schemas.openxmlformats.org/officeDocument/2006/relationships/customXml" Target="../customXml/item3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6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FF441E3-103C-4487-877D-08CD22337C19}">
  <ds:schemaRefs/>
</ds:datastoreItem>
</file>

<file path=customXml/itemProps3.xml><?xml version="1.0" encoding="utf-8"?>
<ds:datastoreItem xmlns:ds="http://schemas.openxmlformats.org/officeDocument/2006/customXml" ds:itemID="{114314AF-3C36-4C2C-B599-40A76C6FFFC1}">
  <ds:schemaRefs/>
</ds:datastoreItem>
</file>

<file path=customXml/itemProps4.xml><?xml version="1.0" encoding="utf-8"?>
<ds:datastoreItem xmlns:ds="http://schemas.openxmlformats.org/officeDocument/2006/customXml" ds:itemID="{2558679B-78FB-42CD-A1EA-A99096AF5568}">
  <ds:schemaRefs/>
</ds:datastoreItem>
</file>

<file path=customXml/itemProps5.xml><?xml version="1.0" encoding="utf-8"?>
<ds:datastoreItem xmlns:ds="http://schemas.openxmlformats.org/officeDocument/2006/customXml" ds:itemID="{4B2E0E22-D442-4EBE-AAA2-EDC8871E7B41}">
  <ds:schemaRefs/>
</ds:datastoreItem>
</file>

<file path=customXml/itemProps6.xml><?xml version="1.0" encoding="utf-8"?>
<ds:datastoreItem xmlns:ds="http://schemas.openxmlformats.org/officeDocument/2006/customXml" ds:itemID="{A3D4929F-83D0-432F-8F82-6D4423C25F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Pages>1</Pages>
  <Words>142</Words>
  <Characters>810</Characters>
  <Lines>6</Lines>
  <Paragraphs>1</Paragraphs>
  <TotalTime>0</TotalTime>
  <ScaleCrop>false</ScaleCrop>
  <LinksUpToDate>false</LinksUpToDate>
  <CharactersWithSpaces>951</CharactersWithSpaces>
  <Application>WPS Office_12.1.0.16250_F1E327BC-269C-435d-A152-05C5408002CA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2024-06-25T06:35:00Z</dcterms:created>
  <dc:creator>Frontiers</dc:creator>
  <cp:lastModifiedBy>晓知川言</cp:lastModifiedBy>
  <cp:lastPrinted>2013-10-03T12:51:00Z</cp:lastPrinted>
  <dcterms:modified xsi:type="dcterms:W3CDTF">2024-10-11T03:08:31Z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  <property fmtid="{D5CDD505-2E9C-101B-9397-08002B2CF9AE}" pid="10" name="KSOProductBuildVer">
    <vt:lpwstr>2052-12.1.0.16250</vt:lpwstr>
  </property>
  <property fmtid="{D5CDD505-2E9C-101B-9397-08002B2CF9AE}" pid="11" name="ICV">
    <vt:lpwstr>9079F687D571492BB370E7BB3DBCA265_13</vt:lpwstr>
  </property>
</Properties>
</file>