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AE5064">
      <w:pPr>
        <w:rPr>
          <w:rFonts w:hint="eastAsia"/>
          <w:b/>
          <w:bCs/>
        </w:rPr>
      </w:pPr>
      <w:r>
        <w:rPr>
          <w:b/>
          <w:bCs/>
        </w:rPr>
        <w:t>Supplemental Figure and Figure lengenth</w:t>
      </w:r>
    </w:p>
    <w:p w14:paraId="134EDC21">
      <w:pPr>
        <w:rPr>
          <w:b/>
          <w:bCs/>
          <w:i w:val="0"/>
          <w:iCs w:val="0"/>
        </w:rPr>
      </w:pPr>
      <w:r>
        <w:rPr>
          <w:b/>
          <w:bCs/>
          <w:i w:val="0"/>
          <w:iCs w:val="0"/>
        </w:rPr>
        <w:t xml:space="preserve">Fig. S1 PDIA6 is highly expressed in ESCC </w:t>
      </w:r>
    </w:p>
    <w:p w14:paraId="535FA29F">
      <w:pPr>
        <w:rPr>
          <w:b/>
          <w:lang w:bidi="ar"/>
        </w:rPr>
      </w:pPr>
      <w:r>
        <w:t>(A) Analyzing</w:t>
      </w:r>
      <w:r>
        <w:rPr>
          <w:rFonts w:hint="eastAsia"/>
        </w:rPr>
        <w:t xml:space="preserve"> </w:t>
      </w:r>
      <w:r>
        <w:t xml:space="preserve">PDIA6 protein levels in various pathological gradings. </w:t>
      </w:r>
      <w:r>
        <w:rPr>
          <w:b/>
          <w:lang w:bidi="ar"/>
        </w:rPr>
        <w:t>(B)</w:t>
      </w:r>
      <w:r>
        <w:t xml:space="preserve"> Quantification analysis of PDIA6 protein levels in 124 ESCC tissues.</w:t>
      </w:r>
      <w:r>
        <w:rPr>
          <w:b/>
          <w:lang w:bidi="ar"/>
        </w:rPr>
        <w:t xml:space="preserve"> (C)</w:t>
      </w:r>
      <w:r>
        <w:t xml:space="preserve"> The analysis of PDIA6 protein levels in 124 paired ESCC tissues.</w:t>
      </w:r>
      <w:r>
        <w:rPr>
          <w:b/>
          <w:lang w:bidi="ar"/>
        </w:rPr>
        <w:t xml:space="preserve"> </w:t>
      </w:r>
    </w:p>
    <w:p w14:paraId="16EE964A"/>
    <w:p w14:paraId="5A085745">
      <w:pPr>
        <w:rPr>
          <w:b/>
          <w:bCs/>
        </w:rPr>
      </w:pPr>
      <w:r>
        <w:rPr>
          <w:b/>
          <w:bCs/>
        </w:rPr>
        <w:t>Fig. S2 Rescuing PDIA6 in sgPDIA6 ESCC cells promotes cell proliferation.</w:t>
      </w:r>
    </w:p>
    <w:p w14:paraId="0D08C95C">
      <w:r>
        <w:t xml:space="preserve">The rescue efficiency of PDIA6 was evaluated in KYSE30 cells with PDIA6 knocked out using Western blot analysis. (B) The rescue efficiency of PDIA6 was evaluated in KYSE70 cells with PDIA6 knocked out using Western blot. </w:t>
      </w:r>
    </w:p>
    <w:p w14:paraId="2521995A"/>
    <w:p w14:paraId="1504DDC0">
      <w:pPr>
        <w:rPr>
          <w:b/>
          <w:bCs/>
        </w:rPr>
      </w:pPr>
      <w:r>
        <w:rPr>
          <w:b/>
          <w:bCs/>
        </w:rPr>
        <w:t xml:space="preserve">Fig. S3 PDIA6 increases the stability of TRAF4. </w:t>
      </w:r>
    </w:p>
    <w:p w14:paraId="76BBD03C">
      <w:r>
        <w:t xml:space="preserve">Representative images showing where PDIA6 (in red), TRAF4 (in green), and the nucleus (in blue) was located within cells. </w:t>
      </w:r>
    </w:p>
    <w:p w14:paraId="1E308490"/>
    <w:p w14:paraId="465A380B">
      <w:pPr>
        <w:rPr>
          <w:b/>
          <w:bCs/>
        </w:rPr>
      </w:pPr>
      <w:r>
        <w:rPr>
          <w:b/>
          <w:bCs/>
        </w:rPr>
        <w:t>Fig. S4 The information of LEG110</w:t>
      </w:r>
    </w:p>
    <w:p w14:paraId="60E35429">
      <w:r>
        <w:rPr>
          <w:b w:val="0"/>
          <w:bCs/>
        </w:rPr>
        <w:t>(A)</w:t>
      </w:r>
      <w:r>
        <w:t xml:space="preserve"> The expression level of PDIA6 in PDX models. </w:t>
      </w:r>
      <w:r>
        <w:rPr>
          <w:b w:val="0"/>
          <w:bCs/>
        </w:rPr>
        <w:t>(B)</w:t>
      </w:r>
      <w:r>
        <w:rPr>
          <w:bCs/>
        </w:rPr>
        <w:t xml:space="preserve"> </w:t>
      </w:r>
      <w:r>
        <w:t xml:space="preserve">The clinical information of LEG110. </w:t>
      </w:r>
    </w:p>
    <w:p w14:paraId="1EB323ED">
      <w:pPr>
        <w:rPr>
          <w:rFonts w:hint="eastAsia"/>
        </w:rPr>
      </w:pPr>
    </w:p>
    <w:p w14:paraId="36F06241">
      <w:bookmarkStart w:id="0" w:name="_GoBack"/>
      <w:bookmarkEnd w:id="0"/>
    </w:p>
    <w:sectPr>
      <w:pgSz w:w="11906" w:h="16838"/>
      <w:pgMar w:top="1440" w:right="1797" w:bottom="1440" w:left="1797" w:header="851" w:footer="992" w:gutter="0"/>
      <w:lnNumType w:countBy="1" w:restart="continuous"/>
      <w:cols w:space="425" w:num="1"/>
      <w:docGrid w:type="line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480" w:lineRule="auto"/>
      </w:pPr>
      <w:r>
        <w:separator/>
      </w:r>
    </w:p>
  </w:footnote>
  <w:footnote w:type="continuationSeparator" w:id="1">
    <w:p>
      <w:pPr>
        <w:spacing w:line="48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JlOWQ0Yzg0ZjNmZWRhNWYxMmYyYTdlZDMzNzdkZDMifQ=="/>
  </w:docVars>
  <w:rsids>
    <w:rsidRoot w:val="51232F39"/>
    <w:rsid w:val="51232F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480" w:lineRule="auto"/>
      <w:jc w:val="both"/>
      <w:pPrChange w:id="0" w:author="Microsoft Office User" w:date="2024-09-20T16:33:00Z">
        <w:pPr>
          <w:widowControl w:val="0"/>
          <w:spacing w:line="480" w:lineRule="auto"/>
          <w:jc w:val="both"/>
        </w:pPr>
      </w:pPrChange>
    </w:pPr>
    <w:rPr>
      <w:rFonts w:ascii="Times New Roman" w:hAnsi="Times New Roman" w:eastAsia="宋体" w:cstheme="minorBidi"/>
      <w:color w:val="000000" w:themeColor="text1"/>
      <w:kern w:val="2"/>
      <w:sz w:val="24"/>
      <w:szCs w:val="24"/>
      <w:lang w:val="en-US" w:eastAsia="zh-CN" w:bidi="ar-SA"/>
      <w:rPrChange w:id="1" w:author="Microsoft Office User" w:date="2024-09-20T16:33:00Z">
        <w:rPr>
          <w:rFonts w:eastAsia="宋体" w:cstheme="minorBidi"/>
          <w:color w:val="000000" w:themeColor="text1"/>
          <w:kern w:val="2"/>
          <w:sz w:val="24"/>
          <w:szCs w:val="24"/>
          <w:lang w:val="en-US" w:eastAsia="zh-CN" w:bidi="ar-SA"/>
          <w14:textFill>
            <w14:solidFill>
              <w14:schemeClr w14:val="tx1"/>
            </w14:solidFill>
          </w14:textFill>
        </w:rPr>
      </w:rPrChange>
      <w14:textFill>
        <w14:solidFill>
          <w14:schemeClr w14:val="tx1"/>
        </w14:solidFill>
      </w14:textFill>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2024-10-11T12:09:00Z</dcterms:created>
  <dc:creator>陈钰荣</dc:creator>
  <cp:lastModifiedBy>陈钰荣</cp:lastModifiedBy>
  <dcterms:modified xsi:type="dcterms:W3CDTF">2024-10-11T12:09:54Z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8627DE11CD4F4E93954944EFE45BB758_11</vt:lpwstr>
  </property>
</Properties>
</file>