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E1603C" w14:textId="77777777" w:rsidR="00F4391F" w:rsidRDefault="00F4391F" w:rsidP="005A75EE">
      <w:pPr>
        <w:pStyle w:val="Heading2"/>
        <w:rPr>
          <w:lang w:val="en-US"/>
        </w:rPr>
      </w:pPr>
    </w:p>
    <w:p w14:paraId="3FF0228E" w14:textId="6C74CCCA" w:rsidR="00CD1F07" w:rsidRDefault="00CD1F07" w:rsidP="005A75EE">
      <w:pPr>
        <w:pStyle w:val="Heading2"/>
        <w:rPr>
          <w:lang w:val="en-US"/>
        </w:rPr>
      </w:pPr>
      <w:r>
        <w:rPr>
          <w:lang w:val="en-US"/>
        </w:rPr>
        <w:t>Supplementary data:</w:t>
      </w:r>
    </w:p>
    <w:p w14:paraId="27557FB9" w14:textId="77777777" w:rsidR="00F4391F" w:rsidRDefault="00F4391F" w:rsidP="00CD1F07">
      <w:pPr>
        <w:rPr>
          <w:b/>
          <w:lang w:val="en-US"/>
        </w:rPr>
      </w:pPr>
    </w:p>
    <w:p w14:paraId="7A6A8038" w14:textId="4B5C19C5" w:rsidR="00CD1F07" w:rsidRDefault="00CD1F07" w:rsidP="00CD1F07">
      <w:pPr>
        <w:rPr>
          <w:b/>
          <w:lang w:val="en-US"/>
        </w:rPr>
      </w:pPr>
      <w:r>
        <w:rPr>
          <w:b/>
          <w:lang w:val="en-US"/>
        </w:rPr>
        <w:t xml:space="preserve">Presence and strength of binding of IgM, IgG and IgA </w:t>
      </w:r>
      <w:r w:rsidR="00B70542">
        <w:rPr>
          <w:b/>
          <w:lang w:val="en-US"/>
        </w:rPr>
        <w:t xml:space="preserve">antibodies against </w:t>
      </w:r>
      <w:r w:rsidR="00046590">
        <w:rPr>
          <w:b/>
          <w:lang w:val="en-US"/>
        </w:rPr>
        <w:t xml:space="preserve">SARS-CoV-2 during </w:t>
      </w:r>
      <w:r w:rsidR="009C1E1C">
        <w:rPr>
          <w:b/>
          <w:lang w:val="en-US"/>
        </w:rPr>
        <w:t xml:space="preserve">CoViD-19 </w:t>
      </w:r>
      <w:r>
        <w:rPr>
          <w:b/>
          <w:lang w:val="en-US"/>
        </w:rPr>
        <w:t>infection</w:t>
      </w:r>
    </w:p>
    <w:p w14:paraId="08CD3853" w14:textId="77777777" w:rsidR="00F4391F" w:rsidRPr="002D4061" w:rsidRDefault="00F4391F" w:rsidP="005A75EE">
      <w:pPr>
        <w:spacing w:line="240" w:lineRule="auto"/>
        <w:rPr>
          <w:rFonts w:eastAsia="Calibri"/>
          <w:i/>
          <w:lang w:val="en-US"/>
        </w:rPr>
      </w:pPr>
    </w:p>
    <w:p w14:paraId="62C5CDFE" w14:textId="21851040" w:rsidR="00CD1F07" w:rsidRPr="005A75EE" w:rsidRDefault="00CD1F07" w:rsidP="005A75EE">
      <w:pPr>
        <w:spacing w:line="240" w:lineRule="auto"/>
        <w:rPr>
          <w:rFonts w:eastAsia="Calibri"/>
          <w:i/>
        </w:rPr>
      </w:pPr>
      <w:r w:rsidRPr="005A75EE">
        <w:rPr>
          <w:rFonts w:eastAsia="Calibri"/>
          <w:i/>
        </w:rPr>
        <w:t>Richard B.M. Schasfoort</w:t>
      </w:r>
      <w:r w:rsidRPr="005A75EE">
        <w:rPr>
          <w:rFonts w:eastAsia="Calibri"/>
          <w:i/>
          <w:vertAlign w:val="superscript"/>
        </w:rPr>
        <w:t>1,2</w:t>
      </w:r>
      <w:r w:rsidRPr="005A75EE">
        <w:rPr>
          <w:rFonts w:eastAsia="Calibri"/>
          <w:i/>
        </w:rPr>
        <w:t>, Jos van Weperen</w:t>
      </w:r>
      <w:r w:rsidRPr="005A75EE">
        <w:rPr>
          <w:rFonts w:eastAsia="Calibri"/>
          <w:i/>
          <w:vertAlign w:val="superscript"/>
        </w:rPr>
        <w:t>3</w:t>
      </w:r>
      <w:r w:rsidRPr="005A75EE">
        <w:rPr>
          <w:rFonts w:eastAsia="Calibri"/>
          <w:i/>
        </w:rPr>
        <w:t>, Margot van Amsterdam</w:t>
      </w:r>
      <w:r w:rsidRPr="005A75EE">
        <w:rPr>
          <w:rFonts w:eastAsia="Calibri"/>
          <w:i/>
          <w:vertAlign w:val="superscript"/>
        </w:rPr>
        <w:t>2</w:t>
      </w:r>
      <w:r w:rsidRPr="005A75EE">
        <w:rPr>
          <w:rFonts w:eastAsia="Calibri"/>
          <w:i/>
        </w:rPr>
        <w:t>, Judicaël Parisot</w:t>
      </w:r>
      <w:r w:rsidRPr="005A75EE">
        <w:rPr>
          <w:rFonts w:eastAsia="Calibri"/>
          <w:i/>
          <w:vertAlign w:val="superscript"/>
        </w:rPr>
        <w:t>4</w:t>
      </w:r>
      <w:r w:rsidRPr="005A75EE">
        <w:rPr>
          <w:rFonts w:eastAsia="Calibri"/>
          <w:i/>
        </w:rPr>
        <w:t xml:space="preserve"> Jan Hendriks</w:t>
      </w:r>
      <w:r w:rsidRPr="005A75EE">
        <w:rPr>
          <w:rFonts w:eastAsia="Calibri"/>
          <w:i/>
          <w:vertAlign w:val="superscript"/>
        </w:rPr>
        <w:t>5</w:t>
      </w:r>
      <w:r w:rsidRPr="005A75EE">
        <w:rPr>
          <w:rFonts w:eastAsia="Calibri"/>
          <w:i/>
        </w:rPr>
        <w:t xml:space="preserve">, </w:t>
      </w:r>
      <w:r w:rsidR="00D1247D">
        <w:rPr>
          <w:rFonts w:eastAsia="Calibri"/>
          <w:i/>
        </w:rPr>
        <w:t>Michelle Koerselman</w:t>
      </w:r>
      <w:r w:rsidR="00D1247D">
        <w:rPr>
          <w:rFonts w:eastAsia="Calibri"/>
          <w:i/>
          <w:vertAlign w:val="superscript"/>
        </w:rPr>
        <w:t>5</w:t>
      </w:r>
      <w:r w:rsidR="00D1247D">
        <w:rPr>
          <w:rFonts w:eastAsia="Calibri"/>
          <w:i/>
        </w:rPr>
        <w:t>,</w:t>
      </w:r>
      <w:r w:rsidR="00E57935" w:rsidRPr="00E57935">
        <w:rPr>
          <w:rFonts w:eastAsia="Calibri"/>
          <w:i/>
        </w:rPr>
        <w:t xml:space="preserve"> </w:t>
      </w:r>
      <w:r w:rsidR="00E57935" w:rsidRPr="005A75EE">
        <w:rPr>
          <w:rFonts w:eastAsia="Calibri"/>
          <w:i/>
        </w:rPr>
        <w:t>Marcel Karperien</w:t>
      </w:r>
      <w:r w:rsidR="00E57935" w:rsidRPr="005A75EE">
        <w:rPr>
          <w:rFonts w:eastAsia="Calibri"/>
          <w:i/>
          <w:vertAlign w:val="superscript"/>
        </w:rPr>
        <w:t>5</w:t>
      </w:r>
      <w:r w:rsidR="00E57935" w:rsidRPr="005A75EE">
        <w:rPr>
          <w:rFonts w:eastAsia="Calibri"/>
          <w:i/>
        </w:rPr>
        <w:t xml:space="preserve">, </w:t>
      </w:r>
      <w:r w:rsidRPr="005A75EE">
        <w:rPr>
          <w:rFonts w:eastAsia="Calibri"/>
          <w:i/>
        </w:rPr>
        <w:t>Anouk Mentink</w:t>
      </w:r>
      <w:r w:rsidRPr="005A75EE">
        <w:rPr>
          <w:rFonts w:eastAsia="Calibri"/>
          <w:i/>
          <w:vertAlign w:val="superscript"/>
        </w:rPr>
        <w:t>1</w:t>
      </w:r>
      <w:r w:rsidRPr="005A75EE">
        <w:rPr>
          <w:rFonts w:eastAsia="Calibri"/>
          <w:i/>
        </w:rPr>
        <w:t>, Martin Bennink</w:t>
      </w:r>
      <w:r w:rsidRPr="005A75EE">
        <w:rPr>
          <w:rFonts w:eastAsia="Calibri"/>
          <w:i/>
          <w:vertAlign w:val="superscript"/>
        </w:rPr>
        <w:t>6</w:t>
      </w:r>
      <w:r w:rsidRPr="005A75EE">
        <w:rPr>
          <w:rFonts w:eastAsia="Calibri"/>
          <w:i/>
        </w:rPr>
        <w:t>, Hans Krabbe</w:t>
      </w:r>
      <w:r w:rsidRPr="005A75EE">
        <w:rPr>
          <w:rFonts w:eastAsia="Calibri"/>
          <w:i/>
          <w:vertAlign w:val="superscript"/>
        </w:rPr>
        <w:t>7,8</w:t>
      </w:r>
      <w:r w:rsidRPr="005A75EE">
        <w:rPr>
          <w:rFonts w:eastAsia="Calibri"/>
          <w:i/>
        </w:rPr>
        <w:t>, Leon WMM Terstappen</w:t>
      </w:r>
      <w:r w:rsidRPr="005A75EE">
        <w:rPr>
          <w:rFonts w:eastAsia="Calibri"/>
          <w:i/>
          <w:vertAlign w:val="superscript"/>
        </w:rPr>
        <w:t>1</w:t>
      </w:r>
      <w:r w:rsidRPr="005A75EE">
        <w:rPr>
          <w:rFonts w:eastAsia="Calibri"/>
          <w:i/>
        </w:rPr>
        <w:t>, A.H. Leontine Mulder</w:t>
      </w:r>
      <w:r w:rsidRPr="005A75EE">
        <w:rPr>
          <w:rFonts w:eastAsia="Calibri"/>
          <w:i/>
          <w:vertAlign w:val="superscript"/>
        </w:rPr>
        <w:t>7,9</w:t>
      </w:r>
      <w:r w:rsidRPr="005A75EE">
        <w:rPr>
          <w:rFonts w:eastAsia="Calibri"/>
          <w:i/>
        </w:rPr>
        <w:t>.</w:t>
      </w:r>
    </w:p>
    <w:p w14:paraId="65053DB9" w14:textId="77777777" w:rsidR="00F4391F" w:rsidRPr="002D4061" w:rsidRDefault="00F4391F" w:rsidP="00E17C57">
      <w:pPr>
        <w:spacing w:line="360" w:lineRule="auto"/>
        <w:ind w:firstLine="708"/>
        <w:rPr>
          <w:rFonts w:cstheme="minorHAnsi"/>
        </w:rPr>
      </w:pPr>
    </w:p>
    <w:p w14:paraId="507177FA" w14:textId="43F69029" w:rsidR="00453F35" w:rsidRPr="00453F35" w:rsidRDefault="00453F35" w:rsidP="00E17C57">
      <w:pPr>
        <w:spacing w:line="360" w:lineRule="auto"/>
        <w:ind w:firstLine="708"/>
        <w:rPr>
          <w:rFonts w:eastAsia="Calibri"/>
          <w:lang w:val="en-US"/>
        </w:rPr>
      </w:pPr>
      <w:r>
        <w:rPr>
          <w:rFonts w:cstheme="minorHAnsi"/>
          <w:lang w:val="en-US"/>
        </w:rPr>
        <w:t>As indicated</w:t>
      </w:r>
      <w:r w:rsidR="005A75EE">
        <w:rPr>
          <w:rFonts w:cstheme="minorHAnsi"/>
          <w:lang w:val="en-US"/>
        </w:rPr>
        <w:t xml:space="preserve"> in the manuscript a combined measurement of the anti-RBD IgM, IgG and IgA specific levels of </w:t>
      </w:r>
      <w:r w:rsidR="009C1E1C">
        <w:rPr>
          <w:rFonts w:cstheme="minorHAnsi"/>
          <w:lang w:val="en-US"/>
        </w:rPr>
        <w:t xml:space="preserve">CoViD-19 </w:t>
      </w:r>
      <w:r w:rsidR="005A75EE">
        <w:rPr>
          <w:rFonts w:cstheme="minorHAnsi"/>
          <w:lang w:val="en-US"/>
        </w:rPr>
        <w:t xml:space="preserve">patients is possible in a single experiment </w:t>
      </w:r>
      <w:r>
        <w:rPr>
          <w:rFonts w:cstheme="minorHAnsi"/>
          <w:lang w:val="en-US"/>
        </w:rPr>
        <w:t>using S</w:t>
      </w:r>
      <w:r w:rsidR="00E57935">
        <w:rPr>
          <w:rFonts w:cstheme="minorHAnsi"/>
          <w:lang w:val="en-US"/>
        </w:rPr>
        <w:t xml:space="preserve">urface Plasmon Resonance </w:t>
      </w:r>
      <w:r>
        <w:rPr>
          <w:rFonts w:cstheme="minorHAnsi"/>
          <w:lang w:val="en-US"/>
        </w:rPr>
        <w:t>imaging</w:t>
      </w:r>
      <w:r w:rsidR="00E57935">
        <w:rPr>
          <w:rFonts w:cstheme="minorHAnsi"/>
          <w:lang w:val="en-US"/>
        </w:rPr>
        <w:t xml:space="preserve"> (SPRi)</w:t>
      </w:r>
      <w:r w:rsidR="005A75EE">
        <w:rPr>
          <w:rFonts w:cstheme="minorHAnsi"/>
          <w:lang w:val="en-US"/>
        </w:rPr>
        <w:t xml:space="preserve">. </w:t>
      </w:r>
      <w:r w:rsidR="000E314F">
        <w:rPr>
          <w:rFonts w:cstheme="minorHAnsi"/>
          <w:lang w:val="en-US"/>
        </w:rPr>
        <w:t>In contrast</w:t>
      </w:r>
      <w:r w:rsidR="000D4183">
        <w:rPr>
          <w:rFonts w:cstheme="minorHAnsi"/>
          <w:lang w:val="en-US"/>
        </w:rPr>
        <w:t xml:space="preserve">, </w:t>
      </w:r>
      <w:r w:rsidR="000E314F">
        <w:rPr>
          <w:rFonts w:cstheme="minorHAnsi"/>
          <w:lang w:val="en-US"/>
        </w:rPr>
        <w:t xml:space="preserve">an </w:t>
      </w:r>
      <w:r w:rsidR="005A75EE">
        <w:rPr>
          <w:rFonts w:cstheme="minorHAnsi"/>
          <w:lang w:val="en-US"/>
        </w:rPr>
        <w:t>ELISA immune assay</w:t>
      </w:r>
      <w:r w:rsidR="00855440">
        <w:rPr>
          <w:rFonts w:cstheme="minorHAnsi"/>
          <w:lang w:val="en-US"/>
        </w:rPr>
        <w:t xml:space="preserve"> need three</w:t>
      </w:r>
      <w:r>
        <w:rPr>
          <w:rFonts w:cstheme="minorHAnsi"/>
          <w:lang w:val="en-US"/>
        </w:rPr>
        <w:t xml:space="preserve"> separate tests for obtaining the values </w:t>
      </w:r>
      <w:r w:rsidR="00E17C57">
        <w:rPr>
          <w:rFonts w:cstheme="minorHAnsi"/>
          <w:lang w:val="en-US"/>
        </w:rPr>
        <w:t xml:space="preserve">of </w:t>
      </w:r>
      <w:r w:rsidR="009C1E1C">
        <w:rPr>
          <w:rFonts w:cstheme="minorHAnsi"/>
          <w:lang w:val="en-US"/>
        </w:rPr>
        <w:t xml:space="preserve">CoViD-19 </w:t>
      </w:r>
      <w:r w:rsidR="00E17C57">
        <w:rPr>
          <w:rFonts w:cstheme="minorHAnsi"/>
          <w:lang w:val="en-US"/>
        </w:rPr>
        <w:t>patients</w:t>
      </w:r>
      <w:r w:rsidR="00855440">
        <w:rPr>
          <w:rFonts w:cstheme="minorHAnsi"/>
          <w:lang w:val="en-US"/>
        </w:rPr>
        <w:t xml:space="preserve"> and strength of binding nor affinity can be tested easily. T</w:t>
      </w:r>
      <w:r>
        <w:rPr>
          <w:rFonts w:cstheme="minorHAnsi"/>
          <w:lang w:val="en-US"/>
        </w:rPr>
        <w:t>he strength of binding of the anti-SARS-CoV-2 antibodies</w:t>
      </w:r>
      <w:r w:rsidR="00DB0A3B" w:rsidRPr="00DB0A3B">
        <w:rPr>
          <w:rFonts w:cstheme="minorHAnsi"/>
          <w:lang w:val="en-US"/>
        </w:rPr>
        <w:t xml:space="preserve"> </w:t>
      </w:r>
      <w:r w:rsidR="005A75EE">
        <w:rPr>
          <w:rFonts w:cstheme="minorHAnsi"/>
          <w:lang w:val="en-US"/>
        </w:rPr>
        <w:t>can be</w:t>
      </w:r>
      <w:r w:rsidR="00DB0A3B">
        <w:rPr>
          <w:rFonts w:cstheme="minorHAnsi"/>
          <w:lang w:val="en-US"/>
        </w:rPr>
        <w:t xml:space="preserve"> </w:t>
      </w:r>
      <w:r w:rsidR="00782377">
        <w:rPr>
          <w:rFonts w:cstheme="minorHAnsi"/>
          <w:lang w:val="en-US"/>
        </w:rPr>
        <w:t>extracted from</w:t>
      </w:r>
      <w:r w:rsidR="00AE68FE">
        <w:rPr>
          <w:rFonts w:cstheme="minorHAnsi"/>
          <w:lang w:val="en-US"/>
        </w:rPr>
        <w:t xml:space="preserve"> the SPRi</w:t>
      </w:r>
      <w:r w:rsidR="00DB0A3B">
        <w:rPr>
          <w:rFonts w:cstheme="minorHAnsi"/>
          <w:lang w:val="en-US"/>
        </w:rPr>
        <w:t xml:space="preserve"> data</w:t>
      </w:r>
      <w:r w:rsidR="00855440">
        <w:rPr>
          <w:rFonts w:cstheme="minorHAnsi"/>
          <w:lang w:val="en-US"/>
        </w:rPr>
        <w:t>, while the levels of the antibodies are measured in high throughput for ultimate 384 patients simultaneously</w:t>
      </w:r>
      <w:r>
        <w:rPr>
          <w:rFonts w:cstheme="minorHAnsi"/>
          <w:lang w:val="en-US"/>
        </w:rPr>
        <w:t>. In this</w:t>
      </w:r>
      <w:r w:rsidR="00DB0A3B">
        <w:rPr>
          <w:rFonts w:cstheme="minorHAnsi"/>
          <w:lang w:val="en-US"/>
        </w:rPr>
        <w:t xml:space="preserve"> supplementary </w:t>
      </w:r>
      <w:r w:rsidR="00855440">
        <w:rPr>
          <w:rFonts w:cstheme="minorHAnsi"/>
          <w:lang w:val="en-US"/>
        </w:rPr>
        <w:t>part,</w:t>
      </w:r>
      <w:r w:rsidR="00DB0A3B">
        <w:rPr>
          <w:rFonts w:cstheme="minorHAnsi"/>
          <w:lang w:val="en-US"/>
        </w:rPr>
        <w:t xml:space="preserve"> </w:t>
      </w:r>
      <w:r>
        <w:rPr>
          <w:rFonts w:cstheme="minorHAnsi"/>
          <w:lang w:val="en-US"/>
        </w:rPr>
        <w:t>a</w:t>
      </w:r>
      <w:r w:rsidR="00855440">
        <w:rPr>
          <w:rFonts w:cstheme="minorHAnsi"/>
          <w:lang w:val="en-US"/>
        </w:rPr>
        <w:t xml:space="preserve">dditional figures will clarify </w:t>
      </w:r>
      <w:r w:rsidR="00AE68FE">
        <w:rPr>
          <w:rFonts w:cstheme="minorHAnsi"/>
          <w:lang w:val="en-US"/>
        </w:rPr>
        <w:t xml:space="preserve">this </w:t>
      </w:r>
      <w:r w:rsidR="005A75EE">
        <w:rPr>
          <w:rFonts w:cstheme="minorHAnsi"/>
          <w:lang w:val="en-US"/>
        </w:rPr>
        <w:t xml:space="preserve">new method. </w:t>
      </w:r>
      <w:r>
        <w:rPr>
          <w:rFonts w:cstheme="minorHAnsi"/>
          <w:lang w:val="en-US"/>
        </w:rPr>
        <w:t xml:space="preserve">  </w:t>
      </w:r>
    </w:p>
    <w:p w14:paraId="597C679B" w14:textId="2D304892" w:rsidR="00A16BAA" w:rsidRPr="009779F6" w:rsidRDefault="00F0773C" w:rsidP="000E314F">
      <w:pPr>
        <w:pStyle w:val="Heading1"/>
        <w:rPr>
          <w:rStyle w:val="IntenseReference"/>
          <w:lang w:val="en-US"/>
        </w:rPr>
      </w:pPr>
      <w:r w:rsidRPr="000B1740">
        <w:rPr>
          <w:rStyle w:val="IntenseReference"/>
          <w:lang w:val="en-US"/>
        </w:rPr>
        <w:t>Fi</w:t>
      </w:r>
      <w:r w:rsidRPr="009779F6">
        <w:rPr>
          <w:rStyle w:val="IntenseReference"/>
          <w:lang w:val="en-US"/>
        </w:rPr>
        <w:t>gures to support the main article.</w:t>
      </w:r>
      <w:r w:rsidR="00A16BAA" w:rsidRPr="000B1740">
        <w:rPr>
          <w:rStyle w:val="IntenseReference"/>
          <w:lang w:val="en-US"/>
        </w:rPr>
        <w:t xml:space="preserve"> </w:t>
      </w:r>
    </w:p>
    <w:p w14:paraId="149F9973" w14:textId="305CCD73" w:rsidR="00F0773C" w:rsidRDefault="000E314F" w:rsidP="00A16BAA">
      <w:pPr>
        <w:spacing w:line="360" w:lineRule="auto"/>
        <w:rPr>
          <w:i/>
          <w:lang w:val="en-US"/>
        </w:rPr>
      </w:pPr>
      <w:r w:rsidRPr="00E2793E">
        <w:rPr>
          <w:i/>
          <w:noProof/>
          <w:lang w:eastAsia="nl-NL"/>
        </w:rPr>
        <w:drawing>
          <wp:anchor distT="0" distB="0" distL="114300" distR="114300" simplePos="0" relativeHeight="251669504" behindDoc="0" locked="0" layoutInCell="1" allowOverlap="1" wp14:anchorId="0DD5A3D9" wp14:editId="07565145">
            <wp:simplePos x="0" y="0"/>
            <wp:positionH relativeFrom="column">
              <wp:posOffset>110018</wp:posOffset>
            </wp:positionH>
            <wp:positionV relativeFrom="paragraph">
              <wp:posOffset>108836</wp:posOffset>
            </wp:positionV>
            <wp:extent cx="2032000" cy="1517650"/>
            <wp:effectExtent l="0" t="0" r="6350" b="6350"/>
            <wp:wrapSquare wrapText="bothSides"/>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pic:cNvPicPr>
                  </pic:nvPicPr>
                  <pic:blipFill>
                    <a:blip r:embed="rId11"/>
                    <a:stretch>
                      <a:fillRect/>
                    </a:stretch>
                  </pic:blipFill>
                  <pic:spPr>
                    <a:xfrm>
                      <a:off x="0" y="0"/>
                      <a:ext cx="2032000" cy="1517650"/>
                    </a:xfrm>
                    <a:prstGeom prst="rect">
                      <a:avLst/>
                    </a:prstGeom>
                  </pic:spPr>
                </pic:pic>
              </a:graphicData>
            </a:graphic>
            <wp14:sizeRelH relativeFrom="margin">
              <wp14:pctWidth>0</wp14:pctWidth>
            </wp14:sizeRelH>
            <wp14:sizeRelV relativeFrom="margin">
              <wp14:pctHeight>0</wp14:pctHeight>
            </wp14:sizeRelV>
          </wp:anchor>
        </w:drawing>
      </w:r>
    </w:p>
    <w:p w14:paraId="42D58849" w14:textId="1F2CEC53" w:rsidR="000B1740" w:rsidRDefault="000B1740" w:rsidP="00A16BAA">
      <w:pPr>
        <w:spacing w:line="360" w:lineRule="auto"/>
        <w:rPr>
          <w:i/>
          <w:lang w:val="en-US"/>
        </w:rPr>
      </w:pPr>
    </w:p>
    <w:p w14:paraId="0ED1075E" w14:textId="225EC33D" w:rsidR="000B1740" w:rsidRDefault="000B1740" w:rsidP="00A16BAA">
      <w:pPr>
        <w:spacing w:line="360" w:lineRule="auto"/>
        <w:rPr>
          <w:i/>
          <w:lang w:val="en-US"/>
        </w:rPr>
      </w:pPr>
    </w:p>
    <w:p w14:paraId="4A72DC79" w14:textId="3E5C084D" w:rsidR="00E2793E" w:rsidRDefault="00E2793E" w:rsidP="00A16BAA">
      <w:pPr>
        <w:spacing w:line="360" w:lineRule="auto"/>
        <w:rPr>
          <w:i/>
          <w:lang w:val="en-US"/>
        </w:rPr>
      </w:pPr>
    </w:p>
    <w:p w14:paraId="5A777FCE" w14:textId="77777777" w:rsidR="000E314F" w:rsidRDefault="000E314F" w:rsidP="005A75EE">
      <w:pPr>
        <w:spacing w:line="240" w:lineRule="auto"/>
        <w:rPr>
          <w:i/>
          <w:lang w:val="en-US"/>
        </w:rPr>
      </w:pPr>
    </w:p>
    <w:p w14:paraId="30EF1D8A" w14:textId="35C53F51" w:rsidR="00F4391F" w:rsidRDefault="005A381A" w:rsidP="005A75EE">
      <w:pPr>
        <w:spacing w:line="240" w:lineRule="auto"/>
        <w:rPr>
          <w:i/>
          <w:lang w:val="en-US"/>
        </w:rPr>
      </w:pPr>
      <w:r>
        <w:rPr>
          <w:i/>
          <w:lang w:val="en-US"/>
        </w:rPr>
        <w:t xml:space="preserve">Supplementary figure </w:t>
      </w:r>
      <w:r w:rsidR="00F0773C">
        <w:rPr>
          <w:i/>
          <w:lang w:val="en-US"/>
        </w:rPr>
        <w:t>1</w:t>
      </w:r>
      <w:r w:rsidR="00E2793E">
        <w:rPr>
          <w:i/>
          <w:lang w:val="en-US"/>
        </w:rPr>
        <w:t xml:space="preserve">. </w:t>
      </w:r>
      <w:r w:rsidR="009531C4">
        <w:rPr>
          <w:i/>
          <w:lang w:val="en-US"/>
        </w:rPr>
        <w:t xml:space="preserve">Raw non-referenced sensorgrams </w:t>
      </w:r>
      <w:r w:rsidR="009531C4" w:rsidRPr="009531C4">
        <w:rPr>
          <w:i/>
          <w:lang w:val="en-US"/>
        </w:rPr>
        <w:t xml:space="preserve">of </w:t>
      </w:r>
      <w:r w:rsidR="009531C4">
        <w:rPr>
          <w:i/>
          <w:lang w:val="en-US"/>
        </w:rPr>
        <w:t xml:space="preserve">the binding process of the CoViD-19 sera to the RBD coupled sensor surface </w:t>
      </w:r>
      <w:r w:rsidR="009531C4" w:rsidRPr="009531C4">
        <w:rPr>
          <w:i/>
          <w:lang w:val="en-US"/>
        </w:rPr>
        <w:t xml:space="preserve">using the LSA SPR imager. </w:t>
      </w:r>
      <w:r w:rsidR="009531C4">
        <w:rPr>
          <w:i/>
          <w:lang w:val="en-US"/>
        </w:rPr>
        <w:t xml:space="preserve">Because of mixed compositions of IgM, IgG and IgA and unknown concentrations the association rate is does not give a reliable value. </w:t>
      </w:r>
      <w:r w:rsidR="00E57935">
        <w:rPr>
          <w:i/>
          <w:lang w:val="en-US"/>
        </w:rPr>
        <w:t xml:space="preserve">For the off-rate determination it is necessary to obtain the value of the SPR response in RU during the association phase (on-rate) and this is measured in the LSA (and not in the MX96). </w:t>
      </w:r>
    </w:p>
    <w:p w14:paraId="078E1243" w14:textId="77777777" w:rsidR="00F4391F" w:rsidRDefault="00F4391F" w:rsidP="005A75EE">
      <w:pPr>
        <w:spacing w:line="240" w:lineRule="auto"/>
        <w:rPr>
          <w:i/>
          <w:lang w:val="en-US"/>
        </w:rPr>
      </w:pPr>
    </w:p>
    <w:p w14:paraId="12DFC844" w14:textId="45F1E1E2" w:rsidR="00F4391F" w:rsidRDefault="00F4391F" w:rsidP="005A75EE">
      <w:pPr>
        <w:spacing w:line="240" w:lineRule="auto"/>
        <w:rPr>
          <w:i/>
          <w:lang w:val="en-US"/>
        </w:rPr>
      </w:pPr>
    </w:p>
    <w:p w14:paraId="6B736C2C" w14:textId="70570F14" w:rsidR="00F4391F" w:rsidRDefault="002B725F" w:rsidP="005A75EE">
      <w:pPr>
        <w:spacing w:line="240" w:lineRule="auto"/>
        <w:rPr>
          <w:i/>
          <w:lang w:val="en-US"/>
        </w:rPr>
      </w:pPr>
      <w:r>
        <w:rPr>
          <w:noProof/>
          <w:lang w:eastAsia="nl-NL"/>
        </w:rPr>
        <w:lastRenderedPageBreak/>
        <w:drawing>
          <wp:anchor distT="0" distB="0" distL="114300" distR="114300" simplePos="0" relativeHeight="251679744" behindDoc="0" locked="0" layoutInCell="1" allowOverlap="1" wp14:anchorId="56EA53D2" wp14:editId="769E8C4F">
            <wp:simplePos x="0" y="0"/>
            <wp:positionH relativeFrom="column">
              <wp:posOffset>0</wp:posOffset>
            </wp:positionH>
            <wp:positionV relativeFrom="paragraph">
              <wp:posOffset>272415</wp:posOffset>
            </wp:positionV>
            <wp:extent cx="5760720" cy="259143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2591435"/>
                    </a:xfrm>
                    <a:prstGeom prst="rect">
                      <a:avLst/>
                    </a:prstGeom>
                  </pic:spPr>
                </pic:pic>
              </a:graphicData>
            </a:graphic>
          </wp:anchor>
        </w:drawing>
      </w:r>
    </w:p>
    <w:p w14:paraId="7F71E5F6" w14:textId="4001A403" w:rsidR="00F4391F" w:rsidRDefault="00F4391F" w:rsidP="005A75EE">
      <w:pPr>
        <w:spacing w:line="240" w:lineRule="auto"/>
        <w:rPr>
          <w:i/>
          <w:lang w:val="en-US"/>
        </w:rPr>
      </w:pPr>
    </w:p>
    <w:p w14:paraId="6307BA2B" w14:textId="3EB7A46E" w:rsidR="00F4391F" w:rsidRDefault="007A1B0C" w:rsidP="005A75EE">
      <w:pPr>
        <w:spacing w:line="240" w:lineRule="auto"/>
        <w:rPr>
          <w:i/>
          <w:lang w:val="en-US"/>
        </w:rPr>
      </w:pPr>
      <w:r>
        <w:rPr>
          <w:i/>
          <w:lang w:val="en-US"/>
        </w:rPr>
        <w:t>Supplementary figure 2</w:t>
      </w:r>
      <w:r w:rsidR="00AD32B0">
        <w:rPr>
          <w:i/>
          <w:lang w:val="en-US"/>
        </w:rPr>
        <w:t xml:space="preserve"> </w:t>
      </w:r>
      <w:r w:rsidR="00AF3FA5">
        <w:rPr>
          <w:i/>
          <w:lang w:val="en-US"/>
        </w:rPr>
        <w:t xml:space="preserve">The slopes </w:t>
      </w:r>
      <w:r w:rsidR="00AD32B0">
        <w:rPr>
          <w:i/>
          <w:lang w:val="en-US"/>
        </w:rPr>
        <w:t xml:space="preserve">are shown </w:t>
      </w:r>
      <w:r w:rsidR="00AF3FA5">
        <w:rPr>
          <w:i/>
          <w:lang w:val="en-US"/>
        </w:rPr>
        <w:t xml:space="preserve">of immunoglobulins dissociating from the </w:t>
      </w:r>
      <w:r w:rsidR="00AD32B0">
        <w:rPr>
          <w:i/>
          <w:lang w:val="en-US"/>
        </w:rPr>
        <w:t xml:space="preserve">RBD coupled </w:t>
      </w:r>
      <w:r w:rsidR="00AF3FA5">
        <w:rPr>
          <w:i/>
          <w:lang w:val="en-US"/>
        </w:rPr>
        <w:t>sensor surface</w:t>
      </w:r>
      <w:r w:rsidR="00AF3FA5" w:rsidRPr="00AF3FA5">
        <w:rPr>
          <w:i/>
          <w:lang w:val="en-US"/>
        </w:rPr>
        <w:t xml:space="preserve"> </w:t>
      </w:r>
      <w:r w:rsidR="00AF3FA5">
        <w:rPr>
          <w:i/>
          <w:lang w:val="en-US"/>
        </w:rPr>
        <w:t xml:space="preserve">by injecting free RBD protein to prevent rebinding (see Figure 5). In this graph, the end of the association phase is zeroed and aligned for calculating the slopes. </w:t>
      </w:r>
      <w:r>
        <w:rPr>
          <w:i/>
          <w:lang w:val="en-US"/>
        </w:rPr>
        <w:t xml:space="preserve">As explained in the </w:t>
      </w:r>
      <w:r w:rsidR="00AF3FA5">
        <w:rPr>
          <w:i/>
          <w:lang w:val="en-US"/>
        </w:rPr>
        <w:t xml:space="preserve">previous supplementary figure 1, </w:t>
      </w:r>
      <w:r>
        <w:rPr>
          <w:i/>
          <w:lang w:val="en-US"/>
        </w:rPr>
        <w:t xml:space="preserve">the off-rate determination </w:t>
      </w:r>
      <w:r w:rsidR="00AF3FA5">
        <w:rPr>
          <w:i/>
          <w:lang w:val="en-US"/>
        </w:rPr>
        <w:t xml:space="preserve">needs for each curve the response level RU. </w:t>
      </w:r>
      <w:r w:rsidRPr="007A1B0C">
        <w:rPr>
          <w:i/>
          <w:lang w:val="en-US"/>
        </w:rPr>
        <w:t>The apparent off rate constant can be calculated accurately by the slope (RU/s) divided by the response (RU)</w:t>
      </w:r>
      <w:r w:rsidR="00AF3FA5">
        <w:rPr>
          <w:i/>
          <w:lang w:val="en-US"/>
        </w:rPr>
        <w:t>.</w:t>
      </w:r>
      <w:r w:rsidRPr="007A1B0C">
        <w:rPr>
          <w:i/>
          <w:lang w:val="en-US"/>
        </w:rPr>
        <w:t xml:space="preserve"> In this way the kd (s-1) value for each curve can be calculated for all spotted sera.  </w:t>
      </w:r>
      <w:r w:rsidR="002B725F">
        <w:rPr>
          <w:i/>
          <w:lang w:val="en-US"/>
        </w:rPr>
        <w:t>During the maturation of the immune response the dissociation rate will decrease and the patients will genera</w:t>
      </w:r>
      <w:r w:rsidR="00AD32B0">
        <w:rPr>
          <w:i/>
          <w:lang w:val="en-US"/>
        </w:rPr>
        <w:t xml:space="preserve">te better quality </w:t>
      </w:r>
      <w:r w:rsidR="002B725F">
        <w:rPr>
          <w:i/>
          <w:lang w:val="en-US"/>
        </w:rPr>
        <w:t>antibodies (see arrow on the right).</w:t>
      </w:r>
    </w:p>
    <w:p w14:paraId="0C774915" w14:textId="573B5F14" w:rsidR="00F4391F" w:rsidRDefault="00F4391F" w:rsidP="005A75EE">
      <w:pPr>
        <w:spacing w:line="240" w:lineRule="auto"/>
        <w:rPr>
          <w:i/>
          <w:lang w:val="en-US"/>
        </w:rPr>
      </w:pPr>
    </w:p>
    <w:p w14:paraId="1BBB61CD" w14:textId="7EA3BFA6" w:rsidR="00F4391F" w:rsidRDefault="00F4391F" w:rsidP="005A75EE">
      <w:pPr>
        <w:spacing w:line="240" w:lineRule="auto"/>
        <w:rPr>
          <w:i/>
          <w:lang w:val="en-US"/>
        </w:rPr>
      </w:pPr>
    </w:p>
    <w:p w14:paraId="6AFC3CC3" w14:textId="69B3EF9C" w:rsidR="00F4391F" w:rsidRDefault="00F4391F" w:rsidP="005A75EE">
      <w:pPr>
        <w:spacing w:line="240" w:lineRule="auto"/>
        <w:rPr>
          <w:i/>
          <w:lang w:val="en-US"/>
        </w:rPr>
      </w:pPr>
    </w:p>
    <w:p w14:paraId="36FC2DBB" w14:textId="037334A8" w:rsidR="00F4391F" w:rsidRDefault="00F4391F" w:rsidP="005A75EE">
      <w:pPr>
        <w:spacing w:line="240" w:lineRule="auto"/>
        <w:rPr>
          <w:i/>
          <w:lang w:val="en-US"/>
        </w:rPr>
      </w:pPr>
    </w:p>
    <w:p w14:paraId="75B7BCB6" w14:textId="24CF8E5A" w:rsidR="00F4391F" w:rsidRDefault="00F4391F" w:rsidP="005A75EE">
      <w:pPr>
        <w:spacing w:line="240" w:lineRule="auto"/>
        <w:rPr>
          <w:i/>
          <w:lang w:val="en-US"/>
        </w:rPr>
      </w:pPr>
    </w:p>
    <w:p w14:paraId="4994CC77" w14:textId="77777777" w:rsidR="00F4391F" w:rsidRDefault="00F4391F" w:rsidP="005A75EE">
      <w:pPr>
        <w:spacing w:line="240" w:lineRule="auto"/>
        <w:rPr>
          <w:i/>
          <w:lang w:val="en-US"/>
        </w:rPr>
      </w:pPr>
    </w:p>
    <w:p w14:paraId="1706247E" w14:textId="77777777" w:rsidR="00F4391F" w:rsidRDefault="00F4391F" w:rsidP="005A75EE">
      <w:pPr>
        <w:spacing w:line="240" w:lineRule="auto"/>
        <w:rPr>
          <w:i/>
          <w:lang w:val="en-US"/>
        </w:rPr>
      </w:pPr>
    </w:p>
    <w:p w14:paraId="51A8820E" w14:textId="6E0B747C" w:rsidR="00E2793E" w:rsidRDefault="00E2793E" w:rsidP="00A16BAA">
      <w:pPr>
        <w:spacing w:line="360" w:lineRule="auto"/>
        <w:rPr>
          <w:i/>
          <w:lang w:val="en-US"/>
        </w:rPr>
      </w:pPr>
    </w:p>
    <w:p w14:paraId="702DB28E" w14:textId="151DD154" w:rsidR="00E17C57" w:rsidRDefault="00E17C57" w:rsidP="00A16BAA">
      <w:pPr>
        <w:spacing w:line="360" w:lineRule="auto"/>
        <w:rPr>
          <w:i/>
          <w:lang w:val="en-US"/>
        </w:rPr>
      </w:pPr>
    </w:p>
    <w:p w14:paraId="60FA53A5" w14:textId="77777777" w:rsidR="00855440" w:rsidRDefault="00855440" w:rsidP="00E17C57">
      <w:pPr>
        <w:spacing w:line="240" w:lineRule="auto"/>
        <w:rPr>
          <w:i/>
          <w:lang w:val="en-US"/>
        </w:rPr>
      </w:pPr>
    </w:p>
    <w:p w14:paraId="5BA5640D" w14:textId="77777777" w:rsidR="00855440" w:rsidRDefault="00855440" w:rsidP="00E17C57">
      <w:pPr>
        <w:spacing w:line="240" w:lineRule="auto"/>
        <w:rPr>
          <w:i/>
          <w:lang w:val="en-US"/>
        </w:rPr>
      </w:pPr>
    </w:p>
    <w:p w14:paraId="0622C3FC" w14:textId="77777777" w:rsidR="00855440" w:rsidRDefault="00855440" w:rsidP="00E17C57">
      <w:pPr>
        <w:spacing w:line="240" w:lineRule="auto"/>
        <w:rPr>
          <w:i/>
          <w:lang w:val="en-US"/>
        </w:rPr>
      </w:pPr>
    </w:p>
    <w:p w14:paraId="16A492B7" w14:textId="77777777" w:rsidR="00855440" w:rsidRDefault="00855440" w:rsidP="00E17C57">
      <w:pPr>
        <w:spacing w:line="240" w:lineRule="auto"/>
        <w:rPr>
          <w:i/>
          <w:lang w:val="en-US"/>
        </w:rPr>
      </w:pPr>
    </w:p>
    <w:p w14:paraId="69CAAE54" w14:textId="78252770" w:rsidR="009C1E1C" w:rsidRDefault="009C1E1C" w:rsidP="00A16BAA">
      <w:pPr>
        <w:rPr>
          <w:i/>
          <w:lang w:val="en-US"/>
        </w:rPr>
      </w:pPr>
      <w:r>
        <w:rPr>
          <w:noProof/>
          <w:lang w:eastAsia="nl-NL"/>
        </w:rPr>
        <w:lastRenderedPageBreak/>
        <w:drawing>
          <wp:anchor distT="0" distB="0" distL="114300" distR="114300" simplePos="0" relativeHeight="251675648" behindDoc="0" locked="0" layoutInCell="1" allowOverlap="1" wp14:anchorId="429D3D94" wp14:editId="1D9EBF9E">
            <wp:simplePos x="0" y="0"/>
            <wp:positionH relativeFrom="column">
              <wp:posOffset>-59690</wp:posOffset>
            </wp:positionH>
            <wp:positionV relativeFrom="paragraph">
              <wp:posOffset>336550</wp:posOffset>
            </wp:positionV>
            <wp:extent cx="5760720" cy="3462655"/>
            <wp:effectExtent l="0" t="0" r="0" b="444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3462655"/>
                    </a:xfrm>
                    <a:prstGeom prst="rect">
                      <a:avLst/>
                    </a:prstGeom>
                  </pic:spPr>
                </pic:pic>
              </a:graphicData>
            </a:graphic>
          </wp:anchor>
        </w:drawing>
      </w:r>
    </w:p>
    <w:p w14:paraId="6B0ACCF1" w14:textId="49BAE863" w:rsidR="009C1E1C" w:rsidRDefault="009C1E1C" w:rsidP="00A16BAA">
      <w:pPr>
        <w:rPr>
          <w:i/>
          <w:lang w:val="en-US"/>
        </w:rPr>
      </w:pPr>
    </w:p>
    <w:p w14:paraId="40FAB13D" w14:textId="618EFFAB" w:rsidR="00A16BAA" w:rsidRDefault="005A381A" w:rsidP="00A16BAA">
      <w:pPr>
        <w:rPr>
          <w:i/>
          <w:lang w:val="en-US"/>
        </w:rPr>
      </w:pPr>
      <w:r>
        <w:rPr>
          <w:i/>
          <w:lang w:val="en-US"/>
        </w:rPr>
        <w:t xml:space="preserve">Supplementary figure </w:t>
      </w:r>
      <w:r w:rsidR="00E2793E">
        <w:rPr>
          <w:i/>
          <w:lang w:val="en-US"/>
        </w:rPr>
        <w:t>3</w:t>
      </w:r>
      <w:r w:rsidR="00F20037">
        <w:rPr>
          <w:i/>
          <w:lang w:val="en-US"/>
        </w:rPr>
        <w:t>. Tile view of interactions of a</w:t>
      </w:r>
      <w:r w:rsidR="00AF3FA5">
        <w:rPr>
          <w:i/>
          <w:lang w:val="en-US"/>
        </w:rPr>
        <w:t>nti-</w:t>
      </w:r>
      <w:r w:rsidR="00F20037">
        <w:rPr>
          <w:i/>
          <w:lang w:val="en-US"/>
        </w:rPr>
        <w:t>IgM, a</w:t>
      </w:r>
      <w:r w:rsidR="00AF3FA5">
        <w:rPr>
          <w:i/>
          <w:lang w:val="en-US"/>
        </w:rPr>
        <w:t>nti-</w:t>
      </w:r>
      <w:r w:rsidR="00F20037">
        <w:rPr>
          <w:i/>
          <w:lang w:val="en-US"/>
        </w:rPr>
        <w:t>IgG and a</w:t>
      </w:r>
      <w:r w:rsidR="00AF3FA5">
        <w:rPr>
          <w:i/>
          <w:lang w:val="en-US"/>
        </w:rPr>
        <w:t>nti-</w:t>
      </w:r>
      <w:r w:rsidR="00F20037">
        <w:rPr>
          <w:i/>
          <w:lang w:val="en-US"/>
        </w:rPr>
        <w:t>IgA sequence of injections on 96</w:t>
      </w:r>
      <w:r w:rsidR="00CD7519">
        <w:rPr>
          <w:i/>
          <w:lang w:val="en-US"/>
        </w:rPr>
        <w:t xml:space="preserve"> serum</w:t>
      </w:r>
      <w:r w:rsidR="00F20037">
        <w:rPr>
          <w:i/>
          <w:lang w:val="en-US"/>
        </w:rPr>
        <w:t xml:space="preserve"> spots.</w:t>
      </w:r>
      <w:r w:rsidR="006F78C0">
        <w:rPr>
          <w:i/>
          <w:lang w:val="en-US"/>
        </w:rPr>
        <w:t xml:space="preserve"> All spots are exposed to the same composition of analyte but will respond differently because of </w:t>
      </w:r>
      <w:r w:rsidR="007C16D3">
        <w:rPr>
          <w:i/>
          <w:lang w:val="en-US"/>
        </w:rPr>
        <w:t>patient dependent variation in presence of IgM IgG and IgA</w:t>
      </w:r>
      <w:r w:rsidR="009C1E1C">
        <w:rPr>
          <w:i/>
          <w:lang w:val="en-US"/>
        </w:rPr>
        <w:t xml:space="preserve"> antibodies</w:t>
      </w:r>
      <w:r w:rsidR="006F78C0">
        <w:rPr>
          <w:i/>
          <w:lang w:val="en-US"/>
        </w:rPr>
        <w:t>.</w:t>
      </w:r>
    </w:p>
    <w:p w14:paraId="58651BD9" w14:textId="16AB0BD8" w:rsidR="000B1740" w:rsidRDefault="00E2793E" w:rsidP="00F0773C">
      <w:pPr>
        <w:spacing w:line="240" w:lineRule="auto"/>
        <w:rPr>
          <w:i/>
          <w:lang w:val="en-US"/>
        </w:rPr>
      </w:pPr>
      <w:r>
        <w:rPr>
          <w:noProof/>
          <w:lang w:eastAsia="nl-NL"/>
        </w:rPr>
        <w:drawing>
          <wp:anchor distT="0" distB="0" distL="114300" distR="114300" simplePos="0" relativeHeight="251667456" behindDoc="0" locked="0" layoutInCell="1" allowOverlap="1" wp14:anchorId="1395A20D" wp14:editId="28B96C18">
            <wp:simplePos x="0" y="0"/>
            <wp:positionH relativeFrom="column">
              <wp:posOffset>-58050</wp:posOffset>
            </wp:positionH>
            <wp:positionV relativeFrom="paragraph">
              <wp:posOffset>194310</wp:posOffset>
            </wp:positionV>
            <wp:extent cx="5760720" cy="848995"/>
            <wp:effectExtent l="0" t="0" r="0" b="825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848995"/>
                    </a:xfrm>
                    <a:prstGeom prst="rect">
                      <a:avLst/>
                    </a:prstGeom>
                  </pic:spPr>
                </pic:pic>
              </a:graphicData>
            </a:graphic>
          </wp:anchor>
        </w:drawing>
      </w:r>
    </w:p>
    <w:p w14:paraId="349C9916" w14:textId="37E36715" w:rsidR="000B1740" w:rsidRDefault="000B1740" w:rsidP="00F0773C">
      <w:pPr>
        <w:spacing w:line="240" w:lineRule="auto"/>
        <w:rPr>
          <w:i/>
          <w:lang w:val="en-US"/>
        </w:rPr>
      </w:pPr>
    </w:p>
    <w:p w14:paraId="5EEC88E9" w14:textId="22CB8293" w:rsidR="00F20037" w:rsidRPr="00E17C57" w:rsidRDefault="005A381A" w:rsidP="00F0773C">
      <w:pPr>
        <w:spacing w:line="240" w:lineRule="auto"/>
        <w:rPr>
          <w:i/>
          <w:lang w:val="en-US"/>
        </w:rPr>
      </w:pPr>
      <w:r>
        <w:rPr>
          <w:i/>
          <w:lang w:val="en-US"/>
        </w:rPr>
        <w:t xml:space="preserve">Supplementary figure </w:t>
      </w:r>
      <w:r w:rsidR="00E2793E" w:rsidRPr="000D4183">
        <w:rPr>
          <w:i/>
          <w:lang w:val="en-US"/>
        </w:rPr>
        <w:t>4</w:t>
      </w:r>
      <w:r w:rsidR="000E314F">
        <w:rPr>
          <w:i/>
          <w:lang w:val="en-US"/>
        </w:rPr>
        <w:t>. Six</w:t>
      </w:r>
      <w:r w:rsidR="000D4183" w:rsidRPr="000D4183">
        <w:rPr>
          <w:i/>
          <w:lang w:val="en-US"/>
        </w:rPr>
        <w:t xml:space="preserve"> </w:t>
      </w:r>
      <w:r w:rsidR="00F0773C" w:rsidRPr="000D4183">
        <w:rPr>
          <w:i/>
          <w:lang w:val="en-US"/>
        </w:rPr>
        <w:t xml:space="preserve">typical </w:t>
      </w:r>
      <w:r w:rsidR="000E314F">
        <w:rPr>
          <w:i/>
          <w:lang w:val="en-US"/>
        </w:rPr>
        <w:t>SPRi sensorgram</w:t>
      </w:r>
      <w:r w:rsidR="00F20037" w:rsidRPr="000D4183">
        <w:rPr>
          <w:i/>
          <w:lang w:val="en-US"/>
        </w:rPr>
        <w:t>s of anti-</w:t>
      </w:r>
      <w:r w:rsidR="00763619">
        <w:rPr>
          <w:i/>
          <w:lang w:val="en-US"/>
        </w:rPr>
        <w:t>SARS-CoV-2</w:t>
      </w:r>
      <w:r w:rsidR="00763619" w:rsidRPr="000D4183">
        <w:rPr>
          <w:i/>
          <w:lang w:val="en-US"/>
        </w:rPr>
        <w:t xml:space="preserve"> </w:t>
      </w:r>
      <w:r w:rsidR="00F20037" w:rsidRPr="000D4183">
        <w:rPr>
          <w:i/>
          <w:lang w:val="en-US"/>
        </w:rPr>
        <w:t>Ig</w:t>
      </w:r>
      <w:r w:rsidR="000E314F">
        <w:rPr>
          <w:i/>
          <w:lang w:val="en-US"/>
        </w:rPr>
        <w:t xml:space="preserve">G, IgA and IgM in serum of </w:t>
      </w:r>
      <w:r w:rsidR="000E6DEA">
        <w:rPr>
          <w:i/>
          <w:lang w:val="en-US"/>
        </w:rPr>
        <w:t xml:space="preserve">CoViD-19 </w:t>
      </w:r>
      <w:r w:rsidR="00F20037" w:rsidRPr="000D4183">
        <w:rPr>
          <w:i/>
          <w:lang w:val="en-US"/>
        </w:rPr>
        <w:t>patients</w:t>
      </w:r>
      <w:r w:rsidR="00763619">
        <w:rPr>
          <w:i/>
          <w:lang w:val="en-US"/>
        </w:rPr>
        <w:t>.</w:t>
      </w:r>
      <w:r w:rsidR="00F20037" w:rsidRPr="000D4183">
        <w:rPr>
          <w:i/>
          <w:lang w:val="en-US"/>
        </w:rPr>
        <w:t xml:space="preserve"> Panel </w:t>
      </w:r>
      <w:r w:rsidR="00F20037" w:rsidRPr="000D4183">
        <w:rPr>
          <w:b/>
          <w:i/>
          <w:lang w:val="en-US"/>
        </w:rPr>
        <w:t>A</w:t>
      </w:r>
      <w:r w:rsidR="000E314F">
        <w:rPr>
          <w:i/>
          <w:lang w:val="en-US"/>
        </w:rPr>
        <w:t xml:space="preserve">: patient </w:t>
      </w:r>
      <w:r w:rsidR="00F20037">
        <w:rPr>
          <w:i/>
          <w:lang w:val="en-US"/>
        </w:rPr>
        <w:t xml:space="preserve">without detectable immune globulins. </w:t>
      </w:r>
      <w:r w:rsidR="00F20037">
        <w:rPr>
          <w:b/>
          <w:i/>
          <w:lang w:val="en-US"/>
        </w:rPr>
        <w:t>B</w:t>
      </w:r>
      <w:r w:rsidR="00F20037">
        <w:rPr>
          <w:i/>
          <w:lang w:val="en-US"/>
        </w:rPr>
        <w:t>:</w:t>
      </w:r>
      <w:r w:rsidR="000E314F">
        <w:rPr>
          <w:i/>
          <w:lang w:val="en-US"/>
        </w:rPr>
        <w:t xml:space="preserve"> </w:t>
      </w:r>
      <w:r w:rsidR="00F20037">
        <w:rPr>
          <w:i/>
          <w:lang w:val="en-US"/>
        </w:rPr>
        <w:t xml:space="preserve">patient with mild symptoms. </w:t>
      </w:r>
      <w:r w:rsidR="00F20037">
        <w:rPr>
          <w:b/>
          <w:i/>
          <w:lang w:val="en-US"/>
        </w:rPr>
        <w:t>C</w:t>
      </w:r>
      <w:r w:rsidR="000E314F">
        <w:rPr>
          <w:i/>
          <w:lang w:val="en-US"/>
        </w:rPr>
        <w:t xml:space="preserve">: </w:t>
      </w:r>
      <w:r w:rsidR="00F20037">
        <w:rPr>
          <w:i/>
          <w:lang w:val="en-US"/>
        </w:rPr>
        <w:t xml:space="preserve">patient with only an IgG response. </w:t>
      </w:r>
      <w:r w:rsidR="00F20037">
        <w:rPr>
          <w:b/>
          <w:i/>
          <w:lang w:val="en-US"/>
        </w:rPr>
        <w:t>D</w:t>
      </w:r>
      <w:r w:rsidR="000E314F">
        <w:rPr>
          <w:i/>
          <w:lang w:val="en-US"/>
        </w:rPr>
        <w:t>: patient</w:t>
      </w:r>
      <w:r w:rsidR="00855440">
        <w:rPr>
          <w:i/>
          <w:lang w:val="en-US"/>
        </w:rPr>
        <w:t xml:space="preserve"> </w:t>
      </w:r>
      <w:r w:rsidR="00F20037">
        <w:rPr>
          <w:i/>
          <w:lang w:val="en-US"/>
        </w:rPr>
        <w:t xml:space="preserve">with undetectable IgM a moderate IgG and a high IgA. Panel </w:t>
      </w:r>
      <w:r w:rsidR="00F20037">
        <w:rPr>
          <w:b/>
          <w:i/>
          <w:lang w:val="en-US"/>
        </w:rPr>
        <w:t>E</w:t>
      </w:r>
      <w:r w:rsidR="00F20037">
        <w:rPr>
          <w:i/>
          <w:lang w:val="en-US"/>
        </w:rPr>
        <w:t xml:space="preserve"> and </w:t>
      </w:r>
      <w:r w:rsidR="00F20037">
        <w:rPr>
          <w:b/>
          <w:i/>
          <w:lang w:val="en-US"/>
        </w:rPr>
        <w:t>F</w:t>
      </w:r>
      <w:r w:rsidR="00F20037">
        <w:rPr>
          <w:i/>
          <w:lang w:val="en-US"/>
        </w:rPr>
        <w:t xml:space="preserve"> show various levels of IgM, IgG and IgA.</w:t>
      </w:r>
      <w:r w:rsidR="006F78C0">
        <w:rPr>
          <w:i/>
          <w:lang w:val="en-US"/>
        </w:rPr>
        <w:t xml:space="preserve"> In figure 1 of the manusc</w:t>
      </w:r>
      <w:r w:rsidR="00E17C57">
        <w:rPr>
          <w:i/>
          <w:lang w:val="en-US"/>
        </w:rPr>
        <w:t xml:space="preserve">ript </w:t>
      </w:r>
      <w:r w:rsidR="006F78C0">
        <w:rPr>
          <w:i/>
          <w:lang w:val="en-US"/>
        </w:rPr>
        <w:t>three typical</w:t>
      </w:r>
      <w:r w:rsidR="00E17C57">
        <w:rPr>
          <w:i/>
          <w:lang w:val="en-US"/>
        </w:rPr>
        <w:t xml:space="preserve"> </w:t>
      </w:r>
      <w:r w:rsidR="005A75EE">
        <w:rPr>
          <w:i/>
          <w:lang w:val="en-US"/>
        </w:rPr>
        <w:t xml:space="preserve">explanatory </w:t>
      </w:r>
      <w:r w:rsidR="00E17C57">
        <w:rPr>
          <w:i/>
          <w:lang w:val="en-US"/>
        </w:rPr>
        <w:t>examples</w:t>
      </w:r>
      <w:r w:rsidR="006F78C0">
        <w:rPr>
          <w:i/>
          <w:lang w:val="en-US"/>
        </w:rPr>
        <w:t xml:space="preserve"> are illustrated.</w:t>
      </w:r>
    </w:p>
    <w:p w14:paraId="334D4177" w14:textId="65AA4A1D" w:rsidR="00F20037" w:rsidRDefault="00F20037" w:rsidP="00A16BAA">
      <w:pPr>
        <w:spacing w:line="360" w:lineRule="auto"/>
        <w:rPr>
          <w:rFonts w:ascii="Times" w:hAnsi="Times"/>
          <w:b/>
          <w:lang w:val="en-US"/>
        </w:rPr>
      </w:pPr>
    </w:p>
    <w:p w14:paraId="50EA29E1" w14:textId="66309C12" w:rsidR="009C1E1C" w:rsidRDefault="009C1E1C" w:rsidP="00A16BAA">
      <w:pPr>
        <w:spacing w:line="360" w:lineRule="auto"/>
        <w:rPr>
          <w:rFonts w:ascii="Times" w:hAnsi="Times"/>
          <w:b/>
          <w:lang w:val="en-US"/>
        </w:rPr>
      </w:pPr>
      <w:r>
        <w:rPr>
          <w:noProof/>
          <w:lang w:eastAsia="nl-NL"/>
        </w:rPr>
        <w:lastRenderedPageBreak/>
        <w:drawing>
          <wp:anchor distT="0" distB="0" distL="114300" distR="114300" simplePos="0" relativeHeight="251677696" behindDoc="0" locked="0" layoutInCell="1" allowOverlap="1" wp14:anchorId="71E05DFD" wp14:editId="4782B1FD">
            <wp:simplePos x="0" y="0"/>
            <wp:positionH relativeFrom="column">
              <wp:posOffset>0</wp:posOffset>
            </wp:positionH>
            <wp:positionV relativeFrom="paragraph">
              <wp:posOffset>339725</wp:posOffset>
            </wp:positionV>
            <wp:extent cx="5760720" cy="181673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1816735"/>
                    </a:xfrm>
                    <a:prstGeom prst="rect">
                      <a:avLst/>
                    </a:prstGeom>
                  </pic:spPr>
                </pic:pic>
              </a:graphicData>
            </a:graphic>
          </wp:anchor>
        </w:drawing>
      </w:r>
    </w:p>
    <w:p w14:paraId="7EE9FFDE" w14:textId="77777777" w:rsidR="009C1E1C" w:rsidRDefault="009C1E1C" w:rsidP="00A16BAA">
      <w:pPr>
        <w:spacing w:line="360" w:lineRule="auto"/>
        <w:rPr>
          <w:i/>
          <w:lang w:val="en-US"/>
        </w:rPr>
      </w:pPr>
    </w:p>
    <w:p w14:paraId="556071F3" w14:textId="2D563A4F" w:rsidR="009C1E1C" w:rsidRDefault="009C1E1C" w:rsidP="00D64CC6">
      <w:pPr>
        <w:spacing w:line="276" w:lineRule="auto"/>
        <w:rPr>
          <w:rFonts w:ascii="Times" w:hAnsi="Times"/>
          <w:b/>
          <w:lang w:val="en-US"/>
        </w:rPr>
      </w:pPr>
      <w:r>
        <w:rPr>
          <w:i/>
          <w:lang w:val="en-US"/>
        </w:rPr>
        <w:t xml:space="preserve">Supplementary figure </w:t>
      </w:r>
      <w:r w:rsidR="00855440">
        <w:rPr>
          <w:i/>
          <w:lang w:val="en-US"/>
        </w:rPr>
        <w:t>5</w:t>
      </w:r>
      <w:r w:rsidRPr="000D4183">
        <w:rPr>
          <w:i/>
          <w:lang w:val="en-US"/>
        </w:rPr>
        <w:t>.</w:t>
      </w:r>
      <w:r>
        <w:rPr>
          <w:i/>
          <w:lang w:val="en-US"/>
        </w:rPr>
        <w:t xml:space="preserve"> </w:t>
      </w:r>
      <w:r w:rsidR="00697B52">
        <w:rPr>
          <w:i/>
          <w:lang w:val="en-US"/>
        </w:rPr>
        <w:t>The levels of IgM (magenta), IgG (green) and IgA (</w:t>
      </w:r>
      <w:r w:rsidR="00D64CC6">
        <w:rPr>
          <w:i/>
          <w:lang w:val="en-US"/>
        </w:rPr>
        <w:t xml:space="preserve">blue) as a function of days of symptoms onset for the patients. A wide variety of levels of the antibodies was measured. In the right panel a typical course of the disease is shown for a woman of age 68 with a BMI of 30.7. </w:t>
      </w:r>
    </w:p>
    <w:p w14:paraId="533FA310" w14:textId="2BBB6A80" w:rsidR="009C1E1C" w:rsidRDefault="009C1E1C" w:rsidP="00A16BAA">
      <w:pPr>
        <w:spacing w:line="360" w:lineRule="auto"/>
        <w:rPr>
          <w:rFonts w:ascii="Times" w:hAnsi="Times"/>
          <w:b/>
          <w:lang w:val="en-US"/>
        </w:rPr>
      </w:pPr>
    </w:p>
    <w:p w14:paraId="4FF1859E" w14:textId="6B154839" w:rsidR="009C1E1C" w:rsidRDefault="009C1E1C" w:rsidP="00A16BAA">
      <w:pPr>
        <w:spacing w:line="360" w:lineRule="auto"/>
        <w:rPr>
          <w:rFonts w:ascii="Times" w:hAnsi="Times"/>
          <w:b/>
          <w:lang w:val="en-US"/>
        </w:rPr>
      </w:pPr>
    </w:p>
    <w:p w14:paraId="2A80916B" w14:textId="12B3DF89" w:rsidR="009C1E1C" w:rsidRDefault="009C1E1C" w:rsidP="00A16BAA">
      <w:pPr>
        <w:spacing w:line="360" w:lineRule="auto"/>
        <w:rPr>
          <w:rFonts w:ascii="Times" w:hAnsi="Times"/>
          <w:b/>
          <w:lang w:val="en-US"/>
        </w:rPr>
      </w:pPr>
    </w:p>
    <w:p w14:paraId="19934BF6" w14:textId="3B4EAD5C" w:rsidR="009C1E1C" w:rsidRDefault="009C1E1C" w:rsidP="00A16BAA">
      <w:pPr>
        <w:spacing w:line="360" w:lineRule="auto"/>
        <w:rPr>
          <w:rFonts w:ascii="Times" w:hAnsi="Times"/>
          <w:b/>
          <w:lang w:val="en-US"/>
        </w:rPr>
      </w:pPr>
    </w:p>
    <w:p w14:paraId="545D6867" w14:textId="25DAD0B3" w:rsidR="009C1E1C" w:rsidRDefault="009C1E1C" w:rsidP="00A16BAA">
      <w:pPr>
        <w:spacing w:line="360" w:lineRule="auto"/>
        <w:rPr>
          <w:rFonts w:ascii="Times" w:hAnsi="Times"/>
          <w:b/>
          <w:lang w:val="en-US"/>
        </w:rPr>
      </w:pPr>
    </w:p>
    <w:p w14:paraId="56851BBF" w14:textId="0BC291B3" w:rsidR="009C1E1C" w:rsidRDefault="009C1E1C" w:rsidP="00A16BAA">
      <w:pPr>
        <w:spacing w:line="360" w:lineRule="auto"/>
        <w:rPr>
          <w:rFonts w:ascii="Times" w:hAnsi="Times"/>
          <w:b/>
          <w:lang w:val="en-US"/>
        </w:rPr>
      </w:pPr>
    </w:p>
    <w:p w14:paraId="425C494F" w14:textId="11766D35" w:rsidR="009C1E1C" w:rsidRDefault="009C1E1C" w:rsidP="00A16BAA">
      <w:pPr>
        <w:spacing w:line="360" w:lineRule="auto"/>
        <w:rPr>
          <w:rFonts w:ascii="Times" w:hAnsi="Times"/>
          <w:b/>
          <w:lang w:val="en-US"/>
        </w:rPr>
      </w:pPr>
    </w:p>
    <w:p w14:paraId="07484CCB" w14:textId="4D83CB1A" w:rsidR="009C1E1C" w:rsidRDefault="009C1E1C" w:rsidP="00A16BAA">
      <w:pPr>
        <w:spacing w:line="360" w:lineRule="auto"/>
        <w:rPr>
          <w:rFonts w:ascii="Times" w:hAnsi="Times"/>
          <w:b/>
          <w:lang w:val="en-US"/>
        </w:rPr>
      </w:pPr>
    </w:p>
    <w:p w14:paraId="54137F08" w14:textId="36C217A7" w:rsidR="009C1E1C" w:rsidRDefault="009C1E1C" w:rsidP="00A16BAA">
      <w:pPr>
        <w:spacing w:line="360" w:lineRule="auto"/>
        <w:rPr>
          <w:rFonts w:ascii="Times" w:hAnsi="Times"/>
          <w:b/>
          <w:lang w:val="en-US"/>
        </w:rPr>
      </w:pPr>
    </w:p>
    <w:p w14:paraId="4F122EEB" w14:textId="77777777" w:rsidR="009C1E1C" w:rsidRDefault="009C1E1C" w:rsidP="00A16BAA">
      <w:pPr>
        <w:spacing w:line="360" w:lineRule="auto"/>
        <w:rPr>
          <w:rFonts w:ascii="Times" w:hAnsi="Times"/>
          <w:b/>
          <w:lang w:val="en-US"/>
        </w:rPr>
      </w:pPr>
    </w:p>
    <w:p w14:paraId="35D53E82" w14:textId="29FC5F9A" w:rsidR="00A16BAA" w:rsidRDefault="00A16BAA" w:rsidP="00A16BAA">
      <w:pPr>
        <w:spacing w:line="360" w:lineRule="auto"/>
        <w:rPr>
          <w:b/>
          <w:lang w:val="en-US"/>
        </w:rPr>
      </w:pPr>
      <w:r>
        <w:rPr>
          <w:noProof/>
          <w:lang w:eastAsia="nl-NL"/>
        </w:rPr>
        <w:lastRenderedPageBreak/>
        <w:drawing>
          <wp:anchor distT="0" distB="0" distL="114300" distR="114300" simplePos="0" relativeHeight="251659264" behindDoc="0" locked="0" layoutInCell="1" allowOverlap="1" wp14:anchorId="153CA176" wp14:editId="520AE230">
            <wp:simplePos x="0" y="0"/>
            <wp:positionH relativeFrom="column">
              <wp:posOffset>0</wp:posOffset>
            </wp:positionH>
            <wp:positionV relativeFrom="paragraph">
              <wp:posOffset>177165</wp:posOffset>
            </wp:positionV>
            <wp:extent cx="5486400" cy="332613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326130"/>
                    </a:xfrm>
                    <a:prstGeom prst="rect">
                      <a:avLst/>
                    </a:prstGeom>
                    <a:noFill/>
                  </pic:spPr>
                </pic:pic>
              </a:graphicData>
            </a:graphic>
            <wp14:sizeRelH relativeFrom="page">
              <wp14:pctWidth>0</wp14:pctWidth>
            </wp14:sizeRelH>
            <wp14:sizeRelV relativeFrom="page">
              <wp14:pctHeight>0</wp14:pctHeight>
            </wp14:sizeRelV>
          </wp:anchor>
        </w:drawing>
      </w:r>
    </w:p>
    <w:p w14:paraId="50CBD79E" w14:textId="6FD9E397" w:rsidR="00A16BAA" w:rsidRDefault="005A381A" w:rsidP="00A16BAA">
      <w:pPr>
        <w:rPr>
          <w:i/>
          <w:lang w:val="en-US"/>
        </w:rPr>
      </w:pPr>
      <w:r>
        <w:rPr>
          <w:i/>
          <w:lang w:val="en-US"/>
        </w:rPr>
        <w:t xml:space="preserve">Supplementary figure </w:t>
      </w:r>
      <w:r w:rsidR="00D64CC6">
        <w:rPr>
          <w:i/>
          <w:lang w:val="en-US"/>
        </w:rPr>
        <w:t>6</w:t>
      </w:r>
      <w:r w:rsidR="00A16BAA">
        <w:rPr>
          <w:i/>
          <w:lang w:val="en-US"/>
        </w:rPr>
        <w:t>. Sensorgram of a F</w:t>
      </w:r>
      <w:r w:rsidR="00F20037">
        <w:rPr>
          <w:i/>
          <w:lang w:val="en-US"/>
        </w:rPr>
        <w:t>ab anti human IgG injection and the response of</w:t>
      </w:r>
      <w:r w:rsidR="00A16BAA">
        <w:rPr>
          <w:i/>
          <w:lang w:val="en-US"/>
        </w:rPr>
        <w:t xml:space="preserve"> all 96 spots. In the dissociation phase of the sensorgram one can observe differences due to stronger or we</w:t>
      </w:r>
      <w:r w:rsidR="005A75EE">
        <w:rPr>
          <w:i/>
          <w:lang w:val="en-US"/>
        </w:rPr>
        <w:t>aker binding of the anti-RBD</w:t>
      </w:r>
      <w:r w:rsidR="00A16BAA">
        <w:rPr>
          <w:i/>
          <w:lang w:val="en-US"/>
        </w:rPr>
        <w:t xml:space="preserve"> antibodies to the spots. The off-rate is however also dependent on the ligand density. </w:t>
      </w:r>
      <w:r w:rsidR="00D64CC6">
        <w:rPr>
          <w:i/>
          <w:lang w:val="en-US"/>
        </w:rPr>
        <w:t>Therefore,</w:t>
      </w:r>
      <w:r w:rsidR="00A16BAA">
        <w:rPr>
          <w:i/>
          <w:lang w:val="en-US"/>
        </w:rPr>
        <w:t xml:space="preserve"> we decided that the anti-RBD antibodies from the same patient should be spotted in 4 densities. Panel insert: The off-rate as a function of the Fab response. The value of the off-rate was determined at R=1000 RU by interpolating the values obtained in the ligand density gradient.  </w:t>
      </w:r>
    </w:p>
    <w:p w14:paraId="2B4868B7" w14:textId="125AEEFC" w:rsidR="00D1247D" w:rsidRDefault="00D1247D" w:rsidP="006E53BB">
      <w:pPr>
        <w:spacing w:line="360" w:lineRule="auto"/>
        <w:rPr>
          <w:lang w:val="en-US"/>
        </w:rPr>
      </w:pPr>
    </w:p>
    <w:p w14:paraId="16100BD9" w14:textId="22FF2205" w:rsidR="00D1247D" w:rsidRDefault="00D1247D" w:rsidP="006E53BB">
      <w:pPr>
        <w:spacing w:line="360" w:lineRule="auto"/>
        <w:rPr>
          <w:lang w:val="en-US"/>
        </w:rPr>
      </w:pPr>
    </w:p>
    <w:p w14:paraId="30C8DBC1" w14:textId="27178862" w:rsidR="00D1247D" w:rsidRDefault="00D1247D" w:rsidP="006E53BB">
      <w:pPr>
        <w:spacing w:line="360" w:lineRule="auto"/>
        <w:rPr>
          <w:lang w:val="en-US"/>
        </w:rPr>
      </w:pPr>
    </w:p>
    <w:p w14:paraId="4CD7E261" w14:textId="0A18EE6D" w:rsidR="00D1247D" w:rsidRDefault="00D1247D" w:rsidP="006E53BB">
      <w:pPr>
        <w:spacing w:line="360" w:lineRule="auto"/>
        <w:rPr>
          <w:lang w:val="en-US"/>
        </w:rPr>
      </w:pPr>
    </w:p>
    <w:p w14:paraId="797F8D3B" w14:textId="227202DC" w:rsidR="00D1247D" w:rsidRDefault="00D1247D" w:rsidP="006E53BB">
      <w:pPr>
        <w:spacing w:line="360" w:lineRule="auto"/>
        <w:rPr>
          <w:lang w:val="en-US"/>
        </w:rPr>
      </w:pPr>
    </w:p>
    <w:p w14:paraId="0AE46973" w14:textId="32714346" w:rsidR="00D1247D" w:rsidRDefault="00D1247D" w:rsidP="006E53BB">
      <w:pPr>
        <w:spacing w:line="360" w:lineRule="auto"/>
        <w:rPr>
          <w:lang w:val="en-US"/>
        </w:rPr>
      </w:pPr>
    </w:p>
    <w:p w14:paraId="3E2EA7C0" w14:textId="13B33A07" w:rsidR="00D1247D" w:rsidRDefault="00D1247D" w:rsidP="006E53BB">
      <w:pPr>
        <w:spacing w:line="360" w:lineRule="auto"/>
        <w:rPr>
          <w:lang w:val="en-US"/>
        </w:rPr>
      </w:pPr>
    </w:p>
    <w:p w14:paraId="4D06F266" w14:textId="7F7824F1" w:rsidR="00D1247D" w:rsidRDefault="00D1247D" w:rsidP="006E53BB">
      <w:pPr>
        <w:spacing w:line="360" w:lineRule="auto"/>
        <w:rPr>
          <w:lang w:val="en-US"/>
        </w:rPr>
      </w:pPr>
    </w:p>
    <w:p w14:paraId="3CCF9BD4" w14:textId="77777777" w:rsidR="00D1247D" w:rsidRDefault="00D1247D" w:rsidP="006E53BB">
      <w:pPr>
        <w:spacing w:line="360" w:lineRule="auto"/>
        <w:rPr>
          <w:lang w:val="en-US"/>
        </w:rPr>
      </w:pPr>
    </w:p>
    <w:p w14:paraId="48EA934D" w14:textId="77777777" w:rsidR="00D64CC6" w:rsidRDefault="00D64CC6" w:rsidP="006E53BB">
      <w:pPr>
        <w:spacing w:line="360" w:lineRule="auto"/>
        <w:rPr>
          <w:lang w:val="en-US"/>
        </w:rPr>
      </w:pPr>
    </w:p>
    <w:p w14:paraId="1F8EECE9" w14:textId="77777777" w:rsidR="006E53BB" w:rsidRDefault="006E53BB" w:rsidP="00453F35">
      <w:pPr>
        <w:spacing w:line="360" w:lineRule="auto"/>
        <w:rPr>
          <w:rFonts w:cstheme="minorHAnsi"/>
          <w:highlight w:val="yellow"/>
          <w:lang w:val="en-US"/>
        </w:rPr>
      </w:pPr>
    </w:p>
    <w:p w14:paraId="512E9E1D" w14:textId="77777777" w:rsidR="00630E76" w:rsidRDefault="00630E76" w:rsidP="00630E76">
      <w:pPr>
        <w:spacing w:line="360" w:lineRule="auto"/>
        <w:rPr>
          <w:i/>
          <w:lang w:val="en-US"/>
        </w:rPr>
      </w:pPr>
      <w:r>
        <w:rPr>
          <w:i/>
          <w:lang w:val="en-US"/>
        </w:rPr>
        <w:lastRenderedPageBreak/>
        <w:t>Sensor surface preparation</w:t>
      </w:r>
    </w:p>
    <w:p w14:paraId="04749262" w14:textId="39618526" w:rsidR="00630E76" w:rsidRDefault="00630E76" w:rsidP="00630E76">
      <w:pPr>
        <w:spacing w:line="360" w:lineRule="auto"/>
        <w:ind w:firstLine="708"/>
        <w:rPr>
          <w:lang w:val="en-US"/>
        </w:rPr>
      </w:pPr>
      <w:r>
        <w:rPr>
          <w:lang w:val="en-US"/>
        </w:rPr>
        <w:t xml:space="preserve">Initially a selection was made for which protein of SARS-CoV-2 the SPR imaging test should be set up. Among the various immunogenic </w:t>
      </w:r>
      <w:r w:rsidR="000C54CE">
        <w:rPr>
          <w:lang w:val="en-US"/>
        </w:rPr>
        <w:t>proteins,</w:t>
      </w:r>
      <w:r>
        <w:rPr>
          <w:lang w:val="en-US"/>
        </w:rPr>
        <w:t xml:space="preserve"> we observed a better specific response on RBD with respect to S1 or S1+S2 or nucleocapsid</w:t>
      </w:r>
      <w:r w:rsidR="00430A29">
        <w:rPr>
          <w:lang w:val="en-US"/>
        </w:rPr>
        <w:t xml:space="preserve"> proteins of SARS-CoV-2</w:t>
      </w:r>
      <w:r>
        <w:rPr>
          <w:lang w:val="en-US"/>
        </w:rPr>
        <w:t>. The molecular weight of RBD with 192 amino acids [</w:t>
      </w:r>
      <w:r w:rsidR="00AF3FA5">
        <w:rPr>
          <w:lang w:val="en-US"/>
        </w:rPr>
        <w:t>16</w:t>
      </w:r>
      <w:r>
        <w:rPr>
          <w:lang w:val="en-US"/>
        </w:rPr>
        <w:t xml:space="preserve">] is smaller than the S domains and immobilization resulted in a higher functional ligand density. Based on these first results we decided to choose for the recombinant RBD-Spike protein and not to optimize the system for the various antigens. As confirmed in the literature, the RBD-Spike protein generates more potent antibodies for neutralizing the infection than the other immunogenic proteins of the </w:t>
      </w:r>
      <w:r>
        <w:rPr>
          <w:rFonts w:cstheme="minorHAnsi"/>
          <w:lang w:val="en-US"/>
        </w:rPr>
        <w:t>virus [</w:t>
      </w:r>
      <w:r w:rsidR="00AF3FA5">
        <w:rPr>
          <w:rFonts w:cstheme="minorHAnsi"/>
          <w:lang w:val="en-US"/>
        </w:rPr>
        <w:t>17</w:t>
      </w:r>
      <w:r>
        <w:rPr>
          <w:rFonts w:cstheme="minorHAnsi"/>
          <w:lang w:val="en-US"/>
        </w:rPr>
        <w:t>,</w:t>
      </w:r>
      <w:r w:rsidR="00AF3FA5">
        <w:rPr>
          <w:rFonts w:cstheme="minorHAnsi"/>
          <w:lang w:val="en-US"/>
        </w:rPr>
        <w:t>18</w:t>
      </w:r>
      <w:r>
        <w:rPr>
          <w:rFonts w:cstheme="minorHAnsi"/>
          <w:lang w:val="en-US"/>
        </w:rPr>
        <w:t xml:space="preserve">]. </w:t>
      </w:r>
      <w:r>
        <w:rPr>
          <w:lang w:val="en-US"/>
        </w:rPr>
        <w:t>In ELISA a discrimination between the isotypes is not possible in a single test, while in SPRi, the binding of a</w:t>
      </w:r>
      <w:r w:rsidR="00AF3FA5">
        <w:rPr>
          <w:lang w:val="en-US"/>
        </w:rPr>
        <w:t>nti-</w:t>
      </w:r>
      <w:r>
        <w:rPr>
          <w:lang w:val="en-US"/>
        </w:rPr>
        <w:t>IgM (M), a</w:t>
      </w:r>
      <w:r w:rsidR="00AF3FA5">
        <w:rPr>
          <w:lang w:val="en-US"/>
        </w:rPr>
        <w:t>nti-</w:t>
      </w:r>
      <w:r>
        <w:rPr>
          <w:lang w:val="en-US"/>
        </w:rPr>
        <w:t>IgG (G) and a</w:t>
      </w:r>
      <w:r w:rsidR="00AF3FA5">
        <w:rPr>
          <w:lang w:val="en-US"/>
        </w:rPr>
        <w:t>nti-</w:t>
      </w:r>
      <w:r>
        <w:rPr>
          <w:lang w:val="en-US"/>
        </w:rPr>
        <w:t xml:space="preserve">IgA (A) can be followed in real-time after the injection of the specific antisera. </w:t>
      </w:r>
      <w:r w:rsidRPr="00630E76">
        <w:rPr>
          <w:lang w:val="en-US"/>
        </w:rPr>
        <w:t>For the sequence of the isotypes M, G and A, six permutations do exist</w:t>
      </w:r>
      <w:r>
        <w:rPr>
          <w:lang w:val="en-US"/>
        </w:rPr>
        <w:t>: MGA, MAG, GMA, GAM, AMG and AGM. One can expect that there will be steric hindrance, which will influence the R</w:t>
      </w:r>
      <w:r>
        <w:rPr>
          <w:vertAlign w:val="subscript"/>
          <w:lang w:val="en-US"/>
        </w:rPr>
        <w:t>max</w:t>
      </w:r>
      <w:r>
        <w:rPr>
          <w:lang w:val="en-US"/>
        </w:rPr>
        <w:t xml:space="preserve"> value. Because the M showed the highest </w:t>
      </w:r>
      <w:r w:rsidR="00430A29">
        <w:rPr>
          <w:lang w:val="en-US"/>
        </w:rPr>
        <w:t>variation,</w:t>
      </w:r>
      <w:r>
        <w:rPr>
          <w:lang w:val="en-US"/>
        </w:rPr>
        <w:t xml:space="preserve"> we decided that M should be injected first. Because G is relevant for humoral immunity and is always tested in competing immunoassays G will be in the second injection so A was the third. All additional tests were carried out with the MGA sequence. </w:t>
      </w:r>
      <w:r w:rsidR="00D64CC6">
        <w:rPr>
          <w:lang w:val="en-US"/>
        </w:rPr>
        <w:t xml:space="preserve">Additionally the MGA sequence resulted in the lowest non-specific binding and/or false-positives. </w:t>
      </w:r>
    </w:p>
    <w:p w14:paraId="072076E6" w14:textId="6FC68FE7" w:rsidR="00630E76" w:rsidRDefault="00630E76" w:rsidP="00630E76">
      <w:pPr>
        <w:spacing w:line="360" w:lineRule="auto"/>
        <w:ind w:firstLine="708"/>
        <w:rPr>
          <w:lang w:val="en-US"/>
        </w:rPr>
      </w:pPr>
      <w:r>
        <w:rPr>
          <w:lang w:val="en-US"/>
        </w:rPr>
        <w:t xml:space="preserve">During the process of developing the method, the blocking buffer is crucial for reducing non-specific binding. False-positives are due to a non-optimized blocking buffer. Although we definitely think that the blocking buffer can be improved, we choose for PBS-Tween 20 - 0.1%, BSA - 0.5% and casein - 0.5% </w:t>
      </w:r>
      <w:r w:rsidR="000C54CE">
        <w:rPr>
          <w:lang w:val="en-US"/>
        </w:rPr>
        <w:t>in both the spotter and SPRimager</w:t>
      </w:r>
      <w:r>
        <w:rPr>
          <w:lang w:val="en-US"/>
        </w:rPr>
        <w:t xml:space="preserve">. </w:t>
      </w:r>
    </w:p>
    <w:p w14:paraId="037DF900" w14:textId="77777777" w:rsidR="00630E76" w:rsidRDefault="00630E76" w:rsidP="00630E76">
      <w:pPr>
        <w:spacing w:line="360" w:lineRule="auto"/>
        <w:ind w:firstLine="708"/>
        <w:rPr>
          <w:lang w:val="en-US"/>
        </w:rPr>
      </w:pPr>
      <w:r>
        <w:rPr>
          <w:lang w:val="en-US"/>
        </w:rPr>
        <w:t xml:space="preserve">The surface chemistry in terms of hydrogel quality was studied. Among various surface chemistries the HC30M surface turned out to be the best in terms of signal quality, signal homogeneity and signal reproducibility. This surface with a 30 nm open hydrogel was applied in both SPR-imagers.  </w:t>
      </w:r>
    </w:p>
    <w:p w14:paraId="23E83C9D" w14:textId="77777777" w:rsidR="00630E76" w:rsidRDefault="00630E76" w:rsidP="00453F35">
      <w:pPr>
        <w:spacing w:line="360" w:lineRule="auto"/>
        <w:rPr>
          <w:i/>
          <w:lang w:val="en-US"/>
        </w:rPr>
      </w:pPr>
    </w:p>
    <w:p w14:paraId="43C2A92A" w14:textId="1BA4FF70" w:rsidR="00453F35" w:rsidRDefault="00453F35" w:rsidP="00453F35">
      <w:pPr>
        <w:spacing w:line="360" w:lineRule="auto"/>
        <w:rPr>
          <w:i/>
          <w:lang w:val="en-US"/>
        </w:rPr>
      </w:pPr>
      <w:r w:rsidRPr="00A16BAA">
        <w:rPr>
          <w:i/>
          <w:lang w:val="en-US"/>
        </w:rPr>
        <w:t>Supplementa</w:t>
      </w:r>
      <w:r>
        <w:rPr>
          <w:i/>
          <w:lang w:val="en-US"/>
        </w:rPr>
        <w:t>ry</w:t>
      </w:r>
      <w:r w:rsidRPr="00A16BAA">
        <w:rPr>
          <w:i/>
          <w:lang w:val="en-US"/>
        </w:rPr>
        <w:t xml:space="preserve"> </w:t>
      </w:r>
      <w:r w:rsidR="005A75EE">
        <w:rPr>
          <w:i/>
          <w:lang w:val="en-US"/>
        </w:rPr>
        <w:t>explanation</w:t>
      </w:r>
      <w:r w:rsidR="00DB0A3B">
        <w:rPr>
          <w:i/>
          <w:lang w:val="en-US"/>
        </w:rPr>
        <w:t xml:space="preserve"> regarding the strength of binding</w:t>
      </w:r>
      <w:r w:rsidR="00DB0A3B" w:rsidRPr="00DB0A3B">
        <w:rPr>
          <w:i/>
          <w:lang w:val="en-US"/>
        </w:rPr>
        <w:t xml:space="preserve"> measurement of anti-SARS-CoV-2 Spike RBD IgG, IgA and IgM</w:t>
      </w:r>
      <w:r w:rsidR="00DB0A3B">
        <w:rPr>
          <w:i/>
          <w:lang w:val="en-US"/>
        </w:rPr>
        <w:t>.</w:t>
      </w:r>
    </w:p>
    <w:p w14:paraId="1B0B6212" w14:textId="4C70BFE0" w:rsidR="00453F35" w:rsidRDefault="00453F35" w:rsidP="00453F35">
      <w:pPr>
        <w:spacing w:line="360" w:lineRule="auto"/>
        <w:ind w:firstLine="708"/>
        <w:rPr>
          <w:rFonts w:cstheme="minorHAnsi"/>
          <w:lang w:val="en-US"/>
        </w:rPr>
      </w:pPr>
      <w:r>
        <w:rPr>
          <w:rFonts w:cstheme="minorHAnsi"/>
          <w:lang w:val="en-US"/>
        </w:rPr>
        <w:t xml:space="preserve">During the development of the method, we tried first an indirect route to reveal the strength of binding as shown in supplementary figure 5. Because the association rate could </w:t>
      </w:r>
      <w:r w:rsidRPr="003F4F0C">
        <w:rPr>
          <w:rFonts w:cstheme="minorHAnsi"/>
          <w:lang w:val="en-US"/>
        </w:rPr>
        <w:t>not be followed in the M</w:t>
      </w:r>
      <w:r w:rsidR="00DB0A3B">
        <w:rPr>
          <w:rFonts w:cstheme="minorHAnsi"/>
          <w:lang w:val="en-US"/>
        </w:rPr>
        <w:t>X</w:t>
      </w:r>
      <w:r w:rsidRPr="003F4F0C">
        <w:rPr>
          <w:rFonts w:cstheme="minorHAnsi"/>
          <w:lang w:val="en-US"/>
        </w:rPr>
        <w:t>96 SPR imager during the spotting process, the off-rate can be accurately measured when the SPR response is known. The Fab anti human</w:t>
      </w:r>
      <w:r w:rsidR="00F91EE7">
        <w:rPr>
          <w:rFonts w:cstheme="minorHAnsi"/>
          <w:lang w:val="en-US"/>
        </w:rPr>
        <w:t xml:space="preserve"> IgG injection (instead of the dimer anti-human </w:t>
      </w:r>
      <w:r w:rsidRPr="003F4F0C">
        <w:rPr>
          <w:rFonts w:cstheme="minorHAnsi"/>
          <w:lang w:val="en-US"/>
        </w:rPr>
        <w:t xml:space="preserve">IgG) is </w:t>
      </w:r>
      <w:r w:rsidRPr="003F4F0C">
        <w:rPr>
          <w:rFonts w:cstheme="minorHAnsi"/>
          <w:lang w:val="en-US"/>
        </w:rPr>
        <w:lastRenderedPageBreak/>
        <w:t>needed to determine the human IgG density on the spot and the Fab wi</w:t>
      </w:r>
      <w:r w:rsidR="00F91EE7">
        <w:rPr>
          <w:rFonts w:cstheme="minorHAnsi"/>
          <w:lang w:val="en-US"/>
        </w:rPr>
        <w:t>ll not cross-link the human IgG</w:t>
      </w:r>
      <w:r w:rsidRPr="003F4F0C">
        <w:rPr>
          <w:rFonts w:cstheme="minorHAnsi"/>
          <w:lang w:val="en-US"/>
        </w:rPr>
        <w:t xml:space="preserve">s on the spot. </w:t>
      </w:r>
      <w:r w:rsidR="00F91EE7">
        <w:rPr>
          <w:rFonts w:cstheme="minorHAnsi"/>
          <w:lang w:val="en-US"/>
        </w:rPr>
        <w:t xml:space="preserve">The disadvantage of this </w:t>
      </w:r>
      <w:r w:rsidR="00436306">
        <w:rPr>
          <w:rFonts w:cstheme="minorHAnsi"/>
          <w:lang w:val="en-US"/>
        </w:rPr>
        <w:t xml:space="preserve">indirect </w:t>
      </w:r>
      <w:r w:rsidR="00F91EE7">
        <w:rPr>
          <w:rFonts w:cstheme="minorHAnsi"/>
          <w:lang w:val="en-US"/>
        </w:rPr>
        <w:t xml:space="preserve">approach is that we cannot determine the fraction of the IgM and IgA off-rate. As supplementary figure 5 </w:t>
      </w:r>
      <w:r w:rsidR="000C54CE">
        <w:rPr>
          <w:rFonts w:cstheme="minorHAnsi"/>
          <w:lang w:val="en-US"/>
        </w:rPr>
        <w:t>shows,</w:t>
      </w:r>
      <w:r w:rsidR="00F91EE7">
        <w:rPr>
          <w:rFonts w:cstheme="minorHAnsi"/>
          <w:lang w:val="en-US"/>
        </w:rPr>
        <w:t xml:space="preserve"> we observed various off-rates of the anti-RBD antibodies but do not know the overall off-rate or strength of binding.   </w:t>
      </w:r>
    </w:p>
    <w:p w14:paraId="1EBE2003" w14:textId="2E317DE5" w:rsidR="00453F35" w:rsidRDefault="00453F35" w:rsidP="00453F35">
      <w:pPr>
        <w:spacing w:line="360" w:lineRule="auto"/>
        <w:ind w:firstLine="708"/>
        <w:rPr>
          <w:rFonts w:cstheme="minorHAnsi"/>
          <w:lang w:val="en-US"/>
        </w:rPr>
      </w:pPr>
      <w:r>
        <w:rPr>
          <w:rFonts w:cstheme="minorHAnsi"/>
          <w:lang w:val="en-US"/>
        </w:rPr>
        <w:t>As explained in the</w:t>
      </w:r>
      <w:r w:rsidR="00480DA9">
        <w:rPr>
          <w:rFonts w:cstheme="minorHAnsi"/>
          <w:lang w:val="en-US"/>
        </w:rPr>
        <w:t xml:space="preserve"> paper of Schasfoort et al.</w:t>
      </w:r>
      <w:r w:rsidR="004C6FD9">
        <w:rPr>
          <w:rFonts w:cstheme="minorHAnsi"/>
          <w:lang w:val="en-US"/>
        </w:rPr>
        <w:t xml:space="preserve"> </w:t>
      </w:r>
      <w:r w:rsidR="00480DA9">
        <w:rPr>
          <w:rFonts w:cstheme="minorHAnsi"/>
          <w:lang w:val="en-US"/>
        </w:rPr>
        <w:t>[</w:t>
      </w:r>
      <w:r w:rsidR="00436306">
        <w:rPr>
          <w:rFonts w:cstheme="minorHAnsi"/>
          <w:lang w:val="en-US"/>
        </w:rPr>
        <w:t>19</w:t>
      </w:r>
      <w:r w:rsidR="00480DA9">
        <w:rPr>
          <w:rFonts w:cstheme="minorHAnsi"/>
          <w:lang w:val="en-US"/>
        </w:rPr>
        <w:t>]</w:t>
      </w:r>
      <w:r w:rsidR="004C6FD9">
        <w:rPr>
          <w:rFonts w:cstheme="minorHAnsi"/>
          <w:lang w:val="en-US"/>
        </w:rPr>
        <w:t xml:space="preserve">, </w:t>
      </w:r>
      <w:r>
        <w:rPr>
          <w:rFonts w:cstheme="minorHAnsi"/>
          <w:lang w:val="en-US"/>
        </w:rPr>
        <w:t>the off-rate is a function of the ligand density due to rebinding of the protein to the spots. When spots possess exactly the same ligand density then a comparison can be made for the apparent affinity equilibrium constant (K</w:t>
      </w:r>
      <w:r>
        <w:rPr>
          <w:rFonts w:cstheme="minorHAnsi"/>
          <w:vertAlign w:val="subscript"/>
          <w:lang w:val="en-US"/>
        </w:rPr>
        <w:t>D</w:t>
      </w:r>
      <w:r>
        <w:rPr>
          <w:rFonts w:cstheme="minorHAnsi"/>
          <w:lang w:val="en-US"/>
        </w:rPr>
        <w:t>) and/or the off-rate (k</w:t>
      </w:r>
      <w:r>
        <w:rPr>
          <w:rFonts w:cstheme="minorHAnsi"/>
          <w:vertAlign w:val="subscript"/>
          <w:lang w:val="en-US"/>
        </w:rPr>
        <w:t>d</w:t>
      </w:r>
      <w:r>
        <w:rPr>
          <w:rFonts w:cstheme="minorHAnsi"/>
          <w:lang w:val="en-US"/>
        </w:rPr>
        <w:t>)</w:t>
      </w:r>
      <w:r w:rsidR="00480DA9">
        <w:rPr>
          <w:rFonts w:cstheme="minorHAnsi"/>
          <w:lang w:val="en-US"/>
        </w:rPr>
        <w:t xml:space="preserve"> [</w:t>
      </w:r>
      <w:r w:rsidR="00436306">
        <w:rPr>
          <w:rFonts w:cstheme="minorHAnsi"/>
          <w:lang w:val="en-US"/>
        </w:rPr>
        <w:t>20</w:t>
      </w:r>
      <w:r w:rsidR="00480DA9">
        <w:rPr>
          <w:rFonts w:cstheme="minorHAnsi"/>
          <w:lang w:val="en-US"/>
        </w:rPr>
        <w:t xml:space="preserve">] </w:t>
      </w:r>
      <w:r>
        <w:rPr>
          <w:rFonts w:cstheme="minorHAnsi"/>
          <w:lang w:val="en-US"/>
        </w:rPr>
        <w:t xml:space="preserve">. The four dilutions are needed to measure the off-rate by interpolating to R=1000 RU. In this way, the interpolated spot density at 1000 RU can be compared to each other for the sera and its serial dilutions. The absolute value of the off-rate depends on the quality of the Fab but it will be a constant for all spots if the antibodies will not dissociate from the surface. The quantitative value for all spots depends on the off-rates of the polyclonal human anti-RBD IgG and the samples can be compared/ranked to each other. This was the initial set-up to measure differences in off-rate. </w:t>
      </w:r>
    </w:p>
    <w:p w14:paraId="7EDED3E6" w14:textId="30B86AEA" w:rsidR="00453F35" w:rsidRDefault="00430A29" w:rsidP="00453F35">
      <w:pPr>
        <w:spacing w:line="360" w:lineRule="auto"/>
        <w:ind w:firstLine="708"/>
        <w:rPr>
          <w:rFonts w:cstheme="minorHAnsi"/>
          <w:lang w:val="en-US"/>
        </w:rPr>
      </w:pPr>
      <w:r>
        <w:rPr>
          <w:rFonts w:cstheme="minorHAnsi"/>
          <w:lang w:val="en-US"/>
        </w:rPr>
        <w:t>Fortunately,</w:t>
      </w:r>
      <w:r w:rsidR="00453F35">
        <w:rPr>
          <w:rFonts w:cstheme="minorHAnsi"/>
          <w:lang w:val="en-US"/>
        </w:rPr>
        <w:t xml:space="preserve"> in the LSA SPR </w:t>
      </w:r>
      <w:r w:rsidR="000C54CE">
        <w:rPr>
          <w:rFonts w:cstheme="minorHAnsi"/>
          <w:lang w:val="en-US"/>
        </w:rPr>
        <w:t>imager,</w:t>
      </w:r>
      <w:r w:rsidR="00453F35">
        <w:rPr>
          <w:rFonts w:cstheme="minorHAnsi"/>
          <w:lang w:val="en-US"/>
        </w:rPr>
        <w:t xml:space="preserve"> we can measure the binding of anti-RBD </w:t>
      </w:r>
      <w:r w:rsidR="00F91EE7">
        <w:rPr>
          <w:rFonts w:cstheme="minorHAnsi"/>
          <w:lang w:val="en-US"/>
        </w:rPr>
        <w:t xml:space="preserve">antibodies of all isotypes together </w:t>
      </w:r>
      <w:r w:rsidR="00453F35">
        <w:rPr>
          <w:rFonts w:cstheme="minorHAnsi"/>
          <w:lang w:val="en-US"/>
        </w:rPr>
        <w:t>of the patient sera in real time</w:t>
      </w:r>
      <w:r w:rsidR="00DB0A3B">
        <w:rPr>
          <w:rFonts w:cstheme="minorHAnsi"/>
          <w:lang w:val="en-US"/>
        </w:rPr>
        <w:t xml:space="preserve"> (see supplementary figure 1)</w:t>
      </w:r>
      <w:r w:rsidR="00453F35">
        <w:rPr>
          <w:rFonts w:cstheme="minorHAnsi"/>
          <w:lang w:val="en-US"/>
        </w:rPr>
        <w:t xml:space="preserve">, so a Fab </w:t>
      </w:r>
      <w:r w:rsidR="000C54CE">
        <w:rPr>
          <w:rFonts w:cstheme="minorHAnsi"/>
          <w:lang w:val="en-US"/>
        </w:rPr>
        <w:t>injection that shows an indirect off-rate</w:t>
      </w:r>
      <w:r w:rsidR="00453F35">
        <w:rPr>
          <w:rFonts w:cstheme="minorHAnsi"/>
          <w:lang w:val="en-US"/>
        </w:rPr>
        <w:t xml:space="preserve"> is not necessary. This facilitates the assay enormously because a separate indirect test is not necessary. After the binding of the </w:t>
      </w:r>
      <w:r>
        <w:rPr>
          <w:rFonts w:cstheme="minorHAnsi"/>
          <w:lang w:val="en-US"/>
        </w:rPr>
        <w:t>sera,</w:t>
      </w:r>
      <w:r w:rsidR="00453F35">
        <w:rPr>
          <w:rFonts w:cstheme="minorHAnsi"/>
          <w:lang w:val="en-US"/>
        </w:rPr>
        <w:t xml:space="preserve"> we injected free RBD to prevent rebinding to</w:t>
      </w:r>
      <w:r w:rsidR="001B3475">
        <w:rPr>
          <w:rFonts w:cstheme="minorHAnsi"/>
          <w:lang w:val="en-US"/>
        </w:rPr>
        <w:t xml:space="preserve"> the sensor</w:t>
      </w:r>
      <w:r w:rsidR="00453F35">
        <w:rPr>
          <w:rFonts w:cstheme="minorHAnsi"/>
          <w:lang w:val="en-US"/>
        </w:rPr>
        <w:t xml:space="preserve"> and we could follow the dissociation process of the </w:t>
      </w:r>
      <w:r w:rsidR="00397B78">
        <w:rPr>
          <w:rFonts w:cstheme="minorHAnsi"/>
          <w:lang w:val="en-US"/>
        </w:rPr>
        <w:t xml:space="preserve">total </w:t>
      </w:r>
      <w:r w:rsidR="00453F35">
        <w:rPr>
          <w:rFonts w:cstheme="minorHAnsi"/>
          <w:lang w:val="en-US"/>
        </w:rPr>
        <w:t>anti-RBD antibodies much more accurate not only as a mixed total antibody dissociation. So, the value we calculate, is a measure of the strength of the com</w:t>
      </w:r>
      <w:bookmarkStart w:id="0" w:name="_GoBack"/>
      <w:bookmarkEnd w:id="0"/>
      <w:r w:rsidR="00453F35">
        <w:rPr>
          <w:rFonts w:cstheme="minorHAnsi"/>
          <w:lang w:val="en-US"/>
        </w:rPr>
        <w:t xml:space="preserve">plex bound to RBD. </w:t>
      </w:r>
      <w:r w:rsidR="003F7004">
        <w:rPr>
          <w:rFonts w:cstheme="minorHAnsi"/>
          <w:lang w:val="en-US"/>
        </w:rPr>
        <w:t xml:space="preserve">As can be observed in supplementary figure 2, the anti-RBD molecules will dissociate from the spots and definitely, this will affect the </w:t>
      </w:r>
      <w:r w:rsidR="006544A7">
        <w:rPr>
          <w:rFonts w:cstheme="minorHAnsi"/>
          <w:lang w:val="en-US"/>
        </w:rPr>
        <w:t xml:space="preserve">initial </w:t>
      </w:r>
      <w:r w:rsidR="003F7004">
        <w:rPr>
          <w:rFonts w:cstheme="minorHAnsi"/>
          <w:lang w:val="en-US"/>
        </w:rPr>
        <w:t>values of IgM, IgG and IgA</w:t>
      </w:r>
      <w:r w:rsidR="006544A7">
        <w:rPr>
          <w:rFonts w:cstheme="minorHAnsi"/>
          <w:lang w:val="en-US"/>
        </w:rPr>
        <w:t>. Now the remaining immunoglobulins are measured</w:t>
      </w:r>
      <w:r w:rsidR="003F7004">
        <w:rPr>
          <w:rFonts w:cstheme="minorHAnsi"/>
          <w:lang w:val="en-US"/>
        </w:rPr>
        <w:t xml:space="preserve">. </w:t>
      </w:r>
      <w:r w:rsidR="006544A7">
        <w:rPr>
          <w:rFonts w:cstheme="minorHAnsi"/>
          <w:lang w:val="en-US"/>
        </w:rPr>
        <w:t>We found that the difference between initial and remaining immunoglobulins</w:t>
      </w:r>
      <w:r w:rsidR="003F7004">
        <w:rPr>
          <w:rFonts w:cstheme="minorHAnsi"/>
          <w:lang w:val="en-US"/>
        </w:rPr>
        <w:t xml:space="preserve"> was within</w:t>
      </w:r>
      <w:r w:rsidR="006544A7">
        <w:rPr>
          <w:rFonts w:cstheme="minorHAnsi"/>
          <w:lang w:val="en-US"/>
        </w:rPr>
        <w:t xml:space="preserve"> the general error of the assay</w:t>
      </w:r>
      <w:r w:rsidR="003F7004">
        <w:rPr>
          <w:rFonts w:cstheme="minorHAnsi"/>
          <w:lang w:val="en-US"/>
        </w:rPr>
        <w:t>. Ultimately, the</w:t>
      </w:r>
      <w:r w:rsidR="00453F35">
        <w:rPr>
          <w:rFonts w:cstheme="minorHAnsi"/>
          <w:lang w:val="en-US"/>
        </w:rPr>
        <w:t xml:space="preserve"> procedure was used to calculate the apparent off-rate (k</w:t>
      </w:r>
      <w:r w:rsidR="00453F35" w:rsidRPr="00CD1F07">
        <w:rPr>
          <w:rFonts w:cstheme="minorHAnsi"/>
          <w:vertAlign w:val="subscript"/>
          <w:lang w:val="en-US"/>
        </w:rPr>
        <w:t>d</w:t>
      </w:r>
      <w:r w:rsidR="00453F35">
        <w:rPr>
          <w:rFonts w:cstheme="minorHAnsi"/>
          <w:lang w:val="en-US"/>
        </w:rPr>
        <w:t xml:space="preserve">) of the anti-RBD antibodies accurately </w:t>
      </w:r>
      <w:r w:rsidR="006D5181">
        <w:rPr>
          <w:rFonts w:cstheme="minorHAnsi"/>
          <w:lang w:val="en-US"/>
        </w:rPr>
        <w:t>as is given in the main figure 5</w:t>
      </w:r>
      <w:r w:rsidR="00453F35">
        <w:rPr>
          <w:rFonts w:cstheme="minorHAnsi"/>
          <w:lang w:val="en-US"/>
        </w:rPr>
        <w:t xml:space="preserve">. </w:t>
      </w:r>
    </w:p>
    <w:p w14:paraId="45742354" w14:textId="23EEAE02" w:rsidR="00453F35" w:rsidRDefault="00453F35" w:rsidP="00453F35">
      <w:pPr>
        <w:spacing w:line="360" w:lineRule="auto"/>
        <w:ind w:firstLine="708"/>
        <w:rPr>
          <w:rFonts w:cstheme="minorHAnsi"/>
          <w:lang w:val="en-US"/>
        </w:rPr>
      </w:pPr>
      <w:r>
        <w:rPr>
          <w:rFonts w:cstheme="minorHAnsi"/>
          <w:lang w:val="en-US"/>
        </w:rPr>
        <w:t xml:space="preserve">In a single automated </w:t>
      </w:r>
      <w:r w:rsidR="00430A29">
        <w:rPr>
          <w:rFonts w:cstheme="minorHAnsi"/>
          <w:lang w:val="en-US"/>
        </w:rPr>
        <w:t>experiment,</w:t>
      </w:r>
      <w:r w:rsidRPr="00566A73">
        <w:rPr>
          <w:rFonts w:cstheme="minorHAnsi"/>
          <w:lang w:val="en-US"/>
        </w:rPr>
        <w:t xml:space="preserve"> the strength of binding can be measured plus the concentration of IgM, IgG and IgA in the serum of </w:t>
      </w:r>
      <w:r w:rsidR="000E6DEA">
        <w:rPr>
          <w:rFonts w:cstheme="minorHAnsi"/>
          <w:lang w:val="en-US"/>
        </w:rPr>
        <w:t xml:space="preserve">CoViD-19 </w:t>
      </w:r>
      <w:r w:rsidRPr="00566A73">
        <w:rPr>
          <w:rFonts w:cstheme="minorHAnsi"/>
          <w:lang w:val="en-US"/>
        </w:rPr>
        <w:t>patients</w:t>
      </w:r>
      <w:r>
        <w:rPr>
          <w:rFonts w:cstheme="minorHAnsi"/>
          <w:lang w:val="en-US"/>
        </w:rPr>
        <w:t xml:space="preserve"> and this</w:t>
      </w:r>
      <w:r w:rsidRPr="00453F35">
        <w:rPr>
          <w:rFonts w:cstheme="minorHAnsi"/>
          <w:lang w:val="en-US"/>
        </w:rPr>
        <w:t xml:space="preserve"> can be considered as the first break-th</w:t>
      </w:r>
      <w:r>
        <w:rPr>
          <w:rFonts w:cstheme="minorHAnsi"/>
          <w:lang w:val="en-US"/>
        </w:rPr>
        <w:t xml:space="preserve">rough of the </w:t>
      </w:r>
      <w:r w:rsidR="00430A29">
        <w:rPr>
          <w:rFonts w:cstheme="minorHAnsi"/>
          <w:lang w:val="en-US"/>
        </w:rPr>
        <w:t xml:space="preserve">high-throughput </w:t>
      </w:r>
      <w:r>
        <w:rPr>
          <w:rFonts w:cstheme="minorHAnsi"/>
          <w:lang w:val="en-US"/>
        </w:rPr>
        <w:t>method</w:t>
      </w:r>
      <w:r w:rsidRPr="00566A73">
        <w:rPr>
          <w:rFonts w:cstheme="minorHAnsi"/>
          <w:lang w:val="en-US"/>
        </w:rPr>
        <w:t>.</w:t>
      </w:r>
      <w:r>
        <w:rPr>
          <w:rFonts w:cstheme="minorHAnsi"/>
          <w:lang w:val="en-US"/>
        </w:rPr>
        <w:t xml:space="preserve"> The second break-through is that we observed that during the course of the disease the strength of binding of the anti RBD antibodies of </w:t>
      </w:r>
      <w:r w:rsidR="000E6DEA">
        <w:rPr>
          <w:rFonts w:cstheme="minorHAnsi"/>
          <w:lang w:val="en-US"/>
        </w:rPr>
        <w:t xml:space="preserve">CoViD-19 </w:t>
      </w:r>
      <w:r w:rsidR="00430A29">
        <w:rPr>
          <w:rFonts w:cstheme="minorHAnsi"/>
          <w:lang w:val="en-US"/>
        </w:rPr>
        <w:t>patients</w:t>
      </w:r>
      <w:r>
        <w:rPr>
          <w:rFonts w:cstheme="minorHAnsi"/>
          <w:lang w:val="en-US"/>
        </w:rPr>
        <w:t xml:space="preserve"> increases independent</w:t>
      </w:r>
      <w:r w:rsidR="006E53BB">
        <w:rPr>
          <w:rFonts w:cstheme="minorHAnsi"/>
          <w:lang w:val="en-US"/>
        </w:rPr>
        <w:t>ly</w:t>
      </w:r>
      <w:r w:rsidR="00430A29">
        <w:rPr>
          <w:rFonts w:cstheme="minorHAnsi"/>
          <w:lang w:val="en-US"/>
        </w:rPr>
        <w:t xml:space="preserve"> from the isotype ratios which changed too. Hence,</w:t>
      </w:r>
      <w:r>
        <w:rPr>
          <w:rFonts w:cstheme="minorHAnsi"/>
          <w:lang w:val="en-US"/>
        </w:rPr>
        <w:t xml:space="preserve"> a well-known maturation effect of the affinity of antibodies can be </w:t>
      </w:r>
      <w:r w:rsidR="006E53BB">
        <w:rPr>
          <w:rFonts w:cstheme="minorHAnsi"/>
          <w:lang w:val="en-US"/>
        </w:rPr>
        <w:t xml:space="preserve">ranked and </w:t>
      </w:r>
      <w:r>
        <w:rPr>
          <w:rFonts w:cstheme="minorHAnsi"/>
          <w:lang w:val="en-US"/>
        </w:rPr>
        <w:t xml:space="preserve">quantified precisely. It is clear that the new method enables to follow the strength of binding and concentration of anti-RBD </w:t>
      </w:r>
      <w:r>
        <w:rPr>
          <w:rFonts w:cstheme="minorHAnsi"/>
          <w:lang w:val="en-US"/>
        </w:rPr>
        <w:lastRenderedPageBreak/>
        <w:t xml:space="preserve">antibodies not only of </w:t>
      </w:r>
      <w:r w:rsidR="000E6DEA">
        <w:rPr>
          <w:rFonts w:cstheme="minorHAnsi"/>
          <w:lang w:val="en-US"/>
        </w:rPr>
        <w:t xml:space="preserve">CoViD-19 </w:t>
      </w:r>
      <w:r>
        <w:rPr>
          <w:rFonts w:cstheme="minorHAnsi"/>
          <w:lang w:val="en-US"/>
        </w:rPr>
        <w:t>patients but also of healthy people who will be vaccinated to SA</w:t>
      </w:r>
      <w:r w:rsidR="00430A29">
        <w:rPr>
          <w:rFonts w:cstheme="minorHAnsi"/>
          <w:lang w:val="en-US"/>
        </w:rPr>
        <w:t>RS-CoV-2 in clinical trials that are foreseen for the autumn of 2020</w:t>
      </w:r>
      <w:r>
        <w:rPr>
          <w:rFonts w:cstheme="minorHAnsi"/>
          <w:lang w:val="en-US"/>
        </w:rPr>
        <w:t xml:space="preserve">. </w:t>
      </w:r>
    </w:p>
    <w:p w14:paraId="3CA71340" w14:textId="77777777" w:rsidR="00A16BAA" w:rsidRDefault="00A16BAA" w:rsidP="00A16BAA">
      <w:pPr>
        <w:spacing w:line="360" w:lineRule="auto"/>
        <w:rPr>
          <w:i/>
          <w:lang w:val="en-US"/>
        </w:rPr>
      </w:pPr>
    </w:p>
    <w:p w14:paraId="709A619A" w14:textId="00ED93E1" w:rsidR="00A16BAA" w:rsidRDefault="006D5181" w:rsidP="006D5181">
      <w:pPr>
        <w:pStyle w:val="Heading2"/>
        <w:rPr>
          <w:lang w:val="en-US"/>
        </w:rPr>
      </w:pPr>
      <w:r w:rsidRPr="006D5181">
        <w:rPr>
          <w:lang w:val="en-US"/>
        </w:rPr>
        <w:t>References</w:t>
      </w:r>
    </w:p>
    <w:p w14:paraId="51A43307" w14:textId="57E2F544" w:rsidR="00436306" w:rsidRPr="006D5181" w:rsidRDefault="00436306" w:rsidP="006D5181">
      <w:pPr>
        <w:pStyle w:val="ListParagraph"/>
        <w:numPr>
          <w:ilvl w:val="0"/>
          <w:numId w:val="6"/>
        </w:numPr>
        <w:spacing w:line="360" w:lineRule="auto"/>
        <w:ind w:left="709" w:hanging="720"/>
        <w:rPr>
          <w:lang w:val="en-US"/>
        </w:rPr>
      </w:pPr>
      <w:r w:rsidRPr="006D5181">
        <w:rPr>
          <w:lang w:val="en-US"/>
        </w:rPr>
        <w:t xml:space="preserve">Zhu X, Liu Q, Du L, Lu L, Jiang S. Receptor-binding domain as a target for developing SARS vaccines. J Thorac Dis. 2013; 5 Suppl 2(Suppl 2):S142-S148. doi:10.3978/j.issn.2072-1439.2013.06.06 </w:t>
      </w:r>
    </w:p>
    <w:p w14:paraId="2346858C" w14:textId="50FC2A52" w:rsidR="00436306" w:rsidRPr="006D5181" w:rsidRDefault="00436306" w:rsidP="006D5181">
      <w:pPr>
        <w:pStyle w:val="ListParagraph"/>
        <w:numPr>
          <w:ilvl w:val="0"/>
          <w:numId w:val="6"/>
        </w:numPr>
        <w:spacing w:line="360" w:lineRule="auto"/>
        <w:ind w:left="709" w:hanging="720"/>
        <w:rPr>
          <w:lang w:val="en-US"/>
        </w:rPr>
      </w:pPr>
      <w:r w:rsidRPr="006D5181">
        <w:rPr>
          <w:lang w:val="en-US"/>
        </w:rPr>
        <w:t>Meyer B, Drosten C, Muller MA. Serological assays for emerging coronaviruses: challenges and pitfalls. Virus research. 2014 194:175-83</w:t>
      </w:r>
    </w:p>
    <w:p w14:paraId="637E2087" w14:textId="4FC17520" w:rsidR="00436306" w:rsidRPr="006D5181" w:rsidRDefault="00436306" w:rsidP="006D5181">
      <w:pPr>
        <w:pStyle w:val="ListParagraph"/>
        <w:numPr>
          <w:ilvl w:val="0"/>
          <w:numId w:val="6"/>
        </w:numPr>
        <w:spacing w:line="360" w:lineRule="auto"/>
        <w:ind w:left="709" w:hanging="720"/>
        <w:rPr>
          <w:lang w:val="en-US"/>
        </w:rPr>
      </w:pPr>
      <w:r w:rsidRPr="006D5181">
        <w:rPr>
          <w:lang w:val="en-US"/>
        </w:rPr>
        <w:t>Lan J. et al. Structure of the SARS-CoV-2 spike receptor-binding domain bound to the ACE2 receptor. Nature 581, 215–220 (2020). https://doi.org/10.1038/s41586-020-2180-5</w:t>
      </w:r>
    </w:p>
    <w:p w14:paraId="7A4EB220" w14:textId="556BCBB1" w:rsidR="006D5181" w:rsidRDefault="006D5181" w:rsidP="006D5181">
      <w:pPr>
        <w:pStyle w:val="ListParagraph"/>
        <w:numPr>
          <w:ilvl w:val="0"/>
          <w:numId w:val="6"/>
        </w:numPr>
        <w:spacing w:line="360" w:lineRule="auto"/>
        <w:ind w:left="709" w:hanging="720"/>
        <w:rPr>
          <w:lang w:val="en-US"/>
        </w:rPr>
      </w:pPr>
      <w:r>
        <w:rPr>
          <w:lang w:val="en-US"/>
        </w:rPr>
        <w:t>Schasfoort et al.</w:t>
      </w:r>
      <w:r w:rsidR="00436306" w:rsidRPr="006D5181">
        <w:rPr>
          <w:lang w:val="en-US"/>
        </w:rPr>
        <w:t xml:space="preserve"> Method for estimating the single molecular affinity, Ana</w:t>
      </w:r>
      <w:r w:rsidRPr="006D5181">
        <w:rPr>
          <w:lang w:val="en-US"/>
        </w:rPr>
        <w:t xml:space="preserve">l. Biochem. 421 (2012) 794-796. </w:t>
      </w:r>
    </w:p>
    <w:p w14:paraId="13243A20" w14:textId="1E493A4F" w:rsidR="00A16BAA" w:rsidRPr="006D5181" w:rsidRDefault="006D5181" w:rsidP="006D5181">
      <w:pPr>
        <w:pStyle w:val="ListParagraph"/>
        <w:numPr>
          <w:ilvl w:val="0"/>
          <w:numId w:val="6"/>
        </w:numPr>
        <w:spacing w:line="360" w:lineRule="auto"/>
        <w:ind w:left="709" w:hanging="720"/>
        <w:rPr>
          <w:lang w:val="en-US"/>
        </w:rPr>
      </w:pPr>
      <w:r w:rsidRPr="006D5181">
        <w:t>S</w:t>
      </w:r>
      <w:r w:rsidR="00436306" w:rsidRPr="006D5181">
        <w:t xml:space="preserve">chasfoort R.B.M. et al. </w:t>
      </w:r>
      <w:r w:rsidR="00436306" w:rsidRPr="006D5181">
        <w:rPr>
          <w:lang w:val="en-US"/>
        </w:rPr>
        <w:t>Interpolation method for accurate affinity ranking of arrayed ligand–analyte interactions Analytical Biochemistry 500, Pages 21-23</w:t>
      </w:r>
    </w:p>
    <w:p w14:paraId="3CA3C1EC" w14:textId="52869F44" w:rsidR="00A16BAA" w:rsidRPr="00A16BAA" w:rsidRDefault="00A16BAA" w:rsidP="00A16BAA">
      <w:pPr>
        <w:spacing w:line="360" w:lineRule="auto"/>
        <w:rPr>
          <w:i/>
          <w:lang w:val="en-US"/>
        </w:rPr>
      </w:pPr>
    </w:p>
    <w:p w14:paraId="080A9A77" w14:textId="77777777" w:rsidR="00A16BAA" w:rsidRPr="00A16BAA" w:rsidRDefault="00A16BAA" w:rsidP="00A16BAA">
      <w:pPr>
        <w:spacing w:line="360" w:lineRule="auto"/>
        <w:rPr>
          <w:lang w:val="en-US"/>
        </w:rPr>
      </w:pPr>
    </w:p>
    <w:sectPr w:rsidR="00A16BAA" w:rsidRPr="00A16BAA" w:rsidSect="004041D6">
      <w:footerReference w:type="first" r:id="rId17"/>
      <w:pgSz w:w="11906" w:h="16838"/>
      <w:pgMar w:top="1417" w:right="1417" w:bottom="1417" w:left="1417" w:header="708" w:footer="708"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E4442" w16cex:dateUtc="2020-07-06T22:45:00Z"/>
  <w16cex:commentExtensible w16cex:durableId="22AE4564" w16cex:dateUtc="2020-07-06T22:50:00Z"/>
  <w16cex:commentExtensible w16cex:durableId="22AE4639" w16cex:dateUtc="2020-07-06T22:54:00Z"/>
  <w16cex:commentExtensible w16cex:durableId="22AE46A5" w16cex:dateUtc="2020-07-06T22:56:00Z"/>
  <w16cex:commentExtensible w16cex:durableId="22AE46CD" w16cex:dateUtc="2020-07-06T22:56:00Z"/>
  <w16cex:commentExtensible w16cex:durableId="22AE4724" w16cex:dateUtc="2020-07-06T22: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BC86943" w16cid:durableId="22AE4442"/>
  <w16cid:commentId w16cid:paraId="76DA4465" w16cid:durableId="22AE4564"/>
  <w16cid:commentId w16cid:paraId="47E2ADE1" w16cid:durableId="22AE4639"/>
  <w16cid:commentId w16cid:paraId="48BE2B47" w16cid:durableId="22AE46A5"/>
  <w16cid:commentId w16cid:paraId="19E47FC4" w16cid:durableId="22AE46CD"/>
  <w16cid:commentId w16cid:paraId="159CB0F4" w16cid:durableId="22AE472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5F9E74" w14:textId="77777777" w:rsidR="00A16BAA" w:rsidRDefault="00A16BAA" w:rsidP="00A16BAA">
      <w:pPr>
        <w:spacing w:after="0" w:line="240" w:lineRule="auto"/>
      </w:pPr>
      <w:r>
        <w:separator/>
      </w:r>
    </w:p>
  </w:endnote>
  <w:endnote w:type="continuationSeparator" w:id="0">
    <w:p w14:paraId="3E3C5ECF" w14:textId="77777777" w:rsidR="00A16BAA" w:rsidRDefault="00A16BAA" w:rsidP="00A16B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DB5590" w14:textId="77777777" w:rsidR="004041D6" w:rsidRPr="00F0773C" w:rsidRDefault="004041D6" w:rsidP="004041D6">
    <w:pPr>
      <w:spacing w:line="240" w:lineRule="auto"/>
      <w:rPr>
        <w:i/>
        <w:sz w:val="20"/>
        <w:lang w:val="en-US"/>
      </w:rPr>
    </w:pPr>
    <w:r w:rsidRPr="00F0773C">
      <w:rPr>
        <w:i/>
        <w:sz w:val="20"/>
        <w:vertAlign w:val="superscript"/>
        <w:lang w:val="en-US"/>
      </w:rPr>
      <w:t xml:space="preserve">1 </w:t>
    </w:r>
    <w:r w:rsidRPr="00F0773C">
      <w:rPr>
        <w:i/>
        <w:sz w:val="20"/>
        <w:lang w:val="en-US"/>
      </w:rPr>
      <w:t xml:space="preserve">Department of Medical Cell BioPhysics, Faculty of Science and Technology, University of Twente, Enschede, The Netherlands, </w:t>
    </w:r>
    <w:r w:rsidRPr="00F0773C">
      <w:rPr>
        <w:i/>
        <w:sz w:val="20"/>
        <w:vertAlign w:val="superscript"/>
        <w:lang w:val="en-US"/>
      </w:rPr>
      <w:t>2</w:t>
    </w:r>
    <w:r w:rsidRPr="00F0773C">
      <w:rPr>
        <w:i/>
        <w:sz w:val="20"/>
        <w:lang w:val="en-US"/>
      </w:rPr>
      <w:t xml:space="preserve"> InterFluidics BV, Duizendblad 28,7483 AL Haaksbergen, The Netherlands ,</w:t>
    </w:r>
    <w:r w:rsidRPr="00F0773C">
      <w:rPr>
        <w:i/>
        <w:sz w:val="20"/>
        <w:vertAlign w:val="superscript"/>
        <w:lang w:val="en-US"/>
      </w:rPr>
      <w:t>3</w:t>
    </w:r>
    <w:r w:rsidRPr="00F0773C">
      <w:rPr>
        <w:i/>
        <w:sz w:val="20"/>
        <w:lang w:val="en-US"/>
      </w:rPr>
      <w:t xml:space="preserve"> Vysens BV, The Netherlands, </w:t>
    </w:r>
    <w:r w:rsidRPr="00F0773C">
      <w:rPr>
        <w:i/>
        <w:sz w:val="20"/>
        <w:vertAlign w:val="superscript"/>
        <w:lang w:val="en-US"/>
      </w:rPr>
      <w:t>4</w:t>
    </w:r>
    <w:r w:rsidRPr="00F0773C">
      <w:rPr>
        <w:i/>
        <w:sz w:val="20"/>
        <w:lang w:val="en-US"/>
      </w:rPr>
      <w:t xml:space="preserve"> Carterra, 825 N. 300 W., Suite C309, Salt Lake City, UT 84103, USA, </w:t>
    </w:r>
    <w:r w:rsidRPr="00F0773C">
      <w:rPr>
        <w:i/>
        <w:sz w:val="20"/>
        <w:vertAlign w:val="superscript"/>
        <w:lang w:val="en-US"/>
      </w:rPr>
      <w:t>5</w:t>
    </w:r>
    <w:r w:rsidRPr="00F0773C">
      <w:rPr>
        <w:i/>
        <w:sz w:val="20"/>
        <w:lang w:val="en-US"/>
      </w:rPr>
      <w:t xml:space="preserve"> Department of Developmental BioEngineering, Faculty of Science and Technology, University of Twente, Enschede, The Netherlands, </w:t>
    </w:r>
    <w:r w:rsidRPr="00F0773C">
      <w:rPr>
        <w:i/>
        <w:sz w:val="20"/>
        <w:vertAlign w:val="superscript"/>
        <w:lang w:val="en-US"/>
      </w:rPr>
      <w:t>6</w:t>
    </w:r>
    <w:r w:rsidRPr="00F0773C">
      <w:rPr>
        <w:i/>
        <w:sz w:val="20"/>
        <w:lang w:val="en-US"/>
      </w:rPr>
      <w:t xml:space="preserve"> Saxion, Enschede, The Netherlands, </w:t>
    </w:r>
    <w:r w:rsidRPr="00F0773C">
      <w:rPr>
        <w:i/>
        <w:sz w:val="20"/>
        <w:vertAlign w:val="superscript"/>
        <w:lang w:val="en-US"/>
      </w:rPr>
      <w:t>7</w:t>
    </w:r>
    <w:r w:rsidRPr="00F0773C">
      <w:rPr>
        <w:i/>
        <w:sz w:val="20"/>
        <w:lang w:val="en-US"/>
      </w:rPr>
      <w:t xml:space="preserve"> Medlon, Enschede, The Netherlands, </w:t>
    </w:r>
    <w:r w:rsidRPr="00F0773C">
      <w:rPr>
        <w:i/>
        <w:sz w:val="20"/>
        <w:vertAlign w:val="superscript"/>
        <w:lang w:val="en-US"/>
      </w:rPr>
      <w:t>8</w:t>
    </w:r>
    <w:r w:rsidRPr="00F0773C">
      <w:rPr>
        <w:i/>
        <w:sz w:val="20"/>
        <w:lang w:val="en-US"/>
      </w:rPr>
      <w:t xml:space="preserve"> Medisch Spectrum Twente, Enschede, The Netherlands, </w:t>
    </w:r>
    <w:r w:rsidRPr="00F0773C">
      <w:rPr>
        <w:i/>
        <w:sz w:val="20"/>
        <w:vertAlign w:val="superscript"/>
        <w:lang w:val="en-US"/>
      </w:rPr>
      <w:t>9</w:t>
    </w:r>
    <w:r w:rsidRPr="00F0773C">
      <w:rPr>
        <w:i/>
        <w:sz w:val="20"/>
        <w:lang w:val="en-US"/>
      </w:rPr>
      <w:t xml:space="preserve"> Ziekenhuis Groep Twente, Almelo, The Netherlands.</w:t>
    </w:r>
  </w:p>
  <w:p w14:paraId="139C1207" w14:textId="77777777" w:rsidR="004041D6" w:rsidRPr="004041D6" w:rsidRDefault="004041D6">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F85F60" w14:textId="77777777" w:rsidR="00A16BAA" w:rsidRDefault="00A16BAA" w:rsidP="00A16BAA">
      <w:pPr>
        <w:spacing w:after="0" w:line="240" w:lineRule="auto"/>
      </w:pPr>
      <w:r>
        <w:separator/>
      </w:r>
    </w:p>
  </w:footnote>
  <w:footnote w:type="continuationSeparator" w:id="0">
    <w:p w14:paraId="2C06AD92" w14:textId="77777777" w:rsidR="00A16BAA" w:rsidRDefault="00A16BAA" w:rsidP="00A16B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24120E"/>
    <w:multiLevelType w:val="hybridMultilevel"/>
    <w:tmpl w:val="9F10B610"/>
    <w:lvl w:ilvl="0" w:tplc="75B06EA2">
      <w:start w:val="1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2F24E2E"/>
    <w:multiLevelType w:val="hybridMultilevel"/>
    <w:tmpl w:val="F7AAE320"/>
    <w:lvl w:ilvl="0" w:tplc="1B8E736A">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3A4E7108"/>
    <w:multiLevelType w:val="hybridMultilevel"/>
    <w:tmpl w:val="27F06CCC"/>
    <w:lvl w:ilvl="0" w:tplc="75B06EA2">
      <w:start w:val="1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7A8E7398"/>
    <w:multiLevelType w:val="hybridMultilevel"/>
    <w:tmpl w:val="ABCC1FE2"/>
    <w:lvl w:ilvl="0" w:tplc="75B06EA2">
      <w:start w:val="1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7FCB75D3"/>
    <w:multiLevelType w:val="hybridMultilevel"/>
    <w:tmpl w:val="7F42692C"/>
    <w:lvl w:ilvl="0" w:tplc="1A2A1720">
      <w:start w:val="1"/>
      <w:numFmt w:val="decimal"/>
      <w:lvlText w:val="%1."/>
      <w:lvlJc w:val="left"/>
      <w:pPr>
        <w:ind w:left="360" w:hanging="360"/>
      </w:pPr>
      <w:rPr>
        <w:rFonts w:hint="default"/>
        <w:lang w:val="nl-NL"/>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1"/>
  </w:num>
  <w:num w:numId="3">
    <w:abstractNumId w:val="4"/>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BAA"/>
    <w:rsid w:val="000035A7"/>
    <w:rsid w:val="00046590"/>
    <w:rsid w:val="000A7D2F"/>
    <w:rsid w:val="000B1740"/>
    <w:rsid w:val="000C4A76"/>
    <w:rsid w:val="000C54CE"/>
    <w:rsid w:val="000D4183"/>
    <w:rsid w:val="000E314F"/>
    <w:rsid w:val="000E4FE0"/>
    <w:rsid w:val="000E6DEA"/>
    <w:rsid w:val="00186FA2"/>
    <w:rsid w:val="001B3475"/>
    <w:rsid w:val="001B71A4"/>
    <w:rsid w:val="001C2B8E"/>
    <w:rsid w:val="001D03CC"/>
    <w:rsid w:val="00262269"/>
    <w:rsid w:val="002B725F"/>
    <w:rsid w:val="002D4061"/>
    <w:rsid w:val="0034248C"/>
    <w:rsid w:val="00367371"/>
    <w:rsid w:val="00397B78"/>
    <w:rsid w:val="003E4834"/>
    <w:rsid w:val="003F4F0C"/>
    <w:rsid w:val="003F7004"/>
    <w:rsid w:val="004041D6"/>
    <w:rsid w:val="00430A29"/>
    <w:rsid w:val="00436306"/>
    <w:rsid w:val="00453F35"/>
    <w:rsid w:val="00480DA9"/>
    <w:rsid w:val="00490FFB"/>
    <w:rsid w:val="004C6FD9"/>
    <w:rsid w:val="00566A73"/>
    <w:rsid w:val="0059002A"/>
    <w:rsid w:val="005A3163"/>
    <w:rsid w:val="005A381A"/>
    <w:rsid w:val="005A75EE"/>
    <w:rsid w:val="005E1CEC"/>
    <w:rsid w:val="006213BF"/>
    <w:rsid w:val="00630E76"/>
    <w:rsid w:val="006544A7"/>
    <w:rsid w:val="00663E94"/>
    <w:rsid w:val="00697B52"/>
    <w:rsid w:val="006D070F"/>
    <w:rsid w:val="006D5181"/>
    <w:rsid w:val="006E53BB"/>
    <w:rsid w:val="006F384A"/>
    <w:rsid w:val="006F78C0"/>
    <w:rsid w:val="0070684A"/>
    <w:rsid w:val="00763619"/>
    <w:rsid w:val="00782377"/>
    <w:rsid w:val="007A1B0C"/>
    <w:rsid w:val="007A27D9"/>
    <w:rsid w:val="007C16D3"/>
    <w:rsid w:val="00824457"/>
    <w:rsid w:val="00855440"/>
    <w:rsid w:val="0094232C"/>
    <w:rsid w:val="009531C4"/>
    <w:rsid w:val="009779F6"/>
    <w:rsid w:val="009B0640"/>
    <w:rsid w:val="009C1E1C"/>
    <w:rsid w:val="00A077E0"/>
    <w:rsid w:val="00A16BAA"/>
    <w:rsid w:val="00AD32B0"/>
    <w:rsid w:val="00AE68FE"/>
    <w:rsid w:val="00AF3FA5"/>
    <w:rsid w:val="00B462B3"/>
    <w:rsid w:val="00B70542"/>
    <w:rsid w:val="00BA2A88"/>
    <w:rsid w:val="00BF5FD6"/>
    <w:rsid w:val="00CC6080"/>
    <w:rsid w:val="00CD1F07"/>
    <w:rsid w:val="00CD7519"/>
    <w:rsid w:val="00D1247D"/>
    <w:rsid w:val="00D514A4"/>
    <w:rsid w:val="00D56CFA"/>
    <w:rsid w:val="00D64CC6"/>
    <w:rsid w:val="00DB0A3B"/>
    <w:rsid w:val="00DB20F9"/>
    <w:rsid w:val="00E17C57"/>
    <w:rsid w:val="00E2793E"/>
    <w:rsid w:val="00E30568"/>
    <w:rsid w:val="00E57935"/>
    <w:rsid w:val="00F0773C"/>
    <w:rsid w:val="00F20037"/>
    <w:rsid w:val="00F4391F"/>
    <w:rsid w:val="00F91EE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5C0CF"/>
  <w15:chartTrackingRefBased/>
  <w15:docId w15:val="{581D2E97-94C9-48D7-B783-522C68DBD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A75E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C4A7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A16BAA"/>
    <w:pPr>
      <w:spacing w:after="0" w:line="240" w:lineRule="auto"/>
    </w:pPr>
    <w:rPr>
      <w:sz w:val="20"/>
      <w:szCs w:val="20"/>
    </w:rPr>
  </w:style>
  <w:style w:type="character" w:customStyle="1" w:styleId="EndnoteTextChar">
    <w:name w:val="Endnote Text Char"/>
    <w:basedOn w:val="DefaultParagraphFont"/>
    <w:link w:val="EndnoteText"/>
    <w:uiPriority w:val="99"/>
    <w:rsid w:val="00A16BAA"/>
    <w:rPr>
      <w:sz w:val="20"/>
      <w:szCs w:val="20"/>
    </w:rPr>
  </w:style>
  <w:style w:type="character" w:styleId="EndnoteReference">
    <w:name w:val="endnote reference"/>
    <w:basedOn w:val="DefaultParagraphFont"/>
    <w:uiPriority w:val="99"/>
    <w:semiHidden/>
    <w:unhideWhenUsed/>
    <w:rsid w:val="00A16BAA"/>
    <w:rPr>
      <w:vertAlign w:val="superscript"/>
    </w:rPr>
  </w:style>
  <w:style w:type="table" w:styleId="TableGrid">
    <w:name w:val="Table Grid"/>
    <w:basedOn w:val="TableNormal"/>
    <w:uiPriority w:val="59"/>
    <w:rsid w:val="00A16BAA"/>
    <w:pPr>
      <w:spacing w:after="0" w:line="240" w:lineRule="auto"/>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A16BAA"/>
    <w:pPr>
      <w:spacing w:after="0" w:line="240" w:lineRule="auto"/>
    </w:pPr>
    <w:rPr>
      <w:sz w:val="24"/>
      <w:szCs w:val="24"/>
      <w:lang w:val="fr-FR"/>
    </w:rPr>
    <w:tblPr>
      <w:tblStyleRowBandSize w:val="1"/>
      <w:tblStyleColBandSize w:val="1"/>
      <w:tblInd w:w="0" w:type="nil"/>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CC6080"/>
    <w:pPr>
      <w:spacing w:before="100" w:beforeAutospacing="1" w:after="100" w:afterAutospacing="1" w:line="240" w:lineRule="auto"/>
    </w:pPr>
    <w:rPr>
      <w:rFonts w:ascii="Times New Roman" w:eastAsiaTheme="minorEastAsia" w:hAnsi="Times New Roman" w:cs="Times New Roman"/>
      <w:sz w:val="24"/>
      <w:szCs w:val="24"/>
      <w:lang w:eastAsia="nl-NL"/>
    </w:rPr>
  </w:style>
  <w:style w:type="paragraph" w:styleId="BalloonText">
    <w:name w:val="Balloon Text"/>
    <w:basedOn w:val="Normal"/>
    <w:link w:val="BalloonTextChar"/>
    <w:uiPriority w:val="99"/>
    <w:semiHidden/>
    <w:unhideWhenUsed/>
    <w:rsid w:val="00F200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0037"/>
    <w:rPr>
      <w:rFonts w:ascii="Segoe UI" w:hAnsi="Segoe UI" w:cs="Segoe UI"/>
      <w:sz w:val="18"/>
      <w:szCs w:val="18"/>
    </w:rPr>
  </w:style>
  <w:style w:type="paragraph" w:styleId="Header">
    <w:name w:val="header"/>
    <w:basedOn w:val="Normal"/>
    <w:link w:val="HeaderChar"/>
    <w:uiPriority w:val="99"/>
    <w:unhideWhenUsed/>
    <w:rsid w:val="00CD1F07"/>
    <w:pPr>
      <w:tabs>
        <w:tab w:val="center" w:pos="4536"/>
        <w:tab w:val="right" w:pos="9072"/>
      </w:tabs>
      <w:spacing w:after="0" w:line="240" w:lineRule="auto"/>
    </w:pPr>
  </w:style>
  <w:style w:type="character" w:customStyle="1" w:styleId="HeaderChar">
    <w:name w:val="Header Char"/>
    <w:basedOn w:val="DefaultParagraphFont"/>
    <w:link w:val="Header"/>
    <w:uiPriority w:val="99"/>
    <w:rsid w:val="00CD1F07"/>
  </w:style>
  <w:style w:type="paragraph" w:styleId="Footer">
    <w:name w:val="footer"/>
    <w:basedOn w:val="Normal"/>
    <w:link w:val="FooterChar"/>
    <w:uiPriority w:val="99"/>
    <w:unhideWhenUsed/>
    <w:rsid w:val="00CD1F07"/>
    <w:pPr>
      <w:tabs>
        <w:tab w:val="center" w:pos="4536"/>
        <w:tab w:val="right" w:pos="9072"/>
      </w:tabs>
      <w:spacing w:after="0" w:line="240" w:lineRule="auto"/>
    </w:pPr>
  </w:style>
  <w:style w:type="character" w:customStyle="1" w:styleId="FooterChar">
    <w:name w:val="Footer Char"/>
    <w:basedOn w:val="DefaultParagraphFont"/>
    <w:link w:val="Footer"/>
    <w:uiPriority w:val="99"/>
    <w:rsid w:val="00CD1F07"/>
  </w:style>
  <w:style w:type="character" w:styleId="IntenseReference">
    <w:name w:val="Intense Reference"/>
    <w:basedOn w:val="DefaultParagraphFont"/>
    <w:uiPriority w:val="32"/>
    <w:qFormat/>
    <w:rsid w:val="000B1740"/>
    <w:rPr>
      <w:b/>
      <w:bCs/>
      <w:smallCaps/>
      <w:color w:val="5B9BD5" w:themeColor="accent1"/>
      <w:spacing w:val="5"/>
    </w:rPr>
  </w:style>
  <w:style w:type="character" w:customStyle="1" w:styleId="Heading2Char">
    <w:name w:val="Heading 2 Char"/>
    <w:basedOn w:val="DefaultParagraphFont"/>
    <w:link w:val="Heading2"/>
    <w:uiPriority w:val="9"/>
    <w:rsid w:val="000C4A76"/>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5A75EE"/>
    <w:rPr>
      <w:rFonts w:asciiTheme="majorHAnsi" w:eastAsiaTheme="majorEastAsia" w:hAnsiTheme="majorHAnsi" w:cstheme="majorBidi"/>
      <w:color w:val="2E74B5" w:themeColor="accent1" w:themeShade="BF"/>
      <w:sz w:val="32"/>
      <w:szCs w:val="32"/>
    </w:rPr>
  </w:style>
  <w:style w:type="character" w:styleId="CommentReference">
    <w:name w:val="annotation reference"/>
    <w:basedOn w:val="DefaultParagraphFont"/>
    <w:uiPriority w:val="99"/>
    <w:semiHidden/>
    <w:unhideWhenUsed/>
    <w:rsid w:val="006213BF"/>
    <w:rPr>
      <w:sz w:val="16"/>
      <w:szCs w:val="16"/>
    </w:rPr>
  </w:style>
  <w:style w:type="paragraph" w:styleId="CommentText">
    <w:name w:val="annotation text"/>
    <w:basedOn w:val="Normal"/>
    <w:link w:val="CommentTextChar"/>
    <w:uiPriority w:val="99"/>
    <w:semiHidden/>
    <w:unhideWhenUsed/>
    <w:rsid w:val="006213BF"/>
    <w:pPr>
      <w:spacing w:line="240" w:lineRule="auto"/>
    </w:pPr>
    <w:rPr>
      <w:sz w:val="20"/>
      <w:szCs w:val="20"/>
    </w:rPr>
  </w:style>
  <w:style w:type="character" w:customStyle="1" w:styleId="CommentTextChar">
    <w:name w:val="Comment Text Char"/>
    <w:basedOn w:val="DefaultParagraphFont"/>
    <w:link w:val="CommentText"/>
    <w:uiPriority w:val="99"/>
    <w:semiHidden/>
    <w:rsid w:val="006213BF"/>
    <w:rPr>
      <w:sz w:val="20"/>
      <w:szCs w:val="20"/>
    </w:rPr>
  </w:style>
  <w:style w:type="paragraph" w:styleId="CommentSubject">
    <w:name w:val="annotation subject"/>
    <w:basedOn w:val="CommentText"/>
    <w:next w:val="CommentText"/>
    <w:link w:val="CommentSubjectChar"/>
    <w:uiPriority w:val="99"/>
    <w:semiHidden/>
    <w:unhideWhenUsed/>
    <w:rsid w:val="006213BF"/>
    <w:rPr>
      <w:b/>
      <w:bCs/>
    </w:rPr>
  </w:style>
  <w:style w:type="character" w:customStyle="1" w:styleId="CommentSubjectChar">
    <w:name w:val="Comment Subject Char"/>
    <w:basedOn w:val="CommentTextChar"/>
    <w:link w:val="CommentSubject"/>
    <w:uiPriority w:val="99"/>
    <w:semiHidden/>
    <w:rsid w:val="006213BF"/>
    <w:rPr>
      <w:b/>
      <w:bCs/>
      <w:sz w:val="20"/>
      <w:szCs w:val="20"/>
    </w:rPr>
  </w:style>
  <w:style w:type="paragraph" w:styleId="ListParagraph">
    <w:name w:val="List Paragraph"/>
    <w:basedOn w:val="Normal"/>
    <w:uiPriority w:val="34"/>
    <w:qFormat/>
    <w:rsid w:val="004363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8572">
      <w:bodyDiv w:val="1"/>
      <w:marLeft w:val="0"/>
      <w:marRight w:val="0"/>
      <w:marTop w:val="0"/>
      <w:marBottom w:val="0"/>
      <w:divBdr>
        <w:top w:val="none" w:sz="0" w:space="0" w:color="auto"/>
        <w:left w:val="none" w:sz="0" w:space="0" w:color="auto"/>
        <w:bottom w:val="none" w:sz="0" w:space="0" w:color="auto"/>
        <w:right w:val="none" w:sz="0" w:space="0" w:color="auto"/>
      </w:divBdr>
    </w:div>
    <w:div w:id="55475027">
      <w:bodyDiv w:val="1"/>
      <w:marLeft w:val="0"/>
      <w:marRight w:val="0"/>
      <w:marTop w:val="0"/>
      <w:marBottom w:val="0"/>
      <w:divBdr>
        <w:top w:val="none" w:sz="0" w:space="0" w:color="auto"/>
        <w:left w:val="none" w:sz="0" w:space="0" w:color="auto"/>
        <w:bottom w:val="none" w:sz="0" w:space="0" w:color="auto"/>
        <w:right w:val="none" w:sz="0" w:space="0" w:color="auto"/>
      </w:divBdr>
    </w:div>
    <w:div w:id="431248811">
      <w:bodyDiv w:val="1"/>
      <w:marLeft w:val="0"/>
      <w:marRight w:val="0"/>
      <w:marTop w:val="0"/>
      <w:marBottom w:val="0"/>
      <w:divBdr>
        <w:top w:val="none" w:sz="0" w:space="0" w:color="auto"/>
        <w:left w:val="none" w:sz="0" w:space="0" w:color="auto"/>
        <w:bottom w:val="none" w:sz="0" w:space="0" w:color="auto"/>
        <w:right w:val="none" w:sz="0" w:space="0" w:color="auto"/>
      </w:divBdr>
    </w:div>
    <w:div w:id="632951944">
      <w:bodyDiv w:val="1"/>
      <w:marLeft w:val="0"/>
      <w:marRight w:val="0"/>
      <w:marTop w:val="0"/>
      <w:marBottom w:val="0"/>
      <w:divBdr>
        <w:top w:val="none" w:sz="0" w:space="0" w:color="auto"/>
        <w:left w:val="none" w:sz="0" w:space="0" w:color="auto"/>
        <w:bottom w:val="none" w:sz="0" w:space="0" w:color="auto"/>
        <w:right w:val="none" w:sz="0" w:space="0" w:color="auto"/>
      </w:divBdr>
    </w:div>
    <w:div w:id="671878226">
      <w:bodyDiv w:val="1"/>
      <w:marLeft w:val="0"/>
      <w:marRight w:val="0"/>
      <w:marTop w:val="0"/>
      <w:marBottom w:val="0"/>
      <w:divBdr>
        <w:top w:val="none" w:sz="0" w:space="0" w:color="auto"/>
        <w:left w:val="none" w:sz="0" w:space="0" w:color="auto"/>
        <w:bottom w:val="none" w:sz="0" w:space="0" w:color="auto"/>
        <w:right w:val="none" w:sz="0" w:space="0" w:color="auto"/>
      </w:divBdr>
    </w:div>
    <w:div w:id="1148479970">
      <w:bodyDiv w:val="1"/>
      <w:marLeft w:val="0"/>
      <w:marRight w:val="0"/>
      <w:marTop w:val="0"/>
      <w:marBottom w:val="0"/>
      <w:divBdr>
        <w:top w:val="none" w:sz="0" w:space="0" w:color="auto"/>
        <w:left w:val="none" w:sz="0" w:space="0" w:color="auto"/>
        <w:bottom w:val="none" w:sz="0" w:space="0" w:color="auto"/>
        <w:right w:val="none" w:sz="0" w:space="0" w:color="auto"/>
      </w:divBdr>
    </w:div>
    <w:div w:id="1360398486">
      <w:bodyDiv w:val="1"/>
      <w:marLeft w:val="0"/>
      <w:marRight w:val="0"/>
      <w:marTop w:val="0"/>
      <w:marBottom w:val="0"/>
      <w:divBdr>
        <w:top w:val="none" w:sz="0" w:space="0" w:color="auto"/>
        <w:left w:val="none" w:sz="0" w:space="0" w:color="auto"/>
        <w:bottom w:val="none" w:sz="0" w:space="0" w:color="auto"/>
        <w:right w:val="none" w:sz="0" w:space="0" w:color="auto"/>
      </w:divBdr>
    </w:div>
    <w:div w:id="1660579592">
      <w:bodyDiv w:val="1"/>
      <w:marLeft w:val="0"/>
      <w:marRight w:val="0"/>
      <w:marTop w:val="0"/>
      <w:marBottom w:val="0"/>
      <w:divBdr>
        <w:top w:val="none" w:sz="0" w:space="0" w:color="auto"/>
        <w:left w:val="none" w:sz="0" w:space="0" w:color="auto"/>
        <w:bottom w:val="none" w:sz="0" w:space="0" w:color="auto"/>
        <w:right w:val="none" w:sz="0" w:space="0" w:color="auto"/>
      </w:divBdr>
    </w:div>
    <w:div w:id="1883132515">
      <w:bodyDiv w:val="1"/>
      <w:marLeft w:val="0"/>
      <w:marRight w:val="0"/>
      <w:marTop w:val="0"/>
      <w:marBottom w:val="0"/>
      <w:divBdr>
        <w:top w:val="none" w:sz="0" w:space="0" w:color="auto"/>
        <w:left w:val="none" w:sz="0" w:space="0" w:color="auto"/>
        <w:bottom w:val="none" w:sz="0" w:space="0" w:color="auto"/>
        <w:right w:val="none" w:sz="0" w:space="0" w:color="auto"/>
      </w:divBdr>
    </w:div>
    <w:div w:id="1989288666">
      <w:bodyDiv w:val="1"/>
      <w:marLeft w:val="0"/>
      <w:marRight w:val="0"/>
      <w:marTop w:val="0"/>
      <w:marBottom w:val="0"/>
      <w:divBdr>
        <w:top w:val="none" w:sz="0" w:space="0" w:color="auto"/>
        <w:left w:val="none" w:sz="0" w:space="0" w:color="auto"/>
        <w:bottom w:val="none" w:sz="0" w:space="0" w:color="auto"/>
        <w:right w:val="none" w:sz="0" w:space="0" w:color="auto"/>
      </w:divBdr>
    </w:div>
    <w:div w:id="1994945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726DC4D70AB64479FFA7E9364D9D29E" ma:contentTypeVersion="13" ma:contentTypeDescription="Een nieuw document maken." ma:contentTypeScope="" ma:versionID="cd5ece3f4219b0f84d7ff0f2880bbceb">
  <xsd:schema xmlns:xsd="http://www.w3.org/2001/XMLSchema" xmlns:xs="http://www.w3.org/2001/XMLSchema" xmlns:p="http://schemas.microsoft.com/office/2006/metadata/properties" xmlns:ns3="aa4d458e-cb4c-42f6-9d9e-4fcb3fb081b0" xmlns:ns4="80bba6e0-f82e-4bd5-9cc5-1e621ba47746" targetNamespace="http://schemas.microsoft.com/office/2006/metadata/properties" ma:root="true" ma:fieldsID="f12427ef03dc8612b785f6eda51985bf" ns3:_="" ns4:_="">
    <xsd:import namespace="aa4d458e-cb4c-42f6-9d9e-4fcb3fb081b0"/>
    <xsd:import namespace="80bba6e0-f82e-4bd5-9cc5-1e621ba4774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4d458e-cb4c-42f6-9d9e-4fcb3fb081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bba6e0-f82e-4bd5-9cc5-1e621ba47746"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SharingHintHash" ma:index="16"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224FF03-60C0-4B9B-B21D-7C7F8117B217}">
  <ds:schemaRefs>
    <ds:schemaRef ds:uri="http://schemas.microsoft.com/sharepoint/v3/contenttype/forms"/>
  </ds:schemaRefs>
</ds:datastoreItem>
</file>

<file path=customXml/itemProps2.xml><?xml version="1.0" encoding="utf-8"?>
<ds:datastoreItem xmlns:ds="http://schemas.openxmlformats.org/officeDocument/2006/customXml" ds:itemID="{647FCE8A-AB98-4468-91C8-6187040D75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4d458e-cb4c-42f6-9d9e-4fcb3fb081b0"/>
    <ds:schemaRef ds:uri="80bba6e0-f82e-4bd5-9cc5-1e621ba477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09D61F-8D27-4D85-AA24-170290E08D50}">
  <ds:schemaRefs>
    <ds:schemaRef ds:uri="80bba6e0-f82e-4bd5-9cc5-1e621ba47746"/>
    <ds:schemaRef ds:uri="http://purl.org/dc/terms/"/>
    <ds:schemaRef ds:uri="http://schemas.openxmlformats.org/package/2006/metadata/core-properties"/>
    <ds:schemaRef ds:uri="http://schemas.microsoft.com/office/2006/documentManagement/types"/>
    <ds:schemaRef ds:uri="aa4d458e-cb4c-42f6-9d9e-4fcb3fb081b0"/>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EC84976E-8575-4D8E-9AF5-AF30FBAC3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8</Pages>
  <Words>1655</Words>
  <Characters>9103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Twente</Company>
  <LinksUpToDate>false</LinksUpToDate>
  <CharactersWithSpaces>10737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Schasfoort, R.B.M. (TNW)</dc:creator>
  <cp:keywords/>
  <dc:description/>
  <cp:lastModifiedBy>Schasfoort, R.B.M. (TNW)</cp:lastModifiedBy>
  <cp:revision>7</cp:revision>
  <dcterms:created xsi:type="dcterms:W3CDTF">2020-07-09T15:03:00Z</dcterms:created>
  <dcterms:modified xsi:type="dcterms:W3CDTF">2020-08-02T09:18:00Z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0x010100A726DC4D70AB64479FFA7E9364D9D29E</vt:lpwstr>
  </property>
</Properties>
</file>